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3BB" w:rsidRPr="004C1D1A" w:rsidRDefault="004833BB" w:rsidP="004833BB">
      <w:pPr>
        <w:widowControl/>
        <w:suppressAutoHyphens w:val="0"/>
        <w:spacing w:after="160" w:line="259" w:lineRule="auto"/>
        <w:jc w:val="both"/>
        <w:rPr>
          <w:rFonts w:cs="Times New Roman"/>
          <w:lang w:val="en-US"/>
        </w:rPr>
      </w:pPr>
      <w:bookmarkStart w:id="0" w:name="OLE_LINK2"/>
      <w:bookmarkStart w:id="1" w:name="OLE_LINK1"/>
      <w:bookmarkStart w:id="2" w:name="_GoBack"/>
      <w:bookmarkEnd w:id="2"/>
      <w:r w:rsidRPr="004C1D1A">
        <w:rPr>
          <w:rFonts w:cs="Times New Roman"/>
          <w:b/>
          <w:sz w:val="36"/>
          <w:szCs w:val="36"/>
          <w:lang w:val="en-GB"/>
        </w:rPr>
        <w:t xml:space="preserve">Constructing the phase diagram of </w:t>
      </w:r>
      <w:r>
        <w:rPr>
          <w:rFonts w:cs="Times New Roman"/>
          <w:b/>
          <w:sz w:val="36"/>
          <w:szCs w:val="36"/>
          <w:lang w:val="en-GB"/>
        </w:rPr>
        <w:t>sodium laurylethoxys</w:t>
      </w:r>
      <w:r w:rsidRPr="00FF0061">
        <w:rPr>
          <w:rFonts w:cs="Times New Roman"/>
          <w:b/>
          <w:sz w:val="36"/>
          <w:szCs w:val="36"/>
          <w:lang w:val="en-GB"/>
        </w:rPr>
        <w:t>ulfate</w:t>
      </w:r>
      <w:r w:rsidRPr="004C1D1A">
        <w:rPr>
          <w:rFonts w:cs="Times New Roman"/>
          <w:b/>
          <w:sz w:val="36"/>
          <w:szCs w:val="36"/>
          <w:lang w:val="en-GB"/>
        </w:rPr>
        <w:t xml:space="preserve"> using dissipative particle dynamics</w:t>
      </w:r>
    </w:p>
    <w:p w:rsidR="004833BB" w:rsidRPr="004C1D1A" w:rsidRDefault="004833BB" w:rsidP="004833BB">
      <w:pPr>
        <w:jc w:val="both"/>
        <w:rPr>
          <w:rFonts w:cs="Times New Roman"/>
          <w:b/>
          <w:sz w:val="36"/>
          <w:szCs w:val="36"/>
          <w:lang w:val="en-GB"/>
        </w:rPr>
      </w:pPr>
    </w:p>
    <w:p w:rsidR="004833BB" w:rsidRPr="004C1D1A" w:rsidRDefault="004833BB" w:rsidP="004833BB">
      <w:pPr>
        <w:jc w:val="center"/>
        <w:rPr>
          <w:rFonts w:eastAsiaTheme="minorHAnsi" w:cs="Times New Roman"/>
          <w:kern w:val="0"/>
          <w:sz w:val="22"/>
          <w:szCs w:val="22"/>
          <w:lang w:val="en-GB" w:eastAsia="en-US" w:bidi="ar-SA"/>
        </w:rPr>
      </w:pPr>
      <w:r w:rsidRPr="0038281A">
        <w:rPr>
          <w:rFonts w:cs="Times New Roman"/>
          <w:i/>
          <w:lang w:val="en-GB"/>
        </w:rPr>
        <w:t>Maria</w:t>
      </w:r>
      <w:r w:rsidRPr="004C1D1A">
        <w:rPr>
          <w:rFonts w:cs="Times New Roman"/>
          <w:lang w:val="en-GB"/>
        </w:rPr>
        <w:t xml:space="preserve"> Panoukidou</w:t>
      </w:r>
      <w:r>
        <w:rPr>
          <w:rFonts w:cs="Times New Roman"/>
          <w:lang w:val="en-GB"/>
        </w:rPr>
        <w:t xml:space="preserve"> </w:t>
      </w:r>
      <w:r>
        <w:rPr>
          <w:rFonts w:cs="Times New Roman"/>
          <w:vertAlign w:val="superscript"/>
          <w:lang w:val="en-GB"/>
        </w:rPr>
        <w:t>a</w:t>
      </w:r>
      <w:r>
        <w:rPr>
          <w:rFonts w:cs="Times New Roman"/>
          <w:lang w:val="en-GB"/>
        </w:rPr>
        <w:t xml:space="preserve">, </w:t>
      </w:r>
      <w:r w:rsidRPr="0038281A">
        <w:rPr>
          <w:rFonts w:cs="Times New Roman"/>
          <w:i/>
          <w:lang w:val="en-GB"/>
        </w:rPr>
        <w:t>Charlie Ray</w:t>
      </w:r>
      <w:r w:rsidRPr="004C1D1A">
        <w:rPr>
          <w:rFonts w:cs="Times New Roman"/>
          <w:lang w:val="en-GB"/>
        </w:rPr>
        <w:t xml:space="preserve"> Wand</w:t>
      </w:r>
      <w:r>
        <w:rPr>
          <w:rFonts w:cs="Times New Roman"/>
          <w:lang w:val="en-GB"/>
        </w:rPr>
        <w:t xml:space="preserve"> </w:t>
      </w:r>
      <w:r>
        <w:rPr>
          <w:rFonts w:cs="Times New Roman"/>
          <w:vertAlign w:val="superscript"/>
          <w:lang w:val="en-GB"/>
        </w:rPr>
        <w:t>a</w:t>
      </w:r>
      <w:r>
        <w:rPr>
          <w:rFonts w:cs="Times New Roman"/>
          <w:lang w:val="en-GB"/>
        </w:rPr>
        <w:t xml:space="preserve">, </w:t>
      </w:r>
      <w:r w:rsidRPr="0038281A">
        <w:rPr>
          <w:rFonts w:cs="Times New Roman"/>
          <w:i/>
          <w:lang w:val="en-GB"/>
        </w:rPr>
        <w:t>Annalaura</w:t>
      </w:r>
      <w:r w:rsidRPr="004C1D1A">
        <w:rPr>
          <w:rFonts w:cs="Times New Roman"/>
          <w:lang w:val="en-GB"/>
        </w:rPr>
        <w:t xml:space="preserve"> Del Regno</w:t>
      </w:r>
      <w:r>
        <w:rPr>
          <w:rFonts w:cs="Times New Roman"/>
          <w:lang w:val="en-GB"/>
        </w:rPr>
        <w:t xml:space="preserve"> </w:t>
      </w:r>
      <w:r>
        <w:rPr>
          <w:rFonts w:cs="Times New Roman"/>
          <w:vertAlign w:val="superscript"/>
          <w:lang w:val="en-GB"/>
        </w:rPr>
        <w:t>b</w:t>
      </w:r>
      <w:r>
        <w:rPr>
          <w:rStyle w:val="FootnoteReference"/>
          <w:rFonts w:cs="Times New Roman"/>
          <w:sz w:val="22"/>
          <w:lang w:val="en-GB"/>
        </w:rPr>
        <w:footnoteReference w:id="1"/>
      </w:r>
      <w:r>
        <w:rPr>
          <w:rFonts w:cs="Times New Roman"/>
          <w:lang w:val="en-GB"/>
        </w:rPr>
        <w:t xml:space="preserve">, </w:t>
      </w:r>
      <w:r w:rsidRPr="0038281A">
        <w:rPr>
          <w:rFonts w:cs="Times New Roman"/>
          <w:i/>
          <w:lang w:val="en-GB"/>
        </w:rPr>
        <w:t>Richard L.</w:t>
      </w:r>
      <w:r w:rsidRPr="004C1D1A">
        <w:rPr>
          <w:rFonts w:cs="Times New Roman"/>
          <w:lang w:val="en-GB"/>
        </w:rPr>
        <w:t xml:space="preserve"> Anderson</w:t>
      </w:r>
      <w:r>
        <w:rPr>
          <w:rFonts w:cs="Times New Roman"/>
          <w:lang w:val="en-GB"/>
        </w:rPr>
        <w:t xml:space="preserve"> </w:t>
      </w:r>
      <w:r>
        <w:rPr>
          <w:rFonts w:cs="Times New Roman"/>
          <w:vertAlign w:val="superscript"/>
          <w:lang w:val="en-GB"/>
        </w:rPr>
        <w:t>b</w:t>
      </w:r>
      <w:r w:rsidRPr="004C1D1A">
        <w:rPr>
          <w:rFonts w:cs="Times New Roman"/>
          <w:lang w:val="en-GB"/>
        </w:rPr>
        <w:t xml:space="preserve">, </w:t>
      </w:r>
      <w:r w:rsidRPr="0038281A">
        <w:rPr>
          <w:rFonts w:cs="Times New Roman"/>
          <w:i/>
          <w:lang w:val="en-GB"/>
        </w:rPr>
        <w:t>Paola</w:t>
      </w:r>
      <w:r w:rsidRPr="004C1D1A">
        <w:rPr>
          <w:rFonts w:cs="Times New Roman"/>
          <w:lang w:val="en-GB"/>
        </w:rPr>
        <w:t xml:space="preserve"> Carbone</w:t>
      </w:r>
      <w:r>
        <w:rPr>
          <w:rFonts w:cs="Times New Roman"/>
          <w:lang w:val="en-GB"/>
        </w:rPr>
        <w:t xml:space="preserve"> </w:t>
      </w:r>
      <w:r>
        <w:rPr>
          <w:rFonts w:cs="Times New Roman"/>
          <w:vertAlign w:val="superscript"/>
          <w:lang w:val="en-GB"/>
        </w:rPr>
        <w:t>a</w:t>
      </w:r>
    </w:p>
    <w:p w:rsidR="004833BB" w:rsidRPr="004C1D1A" w:rsidRDefault="004833BB" w:rsidP="004833BB">
      <w:pPr>
        <w:jc w:val="center"/>
        <w:rPr>
          <w:rFonts w:cs="Times New Roman"/>
          <w:vertAlign w:val="superscript"/>
          <w:lang w:val="en-GB"/>
        </w:rPr>
      </w:pPr>
    </w:p>
    <w:p w:rsidR="004833BB" w:rsidRDefault="004833BB" w:rsidP="004833BB">
      <w:pPr>
        <w:rPr>
          <w:rFonts w:cs="Times New Roman"/>
          <w:sz w:val="22"/>
          <w:lang w:val="en-GB"/>
        </w:rPr>
      </w:pPr>
      <w:r>
        <w:rPr>
          <w:rFonts w:cs="Times New Roman"/>
          <w:sz w:val="22"/>
          <w:vertAlign w:val="superscript"/>
          <w:lang w:val="en-GB"/>
        </w:rPr>
        <w:t>a</w:t>
      </w:r>
      <w:r w:rsidRPr="004C1D1A">
        <w:rPr>
          <w:rFonts w:cs="Times New Roman"/>
          <w:sz w:val="22"/>
          <w:vertAlign w:val="superscript"/>
          <w:lang w:val="en-GB"/>
        </w:rPr>
        <w:t xml:space="preserve"> </w:t>
      </w:r>
      <w:r w:rsidRPr="004C1D1A">
        <w:rPr>
          <w:rFonts w:cs="Times New Roman"/>
          <w:sz w:val="22"/>
          <w:lang w:val="en-GB"/>
        </w:rPr>
        <w:t>School of Chemical Engineering and Analytical Science, University of Manchester, Manchester M13 9PL, United Kingdom.</w:t>
      </w:r>
    </w:p>
    <w:p w:rsidR="004833BB" w:rsidRDefault="004833BB" w:rsidP="004833BB">
      <w:pPr>
        <w:rPr>
          <w:rFonts w:cs="Times New Roman"/>
          <w:sz w:val="22"/>
          <w:lang w:val="en-GB"/>
        </w:rPr>
      </w:pPr>
      <w:r>
        <w:rPr>
          <w:rFonts w:cs="Times New Roman"/>
          <w:sz w:val="22"/>
          <w:vertAlign w:val="superscript"/>
          <w:lang w:val="en-GB"/>
        </w:rPr>
        <w:t xml:space="preserve">b </w:t>
      </w:r>
      <w:r w:rsidRPr="004C1D1A">
        <w:rPr>
          <w:rFonts w:cs="Times New Roman"/>
          <w:sz w:val="22"/>
          <w:lang w:val="en-GB"/>
        </w:rPr>
        <w:t>STFC Hartree Centre, Scitech Daresbury, Warrington WA4 4AD, United Kingdom.</w:t>
      </w:r>
    </w:p>
    <w:p w:rsidR="004833BB" w:rsidRDefault="004833BB" w:rsidP="004833BB">
      <w:pPr>
        <w:widowControl/>
        <w:suppressAutoHyphens w:val="0"/>
        <w:spacing w:after="160" w:line="259" w:lineRule="auto"/>
        <w:rPr>
          <w:rFonts w:cs="Times New Roman"/>
          <w:sz w:val="22"/>
          <w:lang w:val="en-GB"/>
        </w:rPr>
      </w:pPr>
    </w:p>
    <w:p w:rsidR="004833BB" w:rsidRDefault="004833BB" w:rsidP="004833BB">
      <w:pPr>
        <w:widowControl/>
        <w:suppressAutoHyphens w:val="0"/>
        <w:spacing w:after="160" w:line="259" w:lineRule="auto"/>
        <w:rPr>
          <w:rFonts w:cs="Times New Roman"/>
          <w:sz w:val="22"/>
          <w:lang w:val="en-GB"/>
        </w:rPr>
      </w:pPr>
      <w:r>
        <w:rPr>
          <w:rFonts w:cs="Times New Roman"/>
          <w:sz w:val="22"/>
          <w:lang w:val="en-GB"/>
        </w:rPr>
        <w:t xml:space="preserve">Corresponding authors: </w:t>
      </w:r>
      <w:hyperlink r:id="rId7" w:history="1">
        <w:r w:rsidRPr="004A7079">
          <w:rPr>
            <w:rStyle w:val="Hyperlink"/>
            <w:rFonts w:cs="Times New Roman"/>
            <w:sz w:val="22"/>
            <w:lang w:val="en-GB"/>
          </w:rPr>
          <w:t>paola.carbone@manchester.ac.uk</w:t>
        </w:r>
      </w:hyperlink>
      <w:r>
        <w:rPr>
          <w:rFonts w:cs="Times New Roman"/>
          <w:sz w:val="22"/>
          <w:lang w:val="en-GB"/>
        </w:rPr>
        <w:t xml:space="preserve"> ; </w:t>
      </w:r>
      <w:hyperlink r:id="rId8" w:history="1">
        <w:r w:rsidRPr="004A7079">
          <w:rPr>
            <w:rStyle w:val="Hyperlink"/>
            <w:rFonts w:cs="Times New Roman"/>
            <w:sz w:val="22"/>
            <w:lang w:val="en-GB"/>
          </w:rPr>
          <w:t>maria.panoukidou@manchester.ac.uk</w:t>
        </w:r>
      </w:hyperlink>
      <w:r>
        <w:rPr>
          <w:rFonts w:cs="Times New Roman"/>
          <w:sz w:val="22"/>
          <w:lang w:val="en-GB"/>
        </w:rPr>
        <w:t xml:space="preserve"> </w:t>
      </w:r>
    </w:p>
    <w:p w:rsidR="004833BB" w:rsidRDefault="004833BB" w:rsidP="004833BB">
      <w:pPr>
        <w:widowControl/>
        <w:suppressAutoHyphens w:val="0"/>
        <w:spacing w:after="160" w:line="259" w:lineRule="auto"/>
        <w:rPr>
          <w:rFonts w:cs="Times New Roman"/>
          <w:sz w:val="22"/>
          <w:lang w:val="en-GB"/>
        </w:rPr>
      </w:pPr>
      <w:r>
        <w:rPr>
          <w:rFonts w:cs="Times New Roman"/>
          <w:sz w:val="22"/>
          <w:lang w:val="en-GB"/>
        </w:rPr>
        <w:t xml:space="preserve">(phone: </w:t>
      </w:r>
      <w:r w:rsidRPr="00703D35">
        <w:rPr>
          <w:rFonts w:cs="Times New Roman"/>
          <w:sz w:val="22"/>
          <w:lang w:val="en-GB"/>
        </w:rPr>
        <w:t>+44 (0) 161 306 4367</w:t>
      </w:r>
      <w:r>
        <w:rPr>
          <w:rFonts w:cs="Times New Roman"/>
          <w:sz w:val="22"/>
          <w:lang w:val="en-GB"/>
        </w:rPr>
        <w:t>)</w:t>
      </w:r>
    </w:p>
    <w:p w:rsidR="004833BB" w:rsidRPr="004833BB" w:rsidRDefault="00A70B57" w:rsidP="004833BB">
      <w:pPr>
        <w:rPr>
          <w:lang w:val="en-GB"/>
        </w:rPr>
      </w:pPr>
      <w:hyperlink r:id="rId9" w:history="1">
        <w:r w:rsidR="004833BB" w:rsidRPr="004A7079">
          <w:rPr>
            <w:rStyle w:val="Hyperlink"/>
            <w:rFonts w:cs="Times New Roman"/>
            <w:sz w:val="22"/>
            <w:lang w:val="en-GB"/>
          </w:rPr>
          <w:t>charlie.wand@manchester.ac.uk</w:t>
        </w:r>
      </w:hyperlink>
      <w:r w:rsidR="004833BB">
        <w:rPr>
          <w:rFonts w:cs="Times New Roman"/>
          <w:sz w:val="22"/>
          <w:lang w:val="en-GB"/>
        </w:rPr>
        <w:t xml:space="preserve">; </w:t>
      </w:r>
      <w:hyperlink r:id="rId10" w:history="1">
        <w:r w:rsidR="004833BB" w:rsidRPr="00231026">
          <w:rPr>
            <w:rStyle w:val="Hyperlink"/>
            <w:lang w:val="en-GB"/>
          </w:rPr>
          <w:t>annalaura.del-regno@basf.com</w:t>
        </w:r>
      </w:hyperlink>
      <w:r w:rsidR="004833BB">
        <w:rPr>
          <w:rFonts w:cs="Times New Roman"/>
          <w:sz w:val="22"/>
          <w:lang w:val="en-GB"/>
        </w:rPr>
        <w:t xml:space="preserve">; </w:t>
      </w:r>
      <w:hyperlink r:id="rId11" w:history="1">
        <w:r w:rsidR="004833BB" w:rsidRPr="004A7079">
          <w:rPr>
            <w:rStyle w:val="Hyperlink"/>
            <w:rFonts w:cs="Times New Roman"/>
            <w:sz w:val="22"/>
            <w:lang w:val="en-GB"/>
          </w:rPr>
          <w:t>richard.anderson@stfc.ac.uk</w:t>
        </w:r>
      </w:hyperlink>
      <w:r w:rsidR="004833BB">
        <w:rPr>
          <w:rFonts w:cs="Times New Roman"/>
          <w:sz w:val="22"/>
          <w:lang w:val="en-GB"/>
        </w:rPr>
        <w:br w:type="page"/>
      </w:r>
    </w:p>
    <w:p w:rsidR="004833BB" w:rsidRPr="004C1D1A" w:rsidRDefault="004833BB" w:rsidP="004833BB">
      <w:pPr>
        <w:pStyle w:val="Heading2"/>
        <w:numPr>
          <w:ilvl w:val="1"/>
          <w:numId w:val="1"/>
        </w:numPr>
        <w:rPr>
          <w:rStyle w:val="institution"/>
          <w:rFonts w:cs="Times New Roman"/>
          <w:bCs w:val="0"/>
          <w:iCs w:val="0"/>
          <w:sz w:val="22"/>
          <w:szCs w:val="22"/>
          <w:lang w:val="en-GB"/>
        </w:rPr>
      </w:pPr>
      <w:r w:rsidRPr="004C1D1A">
        <w:rPr>
          <w:rStyle w:val="institution"/>
          <w:rFonts w:cs="Times New Roman"/>
          <w:lang w:val="en-GB"/>
        </w:rPr>
        <w:lastRenderedPageBreak/>
        <w:t>ABSTRACT</w:t>
      </w:r>
    </w:p>
    <w:p w:rsidR="004833BB" w:rsidRPr="00B3518C" w:rsidRDefault="004833BB" w:rsidP="004833BB">
      <w:pPr>
        <w:pStyle w:val="Heading3"/>
        <w:rPr>
          <w:rFonts w:ascii="Times New Roman" w:eastAsia="Times New Roman" w:hAnsi="Times New Roman" w:cs="Times New Roman"/>
          <w:color w:val="auto"/>
          <w:lang w:val="en-GB"/>
        </w:rPr>
      </w:pPr>
      <w:r w:rsidRPr="004833BB">
        <w:rPr>
          <w:rFonts w:ascii="Times New Roman" w:eastAsia="Times New Roman" w:hAnsi="Times New Roman" w:cs="Times New Roman"/>
          <w:color w:val="auto"/>
          <w:lang w:val="en-GB"/>
        </w:rPr>
        <w:t>Application</w:t>
      </w:r>
    </w:p>
    <w:p w:rsidR="004833BB" w:rsidRPr="003504EC" w:rsidRDefault="004833BB" w:rsidP="004833BB">
      <w:pPr>
        <w:jc w:val="both"/>
        <w:rPr>
          <w:lang w:val="en-GB"/>
        </w:rPr>
      </w:pPr>
      <w:r w:rsidRPr="003504EC">
        <w:rPr>
          <w:rFonts w:cs="Times New Roman"/>
          <w:lang w:val="en-GB"/>
        </w:rPr>
        <w:t>Sodium Laurylethoxysulfate</w:t>
      </w:r>
      <w:r w:rsidRPr="003504EC">
        <w:rPr>
          <w:lang w:val="en-GB"/>
        </w:rPr>
        <w:t xml:space="preserve"> (SLES) is a fundamental ingredient in a wide range of surfactant products and the mapping of its various mesophases is pivotal in predicting the liquid viscosity. </w:t>
      </w:r>
    </w:p>
    <w:p w:rsidR="004833BB" w:rsidRPr="003504EC" w:rsidRDefault="004833BB" w:rsidP="004833BB">
      <w:pPr>
        <w:pStyle w:val="Heading3"/>
        <w:rPr>
          <w:rFonts w:ascii="Times New Roman" w:eastAsia="Times New Roman" w:hAnsi="Times New Roman" w:cs="Times New Roman"/>
          <w:color w:val="auto"/>
          <w:lang w:val="en-GB"/>
        </w:rPr>
      </w:pPr>
      <w:r w:rsidRPr="003504EC">
        <w:rPr>
          <w:rFonts w:ascii="Times New Roman" w:eastAsia="Times New Roman" w:hAnsi="Times New Roman" w:cs="Times New Roman"/>
          <w:color w:val="auto"/>
          <w:lang w:val="en-GB"/>
        </w:rPr>
        <w:t>Experiments</w:t>
      </w:r>
    </w:p>
    <w:p w:rsidR="004833BB" w:rsidRPr="003504EC" w:rsidRDefault="004833BB" w:rsidP="004833BB">
      <w:pPr>
        <w:jc w:val="both"/>
        <w:rPr>
          <w:rFonts w:cs="Times New Roman"/>
          <w:lang w:val="en-GB"/>
        </w:rPr>
      </w:pPr>
      <w:r w:rsidRPr="003504EC">
        <w:rPr>
          <w:rFonts w:cs="Times New Roman"/>
          <w:lang w:val="en-GB"/>
        </w:rPr>
        <w:t>We use a novel set of Dissipative Particle Dynamics parameters specifically developed for surfactant molecules to construct the first phase diagram of pure SLES in sodium chloride/water solutions.</w:t>
      </w:r>
    </w:p>
    <w:p w:rsidR="004833BB" w:rsidRPr="003504EC" w:rsidRDefault="004833BB" w:rsidP="004833BB">
      <w:pPr>
        <w:pStyle w:val="Heading3"/>
        <w:rPr>
          <w:rFonts w:ascii="Times New Roman" w:eastAsia="Times New Roman" w:hAnsi="Times New Roman" w:cs="Times New Roman"/>
          <w:color w:val="auto"/>
          <w:lang w:val="en-GB"/>
        </w:rPr>
      </w:pPr>
      <w:r w:rsidRPr="003504EC">
        <w:rPr>
          <w:rFonts w:ascii="Times New Roman" w:eastAsia="Times New Roman" w:hAnsi="Times New Roman" w:cs="Times New Roman"/>
          <w:color w:val="auto"/>
          <w:lang w:val="en-GB"/>
        </w:rPr>
        <w:t>Findings</w:t>
      </w:r>
    </w:p>
    <w:p w:rsidR="004833BB" w:rsidRPr="003504EC" w:rsidRDefault="004833BB" w:rsidP="004833BB">
      <w:pPr>
        <w:jc w:val="both"/>
        <w:rPr>
          <w:rFonts w:cs="Times New Roman"/>
          <w:lang w:val="en-GB"/>
        </w:rPr>
      </w:pPr>
      <w:r w:rsidRPr="003504EC">
        <w:rPr>
          <w:rFonts w:cs="Times New Roman"/>
          <w:lang w:val="en-GB"/>
        </w:rPr>
        <w:t xml:space="preserve">We found that our DPD model is able to reproduce the range of morphologies expected for these types of ionic surfactants and in agreement with recent rheological data and theoretical predictions based on the packing parameter. We calculated the structure factor for various salt concentrations and show that the change from spherical to worm-like micelles can be inferred also looking at the intensity of the peak at intermediate </w:t>
      </w:r>
      <w:r w:rsidRPr="003504EC">
        <w:rPr>
          <w:rFonts w:cs="Times New Roman"/>
          <w:i/>
          <w:lang w:val="en-GB"/>
        </w:rPr>
        <w:t>q</w:t>
      </w:r>
      <w:r w:rsidRPr="003504EC">
        <w:rPr>
          <w:rFonts w:cs="Times New Roman"/>
          <w:lang w:val="en-GB"/>
        </w:rPr>
        <w:t>-values which decreases in intensity as salt concentrations increase. Varying the ethoxyl groups we observe that the additional ethoxyl group increased the micellar radius and affected the micelles’ shape polydispersity in the system. Finally, based on the contour length of worm-like micelles observed at intermediate salt concentrations, a closed mathematical formula is proposed capable of predicting the average micellar contour length given the salt and surfactant concentrations.</w:t>
      </w:r>
    </w:p>
    <w:p w:rsidR="004833BB" w:rsidRPr="004C1D1A" w:rsidRDefault="004833BB" w:rsidP="004833BB">
      <w:pPr>
        <w:pStyle w:val="textbox"/>
        <w:shd w:val="clear" w:color="auto" w:fill="FFFFFF" w:themeFill="background1"/>
        <w:spacing w:before="0" w:beforeAutospacing="0" w:after="0" w:afterAutospacing="0"/>
      </w:pPr>
    </w:p>
    <w:p w:rsidR="004833BB" w:rsidRDefault="004833BB" w:rsidP="004833BB">
      <w:pPr>
        <w:pStyle w:val="textbox"/>
        <w:shd w:val="clear" w:color="auto" w:fill="FFFFFF" w:themeFill="background1"/>
        <w:spacing w:before="0" w:beforeAutospacing="0" w:after="0" w:afterAutospacing="0"/>
        <w:jc w:val="both"/>
      </w:pPr>
      <w:r>
        <w:t>Keywords: Sodium Laurylethoxys</w:t>
      </w:r>
      <w:r w:rsidRPr="004C1D1A">
        <w:t>ulfate, anionic surfactants, DPD, contour length, packing parameter, structure factor.</w:t>
      </w:r>
    </w:p>
    <w:p w:rsidR="004833BB" w:rsidRDefault="004833BB" w:rsidP="004833BB">
      <w:pPr>
        <w:pStyle w:val="textbox"/>
        <w:shd w:val="clear" w:color="auto" w:fill="FFFFFF" w:themeFill="background1"/>
        <w:spacing w:before="0" w:beforeAutospacing="0" w:after="0" w:afterAutospacing="0"/>
        <w:jc w:val="both"/>
      </w:pPr>
    </w:p>
    <w:p w:rsidR="004833BB" w:rsidRDefault="004833BB" w:rsidP="004833BB">
      <w:pPr>
        <w:pStyle w:val="textbox"/>
        <w:shd w:val="clear" w:color="auto" w:fill="FFFFFF" w:themeFill="background1"/>
        <w:spacing w:before="0" w:beforeAutospacing="0" w:after="0" w:afterAutospacing="0"/>
        <w:jc w:val="both"/>
      </w:pPr>
    </w:p>
    <w:p w:rsidR="004833BB" w:rsidRDefault="004833BB" w:rsidP="004833BB">
      <w:pPr>
        <w:pStyle w:val="textbox"/>
        <w:shd w:val="clear" w:color="auto" w:fill="FFFFFF" w:themeFill="background1"/>
        <w:spacing w:before="0" w:beforeAutospacing="0" w:after="0" w:afterAutospacing="0"/>
        <w:jc w:val="both"/>
      </w:pPr>
    </w:p>
    <w:p w:rsidR="004833BB" w:rsidRDefault="004833BB" w:rsidP="004833BB">
      <w:pPr>
        <w:pStyle w:val="textbox"/>
        <w:shd w:val="clear" w:color="auto" w:fill="FFFFFF" w:themeFill="background1"/>
        <w:spacing w:before="0" w:beforeAutospacing="0" w:after="0" w:afterAutospacing="0"/>
        <w:jc w:val="both"/>
      </w:pPr>
    </w:p>
    <w:p w:rsidR="004833BB" w:rsidRDefault="004833BB" w:rsidP="004833BB">
      <w:pPr>
        <w:pStyle w:val="textbox"/>
        <w:shd w:val="clear" w:color="auto" w:fill="FFFFFF" w:themeFill="background1"/>
        <w:spacing w:before="0" w:beforeAutospacing="0" w:after="0" w:afterAutospacing="0"/>
        <w:jc w:val="both"/>
      </w:pPr>
    </w:p>
    <w:p w:rsidR="004833BB" w:rsidRPr="00725523" w:rsidRDefault="004833BB" w:rsidP="004833BB">
      <w:pPr>
        <w:widowControl/>
        <w:suppressAutoHyphens w:val="0"/>
        <w:spacing w:after="160" w:line="259" w:lineRule="auto"/>
        <w:rPr>
          <w:rFonts w:eastAsia="Times New Roman" w:cs="Times New Roman"/>
          <w:kern w:val="0"/>
          <w:lang w:val="en-GB" w:eastAsia="en-GB" w:bidi="ar-SA"/>
        </w:rPr>
      </w:pPr>
      <w:r w:rsidRPr="0038281A">
        <w:rPr>
          <w:lang w:val="en-GB"/>
        </w:rPr>
        <w:br w:type="page"/>
      </w:r>
    </w:p>
    <w:p w:rsidR="004833BB" w:rsidRPr="004C1D1A" w:rsidRDefault="004833BB" w:rsidP="004833BB">
      <w:pPr>
        <w:pStyle w:val="Heading2"/>
        <w:numPr>
          <w:ilvl w:val="1"/>
          <w:numId w:val="1"/>
        </w:numPr>
        <w:rPr>
          <w:rFonts w:cs="Times New Roman"/>
          <w:lang w:val="en-GB"/>
        </w:rPr>
      </w:pPr>
      <w:r w:rsidRPr="004C1D1A">
        <w:rPr>
          <w:rFonts w:cs="Times New Roman"/>
          <w:szCs w:val="26"/>
          <w:lang w:val="en-GB"/>
        </w:rPr>
        <w:lastRenderedPageBreak/>
        <w:t>1. INTRODUCTION</w:t>
      </w:r>
    </w:p>
    <w:p w:rsidR="004833BB" w:rsidRPr="004C1D1A" w:rsidRDefault="004833BB" w:rsidP="004833BB">
      <w:pPr>
        <w:ind w:firstLine="567"/>
        <w:jc w:val="both"/>
        <w:rPr>
          <w:rFonts w:cs="Times New Roman"/>
          <w:lang w:val="en-GB"/>
        </w:rPr>
      </w:pPr>
      <w:r w:rsidRPr="004C1D1A">
        <w:rPr>
          <w:rFonts w:cs="Times New Roman"/>
          <w:lang w:val="en-GB"/>
        </w:rPr>
        <w:t xml:space="preserve">In aqueous solutions surfactants self-assemble into a collection of mesoscopic structures varying from discrete spherical and rod-like </w:t>
      </w:r>
      <w:r>
        <w:rPr>
          <w:rFonts w:cs="Times New Roman"/>
          <w:lang w:val="en-GB"/>
        </w:rPr>
        <w:t>or</w:t>
      </w:r>
      <w:r w:rsidRPr="004C1D1A">
        <w:rPr>
          <w:rFonts w:cs="Times New Roman"/>
          <w:lang w:val="en-GB"/>
        </w:rPr>
        <w:t xml:space="preserve"> worm-like micelles </w:t>
      </w:r>
      <w:r>
        <w:rPr>
          <w:rFonts w:cs="Times New Roman"/>
          <w:lang w:val="en-GB"/>
        </w:rPr>
        <w:t xml:space="preserve">(WLM) </w:t>
      </w:r>
      <w:r w:rsidRPr="004C1D1A">
        <w:rPr>
          <w:rFonts w:cs="Times New Roman"/>
          <w:lang w:val="en-GB"/>
        </w:rPr>
        <w:t xml:space="preserve">to continuous branched networks </w:t>
      </w:r>
      <w:r w:rsidRPr="004C1D1A">
        <w:rPr>
          <w:rFonts w:cs="Times New Roman"/>
          <w:lang w:val="en-GB"/>
        </w:rPr>
        <w:fldChar w:fldCharType="begin" w:fldLock="1"/>
      </w:r>
      <w:r>
        <w:rPr>
          <w:rFonts w:cs="Times New Roman"/>
          <w:lang w:val="en-GB"/>
        </w:rPr>
        <w:instrText>ADDIN CSL_CITATION {"citationItems":[{"id":"ITEM-1","itemData":{"DOI":"10.1002/0470856424","ISBN":"0471498831","ISSN":"0883-7554","PMID":"978","author":[{"dropping-particle":"","family":"Holmberg","given":"Krister","non-dropping-particle":"","parse-names":false,"suffix":""},{"dropping-particle":"","family":"Bo","given":"J","non-dropping-particle":"","parse-names":false,"suffix":""},{"dropping-particle":"","family":"Kronberg","given":"Bengt","non-dropping-particle":"","parse-names":false,"suffix":""}],"id":"ITEM-1","issued":{"date-parts":[["2002"]]},"number-of-pages":"0-471","publisher":"John Wiley &amp; Sons, Ltd.","title":"Surfactants and Polymers in Aqueous solution","type":"book"},"uris":["http://www.mendeley.com/documents/?uuid=839d7770-bbe4-4a78-a637-539aba5ebc54"]}],"mendeley":{"formattedCitation":"[1]","plainTextFormattedCitation":"[1]","previouslyFormattedCitation":"[1]"},"properties":{"noteIndex":0},"schema":"https://github.com/citation-style-language/schema/raw/master/csl-citation.json"}</w:instrText>
      </w:r>
      <w:r w:rsidRPr="004C1D1A">
        <w:rPr>
          <w:rFonts w:cs="Times New Roman"/>
          <w:lang w:val="en-GB"/>
        </w:rPr>
        <w:fldChar w:fldCharType="separate"/>
      </w:r>
      <w:r w:rsidRPr="004C1D1A">
        <w:rPr>
          <w:rFonts w:cs="Times New Roman"/>
          <w:noProof/>
          <w:lang w:val="en-GB"/>
        </w:rPr>
        <w:t>[1]</w:t>
      </w:r>
      <w:r w:rsidRPr="004C1D1A">
        <w:rPr>
          <w:rFonts w:cs="Times New Roman"/>
          <w:lang w:val="en-GB"/>
        </w:rPr>
        <w:fldChar w:fldCharType="end"/>
      </w:r>
      <w:r w:rsidRPr="004C1D1A">
        <w:rPr>
          <w:rFonts w:cs="Times New Roman"/>
          <w:lang w:val="en-GB"/>
        </w:rPr>
        <w:t xml:space="preserve">. This wide range of morphologies results in a variety of physicochemical behaviours that make surfactants the basic ingredients in the formulation of numerous commercial products used in multiple industrial sectors from the oil and gas </w:t>
      </w:r>
      <w:r w:rsidRPr="004C1D1A">
        <w:rPr>
          <w:rFonts w:cs="Times New Roman"/>
          <w:lang w:val="en-GB"/>
        </w:rPr>
        <w:fldChar w:fldCharType="begin" w:fldLock="1"/>
      </w:r>
      <w:r w:rsidRPr="004C1D1A">
        <w:rPr>
          <w:rFonts w:cs="Times New Roman"/>
          <w:lang w:val="en-GB"/>
        </w:rPr>
        <w:instrText>ADDIN CSL_CITATION {"citationItems":[{"id":"ITEM-1","itemData":{"DOI":"10.1080/15422119.2018.1474477","ISSN":"1542-2119","author":[{"dropping-particle":"","family":"Rocha e Silva","given":"Nathalia Maria P.","non-dropping-particle":"","parse-names":false,"suffix":""},{"dropping-particle":"","family":"Meira","given":"Hugo M.","non-dropping-particle":"","parse-names":false,"suffix":""},{"dropping-particle":"","family":"Almeida","given":"Fabíola Carolina G.","non-dropping-particle":"","parse-names":false,"suffix":""},{"dropping-particle":"","family":"Soares da Silva","given":"Rita de Cássia F.","non-dropping-particle":"","parse-names":false,"suffix":""},{"dropping-particle":"","family":"Almeida","given":"Darne G.","non-dropping-particle":"","parse-names":false,"suffix":""},{"dropping-particle":"","family":"Luna","given":"Juliana M.","non-dropping-particle":"","parse-names":false,"suffix":""},{"dropping-particle":"","family":"Rufino","given":"Raquel D.","non-dropping-particle":"","parse-names":false,"suffix":""},{"dropping-particle":"","family":"Santos","given":"Valdemir A.","non-dropping-particle":"","parse-names":false,"suffix":""},{"dropping-particle":"","family":"Sarubbo","given":"Leonie A.","non-dropping-particle":"","parse-names":false,"suffix":""}],"container-title":"Separation &amp; Purification Reviews","id":"ITEM-1","issued":{"date-parts":[["2018"]]},"page":"1-15","publisher":"Taylor &amp; Francis","title":"Natural Surfactants and Their Applications for Heavy Oil Removal in Industry","type":"article-journal"},"uris":["http://www.mendeley.com/documents/?uuid=de94bb38-5789-49eb-b3b7-51554cf9c252"]}],"mendeley":{"formattedCitation":"[2]","plainTextFormattedCitation":"[2]","previouslyFormattedCitation":"[2]"},"properties":{"noteIndex":0},"schema":"https://github.com/citation-style-language/schema/raw/master/csl-citation.json"}</w:instrText>
      </w:r>
      <w:r w:rsidRPr="004C1D1A">
        <w:rPr>
          <w:rFonts w:cs="Times New Roman"/>
          <w:lang w:val="en-GB"/>
        </w:rPr>
        <w:fldChar w:fldCharType="separate"/>
      </w:r>
      <w:r w:rsidRPr="004C1D1A">
        <w:rPr>
          <w:rFonts w:cs="Times New Roman"/>
          <w:noProof/>
          <w:lang w:val="en-GB"/>
        </w:rPr>
        <w:t>[2]</w:t>
      </w:r>
      <w:r w:rsidRPr="004C1D1A">
        <w:rPr>
          <w:rFonts w:cs="Times New Roman"/>
          <w:lang w:val="en-GB"/>
        </w:rPr>
        <w:fldChar w:fldCharType="end"/>
      </w:r>
      <w:r w:rsidRPr="004C1D1A">
        <w:rPr>
          <w:rFonts w:cs="Times New Roman"/>
          <w:lang w:val="en-GB"/>
        </w:rPr>
        <w:t xml:space="preserve"> to the pharmaceutical industries </w:t>
      </w:r>
      <w:r w:rsidRPr="004C1D1A">
        <w:rPr>
          <w:rFonts w:cs="Times New Roman"/>
          <w:lang w:val="en-GB"/>
        </w:rPr>
        <w:fldChar w:fldCharType="begin" w:fldLock="1"/>
      </w:r>
      <w:r>
        <w:rPr>
          <w:rFonts w:cs="Times New Roman"/>
          <w:lang w:val="en-GB"/>
        </w:rPr>
        <w:instrText>ADDIN CSL_CITATION {"citationItems":[{"id":"ITEM-1","itemData":{"DOI":"10.1111/ics.12439","ISBN":"0000000154871","ISSN":"14682494","PMID":"27935037","abstract":"Introduction: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DULCIS.","author":[{"dropping-particle":"","family":"Cornwell","given":"P. A.","non-dropping-particle":"","parse-names":false,"suffix":""}],"container-title":"International Journal of Cosmetic Science","id":"ITEM-1","issue":"1","issued":{"date-parts":[["2018"]]},"page":"16-30","title":"A review of shampoo surfactant technology: consumer benefits, raw materials and recent developments","type":"article-journal","volume":"40"},"uris":["http://www.mendeley.com/documents/?uuid=e4140f02-74b5-4600-ba5f-63c771855e11"]},{"id":"ITEM-2","itemData":{"DOI":"10.1007/978-3-319-47164-8_6","ISBN":"978-0-444-63508-2","ISSN":"14337851","PMID":"3068816","abstract":"\"Second Edition provides a thorough, up-to-date treatment of the fundamental behavior of surface active agents in solutions, their interaction with biological structures from proteins and membranes to the stratum corneum and epidermis, and their performance in formulations such as shampoos, dentifrice, aerosols, and skin cleansers.\"","author":[{"dropping-particle":"","family":"Prieto-Blanco","given":"M. Carmen","non-dropping-particle":"","parse-names":false,"suffix":""},{"dropping-particle":"","family":"Fernández-Amado","given":"María","non-dropping-particle":"","parse-names":false,"suffix":""},{"dropping-particle":"","family":"López-Mahía","given":"Purificación","non-dropping-particle":"","parse-names":false,"suffix":""},{"dropping-particle":"","family":"Muniategui-Lorenzo","given":"Soledad","non-dropping-particle":"","parse-names":false,"suffix":""},{"dropping-particle":"","family":"Prada-Rodríguez","given":"Darío","non-dropping-particle":"","parse-names":false,"suffix":""}],"container-title":"Analysis of Cosmetic Products","edition":"Second Edi","id":"ITEM-2","issued":{"date-parts":[["2018"]]},"page":"249-287","publisher":"Elsevier B.V.","title":"Surfactants in Cosmetics: Regulatory Aspects and analytical methods","type":"chapter"},"uris":["http://www.mendeley.com/documents/?uuid=52e7d2a0-97eb-4bc3-9fdb-13ba5c84b1c9"]}],"mendeley":{"formattedCitation":"[3,4]","plainTextFormattedCitation":"[3,4]","previouslyFormattedCitation":"[3,4]"},"properties":{"noteIndex":0},"schema":"https://github.com/citation-style-language/schema/raw/master/csl-citation.json"}</w:instrText>
      </w:r>
      <w:r w:rsidRPr="004C1D1A">
        <w:rPr>
          <w:rFonts w:cs="Times New Roman"/>
          <w:lang w:val="en-GB"/>
        </w:rPr>
        <w:fldChar w:fldCharType="separate"/>
      </w:r>
      <w:r w:rsidRPr="004C1D1A">
        <w:rPr>
          <w:rFonts w:cs="Times New Roman"/>
          <w:noProof/>
          <w:lang w:val="en-GB"/>
        </w:rPr>
        <w:t>[3,4]</w:t>
      </w:r>
      <w:r w:rsidRPr="004C1D1A">
        <w:rPr>
          <w:rFonts w:cs="Times New Roman"/>
          <w:lang w:val="en-GB"/>
        </w:rPr>
        <w:fldChar w:fldCharType="end"/>
      </w:r>
      <w:r w:rsidRPr="004C1D1A">
        <w:rPr>
          <w:rFonts w:cs="Times New Roman"/>
          <w:lang w:val="en-GB"/>
        </w:rPr>
        <w:t xml:space="preserve">. </w:t>
      </w:r>
      <w:r>
        <w:rPr>
          <w:rFonts w:cs="Times New Roman"/>
          <w:lang w:val="en-GB"/>
        </w:rPr>
        <w:t>Phase</w:t>
      </w:r>
      <w:r w:rsidRPr="004C1D1A">
        <w:rPr>
          <w:rFonts w:cs="Times New Roman"/>
          <w:lang w:val="en-GB"/>
        </w:rPr>
        <w:t xml:space="preserve"> diagrams </w:t>
      </w:r>
      <w:r>
        <w:rPr>
          <w:rFonts w:cs="Times New Roman"/>
          <w:lang w:val="en-GB"/>
        </w:rPr>
        <w:t xml:space="preserve">can be used to represent the various morphologies of surfactant systems. The phases </w:t>
      </w:r>
      <w:r w:rsidRPr="004C1D1A">
        <w:rPr>
          <w:rFonts w:cs="Times New Roman"/>
          <w:lang w:val="en-GB"/>
        </w:rPr>
        <w:t>depend on the surfactant chemical structure, its concentration (</w:t>
      </w:r>
      <m:oMath>
        <m:r>
          <w:rPr>
            <w:rFonts w:ascii="Cambria Math" w:hAnsi="Cambria Math" w:cs="Times New Roman"/>
            <w:lang w:val="en-GB"/>
          </w:rPr>
          <m:t>c</m:t>
        </m:r>
      </m:oMath>
      <w:r w:rsidRPr="004C1D1A">
        <w:rPr>
          <w:rFonts w:cs="Times New Roman"/>
          <w:lang w:val="en-GB"/>
        </w:rPr>
        <w:t>), the presence of co-surfactants or other additives and, in the case of ionic surfactants, on the salt concentration (</w:t>
      </w:r>
      <w:r w:rsidRPr="00FF0061">
        <w:rPr>
          <w:rFonts w:cs="Times New Roman"/>
          <w:i/>
          <w:lang w:val="en-GB"/>
        </w:rPr>
        <w:t>c</w:t>
      </w:r>
      <w:r w:rsidRPr="00FF0061">
        <w:rPr>
          <w:rFonts w:cs="Times New Roman"/>
          <w:i/>
          <w:vertAlign w:val="subscript"/>
          <w:lang w:val="en-GB"/>
        </w:rPr>
        <w:t>s</w:t>
      </w:r>
      <w:r w:rsidRPr="004C1D1A">
        <w:rPr>
          <w:rFonts w:cs="Times New Roman"/>
          <w:lang w:val="en-GB"/>
        </w:rPr>
        <w:t xml:space="preserve">) of the solution. While the presence of co-surfactants has the main effect of reducing the interfacial tension, the presence of salt affects the solution morphology by screening the electrostatic repulsion between the </w:t>
      </w:r>
      <w:r>
        <w:rPr>
          <w:rFonts w:cs="Times New Roman"/>
          <w:lang w:val="en-GB"/>
        </w:rPr>
        <w:t xml:space="preserve">charged </w:t>
      </w:r>
      <w:r w:rsidRPr="004C1D1A">
        <w:rPr>
          <w:rFonts w:cs="Times New Roman"/>
          <w:lang w:val="en-GB"/>
        </w:rPr>
        <w:t>surfactant</w:t>
      </w:r>
      <w:r>
        <w:rPr>
          <w:rFonts w:cs="Times New Roman"/>
          <w:lang w:val="en-GB"/>
        </w:rPr>
        <w:t xml:space="preserve"> </w:t>
      </w:r>
      <w:r w:rsidRPr="004C1D1A">
        <w:rPr>
          <w:rFonts w:cs="Times New Roman"/>
          <w:lang w:val="en-GB"/>
        </w:rPr>
        <w:t>head groups</w:t>
      </w:r>
      <w:r>
        <w:rPr>
          <w:rFonts w:cs="Times New Roman"/>
          <w:lang w:val="en-GB"/>
        </w:rPr>
        <w:t xml:space="preserve"> and</w:t>
      </w:r>
      <w:r w:rsidRPr="004C1D1A">
        <w:rPr>
          <w:rFonts w:cs="Times New Roman"/>
          <w:lang w:val="en-GB"/>
        </w:rPr>
        <w:t xml:space="preserve"> allowing the formation of long </w:t>
      </w:r>
      <w:r>
        <w:rPr>
          <w:rFonts w:cs="Times New Roman"/>
          <w:lang w:val="en-GB"/>
        </w:rPr>
        <w:t>micellar</w:t>
      </w:r>
      <w:r w:rsidRPr="004C1D1A">
        <w:rPr>
          <w:rFonts w:cs="Times New Roman"/>
          <w:lang w:val="en-GB"/>
        </w:rPr>
        <w:t xml:space="preserve"> m</w:t>
      </w:r>
      <w:r>
        <w:rPr>
          <w:rFonts w:cs="Times New Roman"/>
          <w:lang w:val="en-GB"/>
        </w:rPr>
        <w:t xml:space="preserve">esophases </w:t>
      </w:r>
      <w:r w:rsidRPr="004C1D1A">
        <w:rPr>
          <w:rFonts w:cs="Times New Roman"/>
          <w:lang w:val="en-GB"/>
        </w:rPr>
        <w:t xml:space="preserve">even at relatively low surfactant concentration </w:t>
      </w:r>
      <w:r w:rsidRPr="004C1D1A">
        <w:rPr>
          <w:rFonts w:cs="Times New Roman"/>
          <w:lang w:val="en-GB"/>
        </w:rPr>
        <w:fldChar w:fldCharType="begin" w:fldLock="1"/>
      </w:r>
      <w:r w:rsidRPr="004C1D1A">
        <w:rPr>
          <w:rFonts w:cs="Times New Roman"/>
          <w:lang w:val="en-GB"/>
        </w:rPr>
        <w:instrText>ADDIN CSL_CITATION {"citationItems":[{"id":"ITEM-1","itemData":{"DOI":"10.1021/j100551a011","ISBN":"0022-3654","ISSN":"00223654","abstract":"Measurements of the autocorrelation function and av. intensity of light quasielastically scattered from aq. Na dodecyl sulfate (SDS) in the presence of NaCl were made over a wide region of the micellar phase and in the supercooled state below the crit. micellar temp. (cmt). The mean size, shape, aggregation no., and polydispersity of SDS micelles were deduced as a function of temp. (10-85 Deg) and NaCl concn. (0.15-0.6M) for SDS concns. (1.7 * 10-2, 3.5 * 10-2, and 6.9 * 10-2M) which exceed the crit. micellar concn. (cmc). The size and shape of the micelles depend on the temp. and NaCl concn. A min. micellar size corresponding to a sphere with a hydrated radius of .apprx.25 .ANG. is asymptotically approached at high temp. in all NaCl concns. In NaCl concns. &gt;0.3M micellar growth occurs as the temp. is lowered, and the enlarged SDS micelle can be approximated by a prolate ellipsoid. The mean aggregation nos. of these rodlike micelles vary with the square root of the SDS concn. The width of the distribution of aggregation nos. was +-70% of the mean value. In supercooled solns., micellar size and shape have the same dependence on detergent concn., NaCl concn., and temp. as occurs above the cmt. The cmt, its dependence on NaCl concn., and the metastability of supercooled micellar solns. are discussed in relation to the coupling between the monomer-hydrated solid equil. and the monomer-micelle equil. [on SciFinder (R)]","author":[{"dropping-particle":"","family":"Mazer","given":"Norman A.","non-dropping-particle":"","parse-names":false,"suffix":""},{"dropping-particle":"","family":"Benedek","given":"George B.","non-dropping-particle":"","parse-names":false,"suffix":""},{"dropping-particle":"","family":"Carey","given":"Martin C.","non-dropping-particle":"","parse-names":false,"suffix":""}],"container-title":"Journal of Physical Chemistry","id":"ITEM-1","issue":"10","issued":{"date-parts":[["1976"]]},"page":"1075-1085","title":"An investigation of the micellar phase of sodium dodecyl sulfate in aqueous sodium chloride solutions using quasielastic light scattering spectroscopy","type":"article-journal","volume":"80"},"uris":["http://www.mendeley.com/documents/?uuid=8426acf3-002f-4c41-acd4-7a5ae4ac976d"]}],"mendeley":{"formattedCitation":"[5]","plainTextFormattedCitation":"[5]","previouslyFormattedCitation":"[5]"},"properties":{"noteIndex":0},"schema":"https://github.com/citation-style-language/schema/raw/master/csl-citation.json"}</w:instrText>
      </w:r>
      <w:r w:rsidRPr="004C1D1A">
        <w:rPr>
          <w:rFonts w:cs="Times New Roman"/>
          <w:lang w:val="en-GB"/>
        </w:rPr>
        <w:fldChar w:fldCharType="separate"/>
      </w:r>
      <w:r w:rsidRPr="004C1D1A">
        <w:rPr>
          <w:rFonts w:cs="Times New Roman"/>
          <w:noProof/>
          <w:lang w:val="en-GB"/>
        </w:rPr>
        <w:t>[5]</w:t>
      </w:r>
      <w:r w:rsidRPr="004C1D1A">
        <w:rPr>
          <w:rFonts w:cs="Times New Roman"/>
          <w:lang w:val="en-GB"/>
        </w:rPr>
        <w:fldChar w:fldCharType="end"/>
      </w:r>
      <w:r w:rsidRPr="004C1D1A">
        <w:rPr>
          <w:rFonts w:cs="Times New Roman"/>
          <w:lang w:val="en-GB"/>
        </w:rPr>
        <w:t xml:space="preserve">.  </w:t>
      </w:r>
    </w:p>
    <w:p w:rsidR="004833BB" w:rsidRPr="004C1D1A" w:rsidRDefault="004833BB" w:rsidP="004833BB">
      <w:pPr>
        <w:ind w:firstLine="567"/>
        <w:jc w:val="both"/>
        <w:rPr>
          <w:rFonts w:cs="Times New Roman"/>
          <w:lang w:val="en-GB"/>
        </w:rPr>
      </w:pPr>
      <w:r w:rsidRPr="004C1D1A">
        <w:rPr>
          <w:rFonts w:cs="Times New Roman"/>
          <w:lang w:val="en-GB"/>
        </w:rPr>
        <w:t xml:space="preserve">In this work we </w:t>
      </w:r>
      <w:r>
        <w:rPr>
          <w:rFonts w:cs="Times New Roman"/>
          <w:lang w:val="en-GB"/>
        </w:rPr>
        <w:t>have explored</w:t>
      </w:r>
      <w:r w:rsidRPr="004C1D1A">
        <w:rPr>
          <w:rFonts w:cs="Times New Roman"/>
          <w:lang w:val="en-GB"/>
        </w:rPr>
        <w:t xml:space="preserve"> the phase </w:t>
      </w:r>
      <w:r>
        <w:rPr>
          <w:rFonts w:cs="Times New Roman"/>
          <w:lang w:val="en-GB"/>
        </w:rPr>
        <w:t>behaviour</w:t>
      </w:r>
      <w:r w:rsidRPr="004C1D1A">
        <w:rPr>
          <w:rFonts w:cs="Times New Roman"/>
          <w:lang w:val="en-GB"/>
        </w:rPr>
        <w:t xml:space="preserve"> of</w:t>
      </w:r>
      <w:r>
        <w:rPr>
          <w:rFonts w:cs="Times New Roman"/>
          <w:lang w:val="en-GB"/>
        </w:rPr>
        <w:t xml:space="preserve"> Sodium Laurylethoxys</w:t>
      </w:r>
      <w:r w:rsidRPr="004C1D1A">
        <w:rPr>
          <w:rFonts w:cs="Times New Roman"/>
          <w:lang w:val="en-GB"/>
        </w:rPr>
        <w:t>ulfate (SLES)</w:t>
      </w:r>
      <w:r>
        <w:rPr>
          <w:rFonts w:cs="Times New Roman"/>
          <w:lang w:val="en-GB"/>
        </w:rPr>
        <w:t>,</w:t>
      </w:r>
      <w:r w:rsidRPr="004C1D1A">
        <w:rPr>
          <w:rFonts w:cs="Times New Roman"/>
          <w:lang w:val="en-GB"/>
        </w:rPr>
        <w:t xml:space="preserve"> a common ingredient in several formulated home and personal care products. SLES is an anionic surfactant with the chemical formula CH</w:t>
      </w:r>
      <w:r w:rsidRPr="004C1D1A">
        <w:rPr>
          <w:rFonts w:cs="Times New Roman"/>
          <w:vertAlign w:val="subscript"/>
          <w:lang w:val="en-GB"/>
        </w:rPr>
        <w:t>3</w:t>
      </w:r>
      <w:r w:rsidRPr="004C1D1A">
        <w:rPr>
          <w:rFonts w:cs="Times New Roman"/>
          <w:lang w:val="en-GB"/>
        </w:rPr>
        <w:t>(CH</w:t>
      </w:r>
      <w:r w:rsidRPr="004C1D1A">
        <w:rPr>
          <w:rFonts w:cs="Times New Roman"/>
          <w:vertAlign w:val="subscript"/>
          <w:lang w:val="en-GB"/>
        </w:rPr>
        <w:t>2</w:t>
      </w:r>
      <w:r w:rsidRPr="004C1D1A">
        <w:rPr>
          <w:rFonts w:cs="Times New Roman"/>
          <w:lang w:val="en-GB"/>
        </w:rPr>
        <w:t>)</w:t>
      </w:r>
      <w:r w:rsidRPr="004C1D1A">
        <w:rPr>
          <w:rFonts w:cs="Times New Roman"/>
          <w:vertAlign w:val="subscript"/>
          <w:lang w:val="en-GB"/>
        </w:rPr>
        <w:t>m</w:t>
      </w:r>
      <w:r w:rsidRPr="004C1D1A">
        <w:rPr>
          <w:rFonts w:cs="Times New Roman"/>
          <w:lang w:val="en-GB"/>
        </w:rPr>
        <w:t>(OCH</w:t>
      </w:r>
      <w:r w:rsidRPr="004C1D1A">
        <w:rPr>
          <w:rFonts w:cs="Times New Roman"/>
          <w:vertAlign w:val="subscript"/>
          <w:lang w:val="en-GB"/>
        </w:rPr>
        <w:t>2</w:t>
      </w:r>
      <w:r w:rsidRPr="004C1D1A">
        <w:rPr>
          <w:rFonts w:cs="Times New Roman"/>
          <w:lang w:val="en-GB"/>
        </w:rPr>
        <w:t>CH</w:t>
      </w:r>
      <w:r w:rsidRPr="004C1D1A">
        <w:rPr>
          <w:rFonts w:cs="Times New Roman"/>
          <w:vertAlign w:val="subscript"/>
          <w:lang w:val="en-GB"/>
        </w:rPr>
        <w:t>2</w:t>
      </w:r>
      <w:r w:rsidRPr="004C1D1A">
        <w:rPr>
          <w:rFonts w:cs="Times New Roman"/>
          <w:lang w:val="en-GB"/>
        </w:rPr>
        <w:t>)</w:t>
      </w:r>
      <w:r w:rsidRPr="004C1D1A">
        <w:rPr>
          <w:rFonts w:cs="Times New Roman"/>
          <w:vertAlign w:val="subscript"/>
          <w:lang w:val="en-GB"/>
        </w:rPr>
        <w:t>n</w:t>
      </w:r>
      <w:r w:rsidRPr="004C1D1A">
        <w:rPr>
          <w:rFonts w:cs="Times New Roman"/>
          <w:lang w:val="en-GB"/>
        </w:rPr>
        <w:t>OSO</w:t>
      </w:r>
      <w:r w:rsidRPr="004C1D1A">
        <w:rPr>
          <w:rFonts w:cs="Times New Roman"/>
          <w:vertAlign w:val="subscript"/>
          <w:lang w:val="en-GB"/>
        </w:rPr>
        <w:t>3</w:t>
      </w:r>
      <w:r w:rsidRPr="004C1D1A">
        <w:rPr>
          <w:rFonts w:cs="Times New Roman"/>
          <w:lang w:val="en-GB"/>
        </w:rPr>
        <w:t xml:space="preserve">Na where </w:t>
      </w:r>
      <w:r w:rsidRPr="00FF0061">
        <w:rPr>
          <w:rFonts w:cs="Times New Roman"/>
          <w:i/>
          <w:lang w:val="en-GB"/>
        </w:rPr>
        <w:t>n</w:t>
      </w:r>
      <w:r w:rsidRPr="004C1D1A">
        <w:rPr>
          <w:rFonts w:cs="Times New Roman"/>
          <w:lang w:val="en-GB"/>
        </w:rPr>
        <w:t xml:space="preserve"> denotes the number of ethoxyl groups (EO) in the molecule (</w:t>
      </w:r>
      <w:r w:rsidRPr="004C1D1A">
        <w:rPr>
          <w:rFonts w:cs="Times New Roman"/>
          <w:lang w:val="en-GB"/>
        </w:rPr>
        <w:fldChar w:fldCharType="begin"/>
      </w:r>
      <w:r w:rsidRPr="004C1D1A">
        <w:rPr>
          <w:rFonts w:cs="Times New Roman"/>
          <w:lang w:val="en-GB"/>
        </w:rPr>
        <w:instrText xml:space="preserve"> REF _Ref511253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1</w:t>
      </w:r>
      <w:r w:rsidRPr="004C1D1A">
        <w:rPr>
          <w:rFonts w:cs="Times New Roman"/>
          <w:lang w:val="en-GB"/>
        </w:rPr>
        <w:fldChar w:fldCharType="end"/>
      </w:r>
      <w:r w:rsidRPr="004C1D1A">
        <w:rPr>
          <w:rFonts w:cs="Times New Roman"/>
          <w:lang w:val="en-GB"/>
        </w:rPr>
        <w:t xml:space="preserve">) and </w:t>
      </w:r>
      <w:r w:rsidRPr="00FF0061">
        <w:rPr>
          <w:rFonts w:cs="Times New Roman"/>
          <w:i/>
          <w:lang w:val="en-GB"/>
        </w:rPr>
        <w:t>m</w:t>
      </w:r>
      <w:r w:rsidRPr="004C1D1A">
        <w:rPr>
          <w:rFonts w:cs="Times New Roman"/>
          <w:lang w:val="en-GB"/>
        </w:rPr>
        <w:t xml:space="preserve"> the number of carbons in the alkyl tail. The ionic strength of the solution and the number of ethoxyl monomers, </w:t>
      </w:r>
      <w:r w:rsidRPr="00FF0061">
        <w:rPr>
          <w:rFonts w:cs="Times New Roman"/>
          <w:i/>
          <w:lang w:val="en-GB"/>
        </w:rPr>
        <w:t>n</w:t>
      </w:r>
      <w:r w:rsidRPr="004C1D1A">
        <w:rPr>
          <w:rFonts w:cs="Times New Roman"/>
          <w:lang w:val="en-GB"/>
        </w:rPr>
        <w:t xml:space="preserve">, strongly affect </w:t>
      </w:r>
      <w:r>
        <w:rPr>
          <w:rFonts w:cs="Times New Roman"/>
          <w:lang w:val="en-GB"/>
        </w:rPr>
        <w:t>the</w:t>
      </w:r>
      <w:r w:rsidRPr="004C1D1A">
        <w:rPr>
          <w:rFonts w:cs="Times New Roman"/>
          <w:lang w:val="en-GB"/>
        </w:rPr>
        <w:t xml:space="preserve"> micellar morphology</w:t>
      </w:r>
      <w:r>
        <w:rPr>
          <w:rFonts w:cs="Times New Roman"/>
          <w:lang w:val="en-GB"/>
        </w:rPr>
        <w:t xml:space="preserve"> </w:t>
      </w:r>
      <w:r>
        <w:rPr>
          <w:rFonts w:cs="Times New Roman"/>
          <w:lang w:val="en-GB"/>
        </w:rPr>
        <w:fldChar w:fldCharType="begin" w:fldLock="1"/>
      </w:r>
      <w:r>
        <w:rPr>
          <w:rFonts w:cs="Times New Roman"/>
          <w:lang w:val="en-GB"/>
        </w:rPr>
        <w:instrText>ADDIN CSL_CITATION {"citationItems":[{"id":"ITEM-1","itemData":{"DOI":"10.1039/C2SM27078A","ISSN":"1744-683X","abstract":"The impact of NaCl and small hydrophobic molecules, used in perfumery, on the viscoelastic properties of aqueous solutions of sodium lauryl ether sulphate is studied. As the salt concentration increases, the viscosity passes through a maximum. Empirically, this behaviour is well known and is referred to as the 'salt curve'. Dynamic rheological measurements revealed a detailed picture of how salt affects the different length scales in the entangled wormlike micelles. Adding hydrophobic molecules does not change the shape of the salt curve, but they can shift the maximum to lower salt concentrations and alter the peak viscosity. The shift in the salt curve can generally be understood as due to either flattening of the interface, caused by insertion of amphiphilic molecules into the surfactant layer, or micellar swelling, caused by solubilization of very hydrophobic molecules in the micellar core. The viscosity decrease at the salt curve maximum is inversely proportional to the hydrophobicity of the added molecules, so less hydrophobic compounds cause larger decreases. It is hypothesized that these molecules interact with the surfactant headgroups and thereby soften the interfacial film. Our analysis suggests that the addition of hydrophobic additives reduces the persistence length and results in an effective shortening of the micelles. Introduction Giant wormlike micelles are elongated, semi-</w:instrText>
      </w:r>
      <w:r>
        <w:rPr>
          <w:rFonts w:cs="Times New Roman" w:hint="eastAsia"/>
          <w:lang w:val="en-GB"/>
        </w:rPr>
        <w:instrText></w:instrText>
      </w:r>
      <w:r>
        <w:rPr>
          <w:rFonts w:cs="Times New Roman"/>
          <w:lang w:val="en-GB"/>
        </w:rPr>
        <w:instrText>exible surfactant aggregates with remarkable rheological properties. Above a certain threshold concentration these surfactant solutions are viscoelastic due to the transient network formed by the entan-gled micelles. The viscoelasticity of giant micelles has been studied extensively, see for example ref. 1–5 and references therein. In contrast to polymers, wormlike micelles are dynamic systems that constantly break and recombine; therefore they are o</w:instrText>
      </w:r>
      <w:r>
        <w:rPr>
          <w:rFonts w:cs="Times New Roman" w:hint="eastAsia"/>
          <w:lang w:val="en-GB"/>
        </w:rPr>
        <w:instrText></w:instrText>
      </w:r>
      <w:r>
        <w:rPr>
          <w:rFonts w:cs="Times New Roman"/>
          <w:lang w:val="en-GB"/>
        </w:rPr>
        <w:instrText xml:space="preserve">en referred to as \" living polymers \" . 6,7 Understanding the viscoelasticity of wormlike micelles is very challenging as there are multiple pertinent length scales and stress relaxation mechanisms. Nevertheless, viscoelasticity gives a fascinating insight into the relationship between the molecular structure of such complex </w:instrText>
      </w:r>
      <w:r>
        <w:rPr>
          <w:rFonts w:cs="Times New Roman" w:hint="eastAsia"/>
          <w:lang w:val="en-GB"/>
        </w:rPr>
        <w:instrText></w:instrText>
      </w:r>
      <w:r>
        <w:rPr>
          <w:rFonts w:cs="Times New Roman"/>
          <w:lang w:val="en-GB"/>
        </w:rPr>
        <w:instrText xml:space="preserve">uids and their mechanical properties, and its understanding is important for the design and the development of industrial products containing giant wormlike micelles. These have many applications, including fracture </w:instrText>
      </w:r>
      <w:r>
        <w:rPr>
          <w:rFonts w:cs="Times New Roman" w:hint="eastAsia"/>
          <w:lang w:val="en-GB"/>
        </w:rPr>
        <w:instrText></w:instrText>
      </w:r>
      <w:r>
        <w:rPr>
          <w:rFonts w:cs="Times New Roman"/>
          <w:lang w:val="en-GB"/>
        </w:rPr>
        <w:instrText xml:space="preserve">uids in oil </w:instrText>
      </w:r>
      <w:r>
        <w:rPr>
          <w:rFonts w:cs="Times New Roman" w:hint="eastAsia"/>
          <w:lang w:val="en-GB"/>
        </w:rPr>
        <w:instrText></w:instrText>
      </w:r>
      <w:r>
        <w:rPr>
          <w:rFonts w:cs="Times New Roman"/>
          <w:lang w:val="en-GB"/>
        </w:rPr>
        <w:instrText>elds, drag reduction agents in hydrodynamic engineering and many home …","author":[{"dropping-particle":"","family":"Parker","given":"Alan","non-dropping-particle":"","parse-names":false,"suffix":""},{"dropping-particle":"","family":"Fieber","given":"Wolfgang","non-dropping-particle":"","parse-names":false,"suffix":""}],"container-title":"Soft Matter","id":"ITEM-1","issue":"4","issued":{"date-parts":[["2013"]]},"page":"1203-1213","title":"Viscoelasticity of anionic wormlike micelles: effects of ionic strength and small hydrophobic molecules","type":"article-journal","volume":"9"},"uris":["http://www.mendeley.com/documents/?uuid=80bba3de-2795-459c-ac2e-286551fb8e87"]},{"id":"ITEM-2","itemData":{"DOI":"10.1021/la4031848","ISSN":"07437463","abstract":"Neutron reflectivity, NR, and surface tension, ST, have been used to study the surface adsorption properties at the air-water interface of the anionic surfactant sodium polyethylene glycol monododecyl ether sulfate (sodium lauryl ether sulfate, SLES) in the presence of Al3+ multivalent counterions, by the addition of AlCl3. In the absence of AlCl3 and at low AlCl3 concentrations monolayer adsorption is observed. With increasing AlCl3 concentration, surface multilayer formation is observed, driven by SLES/Al3+ complex formation. The onset of multilayer formation occurs initially as a single bilayer or a multilayer structure with a limited number of bilayers, N, ≤3, and ultimately at higher AlCl3 concentrations N is large, &gt;20. The evolution in the surface structure is determined by the surfactant and AlCl3 concentrations, and the size of the polyethylene oxide group in the different SLES surfactants studied. From the NR data, approximate surface phase diagrams are constructed, and the evolution of the surface structure with surfactant and electrolyte concentration is shown to be dependent on the size of the polyethylene oxide group. As the polyethylene oxide group increases in size the multilayer formation requires increasingly higher surfactant and AlCl3 concentrations to promote the formation. This is attributed to the increased steric hindrance of the polyethylene oxide group disrupting SLES/Al3+ complex formation. © 2013 American Chemical Society.","author":[{"dropping-particle":"","family":"Xu","given":"Hui","non-dropping-particle":"","parse-names":false,"suffix":""},{"dropping-particle":"","family":"Penfold","given":"Jeffrey","non-dropping-particle":"","parse-names":false,"suffix":""},{"dropping-particle":"","family":"Thomas","given":"Robert K.","non-dropping-particle":"","parse-names":false,"suffix":""},{"dropping-particle":"","family":"Petkov","given":"Jordan T.","non-dropping-particle":"","parse-names":false,"suffix":""},{"dropping-particle":"","family":"Tucker","given":"Ian","non-dropping-particle":"","parse-names":false,"suffix":""},{"dropping-particle":"","family":"Webster","given":"John P.R.","non-dropping-particle":"","parse-names":false,"suffix":""}],"container-title":"Langmuir","id":"ITEM-2","issue":"41","issued":{"date-parts":[["2013"]]},"page":"12744-12753","title":"The formation of surface multilayers at the air-water interface from sodium diethylene glycol monoalkyl ether sulfate/AlCl3 solutions: The role of the alkyl chain length","type":"article-journal","volume":"29"},"uris":["http://www.mendeley.com/documents/?uuid=599cdcb3-10cf-4f44-abd8-471749a585b0"]}],"mendeley":{"formattedCitation":"[6,7]","plainTextFormattedCitation":"[6,7]","previouslyFormattedCitation":"[6,7]"},"properties":{"noteIndex":0},"schema":"https://github.com/citation-style-language/schema/raw/master/csl-citation.json"}</w:instrText>
      </w:r>
      <w:r>
        <w:rPr>
          <w:rFonts w:cs="Times New Roman"/>
          <w:lang w:val="en-GB"/>
        </w:rPr>
        <w:fldChar w:fldCharType="separate"/>
      </w:r>
      <w:r w:rsidRPr="00B93E47">
        <w:rPr>
          <w:rFonts w:cs="Times New Roman"/>
          <w:noProof/>
          <w:lang w:val="en-GB"/>
        </w:rPr>
        <w:t>[6,7]</w:t>
      </w:r>
      <w:r>
        <w:rPr>
          <w:rFonts w:cs="Times New Roman"/>
          <w:lang w:val="en-GB"/>
        </w:rPr>
        <w:fldChar w:fldCharType="end"/>
      </w:r>
      <w:r>
        <w:rPr>
          <w:rFonts w:cs="Times New Roman"/>
          <w:lang w:val="en-GB"/>
        </w:rPr>
        <w:t xml:space="preserve">. </w:t>
      </w:r>
      <w:r w:rsidRPr="004C1D1A">
        <w:rPr>
          <w:rFonts w:cs="Times New Roman"/>
          <w:lang w:val="en-GB"/>
        </w:rPr>
        <w:t>Due to the divalent charged head group containing a sulfate functional group, the addition of salt to a SLES solution can lead to significant micelle growth and closed packed structures, while the number of EO groups have been shown to have a direct effect on the</w:t>
      </w:r>
      <w:r>
        <w:rPr>
          <w:rFonts w:cs="Times New Roman"/>
          <w:lang w:val="en-GB"/>
        </w:rPr>
        <w:t xml:space="preserve"> value of </w:t>
      </w:r>
      <w:r w:rsidRPr="004C1D1A">
        <w:rPr>
          <w:rFonts w:cs="Times New Roman"/>
          <w:lang w:val="en-GB"/>
        </w:rPr>
        <w:t xml:space="preserve"> critical micelle concentration</w:t>
      </w:r>
      <w:r>
        <w:rPr>
          <w:rFonts w:cs="Times New Roman"/>
          <w:lang w:val="en-GB"/>
        </w:rPr>
        <w:t xml:space="preserve"> (CMC)</w:t>
      </w:r>
      <w:r w:rsidRPr="004C1D1A">
        <w:rPr>
          <w:rFonts w:cs="Times New Roman"/>
          <w:lang w:val="en-GB"/>
        </w:rPr>
        <w:t xml:space="preserve"> </w:t>
      </w:r>
      <w:r w:rsidRPr="004C1D1A">
        <w:rPr>
          <w:rFonts w:cs="Times New Roman"/>
          <w:lang w:val="en-GB"/>
        </w:rPr>
        <w:fldChar w:fldCharType="begin" w:fldLock="1"/>
      </w:r>
      <w:r>
        <w:rPr>
          <w:rFonts w:cs="Times New Roman"/>
          <w:lang w:val="en-GB"/>
        </w:rPr>
        <w:instrText>ADDIN CSL_CITATION {"citationItems":[{"id":"ITEM-1","itemData":{"DOI":"https://doi.org/10.1002/prac.19813230212","author":[{"dropping-particle":"","family":"Sowada","given":"Rudolf","non-dropping-particle":"","parse-names":false,"suffix":""}],"container-title":"J. f. prakt. Chemie.","id":"ITEM-1","issued":{"date-parts":[["1981"]]},"page":"269-278","title":"On the Lipophilic Nature of Oxyalkyl Groups in Alkyl Ether Sulphates","type":"article-journal","volume":"323"},"uris":["http://www.mendeley.com/documents/?uuid=faa68b88-587d-4bf7-a25c-9716309abd19"]}],"mendeley":{"formattedCitation":"[8]","plainTextFormattedCitation":"[8]","previouslyFormattedCitation":"[8]"},"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[8]</w:t>
      </w:r>
      <w:r w:rsidRPr="004C1D1A">
        <w:rPr>
          <w:rFonts w:cs="Times New Roman"/>
          <w:lang w:val="en-GB"/>
        </w:rPr>
        <w:fldChar w:fldCharType="end"/>
      </w:r>
      <w:r w:rsidRPr="004C1D1A">
        <w:rPr>
          <w:rFonts w:cs="Times New Roman"/>
          <w:lang w:val="en-GB"/>
        </w:rPr>
        <w:t xml:space="preserve">. Commercial grades of SLES </w:t>
      </w:r>
      <w:r>
        <w:rPr>
          <w:rFonts w:cs="Times New Roman"/>
          <w:lang w:val="en-GB"/>
        </w:rPr>
        <w:t>contain a variety of chemical impurities resulting from the synthesis methods adopted at large scale. For example they commonly contain</w:t>
      </w:r>
      <w:r w:rsidRPr="004C1D1A">
        <w:rPr>
          <w:rFonts w:cs="Times New Roman"/>
          <w:lang w:val="en-GB"/>
        </w:rPr>
        <w:t xml:space="preserve"> inorganic salts (</w:t>
      </w:r>
      <w:r>
        <w:rPr>
          <w:rFonts w:cs="Times New Roman"/>
          <w:lang w:val="en-GB"/>
        </w:rPr>
        <w:t xml:space="preserve">e.g., </w:t>
      </w:r>
      <w:r w:rsidRPr="004C1D1A">
        <w:rPr>
          <w:rFonts w:cs="Times New Roman"/>
          <w:lang w:val="en-GB"/>
        </w:rPr>
        <w:t>Na</w:t>
      </w:r>
      <w:r w:rsidRPr="004C1D1A">
        <w:rPr>
          <w:rFonts w:cs="Times New Roman"/>
          <w:vertAlign w:val="subscript"/>
          <w:lang w:val="en-GB"/>
        </w:rPr>
        <w:t>2</w:t>
      </w:r>
      <w:r w:rsidRPr="004C1D1A">
        <w:rPr>
          <w:rFonts w:cs="Times New Roman"/>
          <w:lang w:val="en-GB"/>
        </w:rPr>
        <w:t>SO</w:t>
      </w:r>
      <w:r w:rsidRPr="004C1D1A">
        <w:rPr>
          <w:rFonts w:cs="Times New Roman"/>
          <w:vertAlign w:val="subscript"/>
          <w:lang w:val="en-GB"/>
        </w:rPr>
        <w:t>4</w:t>
      </w:r>
      <w:r w:rsidRPr="004C1D1A">
        <w:rPr>
          <w:rFonts w:cs="Times New Roman"/>
          <w:lang w:val="en-GB"/>
        </w:rPr>
        <w:t xml:space="preserve">) resulting from the synthesis of the molecule. This synthetic by-product can accelerate the aggregation of the surfactants, enabling micelles to form at lower surfactant concentrations. The properties (specifically the viscosity) of the final mixture will be affected by the micellar size and the packing structure of surfactants </w:t>
      </w:r>
      <w:r w:rsidRPr="004C1D1A">
        <w:rPr>
          <w:rFonts w:cs="Times New Roman"/>
          <w:lang w:val="en-GB"/>
        </w:rPr>
        <w:fldChar w:fldCharType="begin" w:fldLock="1"/>
      </w:r>
      <w:r>
        <w:rPr>
          <w:rFonts w:cs="Times New Roman"/>
          <w:lang w:val="en-GB"/>
        </w:rPr>
        <w:instrText>ADDIN CSL_CITATION {"citationItems":[{"id":"ITEM-1","itemData":{"DOI":"10.1017/CBO9781107415324.004","ISBN":"978-3-11-031212-6","ISSN":"0021-9584","PMID":"25246403","author":[{"dropping-particle":"","family":"Tadros","given":"T. F.","non-dropping-particle":"","parse-names":false,"suffix":""}],"container-title":"DeGruyter Graduate","editor":[{"dropping-particle":"","family":"Intergovernmental Panel on Climate Change","given":"","non-dropping-particle":"","parse-names":false,"suffix":""}],"id":"ITEM-1","issued":{"date-parts":[["2014","11","10"]]},"number-of-pages":"237","publisher":"Cambridge University Press","publisher-place":"Cambridge","title":"An introduction to surfactants","type":"book"},"uris":["http://www.mendeley.com/documents/?uuid=91cbb5be-fc48-403a-9f59-9450084647c1"]},{"id":"ITEM-2","itemData":{"DOI":"10.1007/978-1-4899-0700-4","ISBN":"978-1-4899-0700-4","author":[{"dropping-particle":"","family":"Moroi","given":"Y","non-dropping-particle":"","parse-names":false,"suffix":""}],"id":"ITEM-2","issued":{"date-parts":[["1992"]]},"number-of-pages":"252","title":"Micelles, Theoretical and applied aspects","type":"book"},"uris":["http://www.mendeley.com/documents/?uuid=cb5c84f3-1297-4df9-9bc8-cda0997d6e92"]},{"id":"ITEM-3","itemData":{"DOI":"10.1039/C2SM27078A","ISSN":"1744-683X","abstract":"The impact of NaCl and small hydrophobic molecules, used in perfumery, on the viscoelastic properties of aqueous solutions of sodium lauryl ether sulphate is studied. As the salt concentration increases, the viscosity passes through a maximum. Empirically, this behaviour is well known and is referred to as the 'salt curve'. Dynamic rheological measurements revealed a detailed picture of how salt affects the different length scales in the entangled wormlike micelles. Adding hydrophobic molecules does not change the shape of the salt curve, but they can shift the maximum to lower salt concentrations and alter the peak viscosity. The shift in the salt curve can generally be understood as due to either flattening of the interface, caused by insertion of amphiphilic molecules into the surfactant layer, or micellar swelling, caused by solubilization of very hydrophobic molecules in the micellar core. The viscosity decrease at the salt curve maximum is inversely proportional to the hydrophobicity of the added molecules, so less hydrophobic compounds cause larger decreases. It is hypothesized that these molecules interact with the surfactant headgroups and thereby soften the interfacial film. Our analysis suggests that the addition of hydrophobic additives reduces the persistence length and results in an effective shortening of the micelles. Introduction Giant wormlike micelles are elongated, semi-</w:instrText>
      </w:r>
      <w:r>
        <w:rPr>
          <w:rFonts w:cs="Times New Roman" w:hint="eastAsia"/>
          <w:lang w:val="en-GB"/>
        </w:rPr>
        <w:instrText></w:instrText>
      </w:r>
      <w:r>
        <w:rPr>
          <w:rFonts w:cs="Times New Roman"/>
          <w:lang w:val="en-GB"/>
        </w:rPr>
        <w:instrText>exible surfactant aggregates with remarkable rheological properties. Above a certain threshold concentration these surfactant solutions are viscoelastic due to the transient network formed by the entan-gled micelles. The viscoelasticity of giant micelles has been studied extensively, see for example ref. 1–5 and references therein. In contrast to polymers, wormlike micelles are dynamic systems that constantly break and recombine; therefore they are o</w:instrText>
      </w:r>
      <w:r>
        <w:rPr>
          <w:rFonts w:cs="Times New Roman" w:hint="eastAsia"/>
          <w:lang w:val="en-GB"/>
        </w:rPr>
        <w:instrText></w:instrText>
      </w:r>
      <w:r>
        <w:rPr>
          <w:rFonts w:cs="Times New Roman"/>
          <w:lang w:val="en-GB"/>
        </w:rPr>
        <w:instrText xml:space="preserve">en referred to as \" living polymers \" . 6,7 Understanding the viscoelasticity of wormlike micelles is very challenging as there are multiple pertinent length scales and stress relaxation mechanisms. Nevertheless, viscoelasticity gives a fascinating insight into the relationship between the molecular structure of such complex </w:instrText>
      </w:r>
      <w:r>
        <w:rPr>
          <w:rFonts w:cs="Times New Roman" w:hint="eastAsia"/>
          <w:lang w:val="en-GB"/>
        </w:rPr>
        <w:instrText></w:instrText>
      </w:r>
      <w:r>
        <w:rPr>
          <w:rFonts w:cs="Times New Roman"/>
          <w:lang w:val="en-GB"/>
        </w:rPr>
        <w:instrText xml:space="preserve">uids and their mechanical properties, and its understanding is important for the design and the development of industrial products containing giant wormlike micelles. These have many applications, including fracture </w:instrText>
      </w:r>
      <w:r>
        <w:rPr>
          <w:rFonts w:cs="Times New Roman" w:hint="eastAsia"/>
          <w:lang w:val="en-GB"/>
        </w:rPr>
        <w:instrText></w:instrText>
      </w:r>
      <w:r>
        <w:rPr>
          <w:rFonts w:cs="Times New Roman"/>
          <w:lang w:val="en-GB"/>
        </w:rPr>
        <w:instrText xml:space="preserve">uids in oil </w:instrText>
      </w:r>
      <w:r>
        <w:rPr>
          <w:rFonts w:cs="Times New Roman" w:hint="eastAsia"/>
          <w:lang w:val="en-GB"/>
        </w:rPr>
        <w:instrText></w:instrText>
      </w:r>
      <w:r>
        <w:rPr>
          <w:rFonts w:cs="Times New Roman"/>
          <w:lang w:val="en-GB"/>
        </w:rPr>
        <w:instrText>elds, drag reduction agents in hydrodynamic engineering and many home …","author":[{"dropping-particle":"","family":"Parker","given":"Alan","non-dropping-particle":"","parse-names":false,"suffix":""},{"dropping-particle":"","family":"Fieber","given":"Wolfgang","non-dropping-particle":"","parse-names":false,"suffix":""}],"container-title":"Soft Matter","id":"ITEM-3","issue":"4","issued":{"date-parts":[["2013"]]},"page":"1203-1213","title":"Viscoelasticity of anionic wormlike micelles: effects of ionic strength and small hydrophobic molecules","type":"article-journal","volume":"9"},"uris":["http://www.mendeley.com/documents/?uuid=80bba3de-2795-459c-ac2e-286551fb8e87"]}],"mendeley":{"formattedCitation":"[6,9,10]","plainTextFormattedCitation":"[6,9,10]","previouslyFormattedCitation":"[6,9,10]"},"properties":{"noteIndex":0},"schema":"https://github.com/citation-style-language/schema/raw/master/csl-citation.json"}</w:instrText>
      </w:r>
      <w:r w:rsidRPr="004C1D1A">
        <w:rPr>
          <w:rFonts w:cs="Times New Roman"/>
          <w:lang w:val="en-GB"/>
        </w:rPr>
        <w:fldChar w:fldCharType="separate"/>
      </w:r>
      <w:r w:rsidRPr="00BC39F9">
        <w:rPr>
          <w:rFonts w:cs="Times New Roman"/>
          <w:noProof/>
          <w:lang w:val="en-GB"/>
        </w:rPr>
        <w:t>[6,9,10]</w:t>
      </w:r>
      <w:r w:rsidRPr="004C1D1A">
        <w:rPr>
          <w:rFonts w:cs="Times New Roman"/>
          <w:lang w:val="en-GB"/>
        </w:rPr>
        <w:fldChar w:fldCharType="end"/>
      </w:r>
      <w:r w:rsidRPr="004C1D1A">
        <w:rPr>
          <w:rFonts w:cs="Times New Roman"/>
          <w:lang w:val="en-GB"/>
        </w:rPr>
        <w:t xml:space="preserve">. </w:t>
      </w:r>
    </w:p>
    <w:p w:rsidR="004833BB" w:rsidRPr="004C1D1A" w:rsidRDefault="004833BB" w:rsidP="004833BB">
      <w:pPr>
        <w:ind w:firstLine="567"/>
        <w:jc w:val="both"/>
        <w:rPr>
          <w:rFonts w:eastAsia="Times New Roman" w:cs="Times New Roman"/>
          <w:kern w:val="0"/>
          <w:sz w:val="20"/>
          <w:szCs w:val="20"/>
          <w:lang w:val="en-GB" w:eastAsia="en-US" w:bidi="ar-SA"/>
        </w:rPr>
      </w:pPr>
      <w:r w:rsidRPr="004C1D1A">
        <w:rPr>
          <w:rFonts w:cs="Times New Roman"/>
          <w:lang w:val="en-GB"/>
        </w:rPr>
        <w:t>Although SLES finds important applications in a wide range of sectors, published data on pure single component (i.e. with specific value</w:t>
      </w:r>
      <w:r>
        <w:rPr>
          <w:rFonts w:cs="Times New Roman"/>
          <w:lang w:val="en-GB"/>
        </w:rPr>
        <w:t>s</w:t>
      </w:r>
      <w:r w:rsidRPr="004C1D1A">
        <w:rPr>
          <w:rFonts w:cs="Times New Roman"/>
          <w:lang w:val="en-GB"/>
        </w:rPr>
        <w:t xml:space="preserve"> of </w:t>
      </w:r>
      <w:r w:rsidRPr="00FF0061">
        <w:rPr>
          <w:rFonts w:cs="Times New Roman"/>
          <w:i/>
          <w:lang w:val="en-GB"/>
        </w:rPr>
        <w:t>m</w:t>
      </w:r>
      <w:r w:rsidRPr="004C1D1A">
        <w:rPr>
          <w:rFonts w:cs="Times New Roman"/>
          <w:lang w:val="en-GB"/>
        </w:rPr>
        <w:t xml:space="preserve"> and </w:t>
      </w:r>
      <w:r w:rsidRPr="00FF0061">
        <w:rPr>
          <w:rFonts w:cs="Times New Roman"/>
          <w:i/>
          <w:lang w:val="en-GB"/>
        </w:rPr>
        <w:t>n</w:t>
      </w:r>
      <w:r w:rsidRPr="004C1D1A">
        <w:rPr>
          <w:rFonts w:cs="Times New Roman"/>
          <w:lang w:val="en-GB"/>
        </w:rPr>
        <w:t xml:space="preserve">) SLES systems are scarce. Indeed despite its apparently simple chemical composition, the synthesis of single component SLES is a costly and time consuming process </w:t>
      </w:r>
      <w:r w:rsidRPr="004C1D1A">
        <w:rPr>
          <w:rFonts w:cs="Times New Roman"/>
          <w:lang w:val="en-GB"/>
        </w:rPr>
        <w:fldChar w:fldCharType="begin" w:fldLock="1"/>
      </w:r>
      <w:r>
        <w:rPr>
          <w:rFonts w:cs="Times New Roman"/>
          <w:lang w:val="en-GB"/>
        </w:rPr>
        <w:instrText>ADDIN CSL_CITATION {"citationItems":[{"id":"ITEM-1","itemData":{"DOI":"10.1016/j.jcis.2011.04.110","ISBN":"0021-9797","ISSN":"10957103","PMID":"21621216","abstract":"Two agro-based anionic surfactants containing an isosorbide moiety have been synthesized and their amphiphilic properties evaluated. Since isosorbide is now considered as an important platform chemical of the starch industry, these compounds could represent bio-sourced alternatives to the alkyl ether sulfates (notably lauryl ether sulfate, LES) that are based on petroleum-derived ethylene oxides. As isosorbide is an asymmetric diol, two isomers can be prepared (2-O-dodecyl isosorbide sulfate and 5-O-dodecyl isosorbide sulfate) that show significantly different aqueous properties as regards to their Krafft temperatures and critical micellar concentrations. 5-O-dodecyl isosorbide sulfate is the most soluble and the most efficient surfactant. It possesses a much lower critical micelle concentration (cmc) than sodium dodecyl sulfate, SDS, leading to comparable foaming properties with a three times lower concentration. Its behavior compares well with the one of pure diethoxylated dodecyl sulfate that has also been prepared and evaluated in this work. © 2011 Elsevier Inc.","author":[{"dropping-particle":"","family":"Lavergne","given":"Aurélie","non-dropping-particle":"","parse-names":false,"suffix":""},{"dropping-particle":"","family":"Zhu","given":"Ying","non-dropping-particle":"","parse-names":false,"suffix":""},{"dropping-particle":"","family":"Pizzino","given":"Aldo","non-dropping-particle":"","parse-names":false,"suffix":""},{"dropping-particle":"","family":"Molinier","given":"Valérie","non-dropping-particle":"","parse-names":false,"suffix":""},{"dropping-particle":"","family":"Aubry","given":"Jean Marie","non-dropping-particle":"","parse-names":false,"suffix":""}],"container-title":"Journal of Colloid and Interface Science","id":"ITEM-1","issue":"2","issued":{"date-parts":[["2011"]]},"page":"645-653","title":"Synthesis and foaming properties of new anionic surfactants based on a renewable building block: Sodium dodecyl isosorbide sulfates","type":"article-journal","volume":"360"},"uris":["http://www.mendeley.com/documents/?uuid=535dc269-3cf3-4fba-8e82-081ae21f1e6f"]}],"mendeley":{"formattedCitation":"[11]","plainTextFormattedCitation":"[11]","previouslyFormattedCitation":"[11]"},"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[11]</w:t>
      </w:r>
      <w:r w:rsidRPr="004C1D1A">
        <w:rPr>
          <w:rFonts w:cs="Times New Roman"/>
          <w:lang w:val="en-GB"/>
        </w:rPr>
        <w:fldChar w:fldCharType="end"/>
      </w:r>
      <w:r w:rsidRPr="004C1D1A">
        <w:rPr>
          <w:rFonts w:cs="Times New Roman"/>
          <w:lang w:val="en-GB"/>
        </w:rPr>
        <w:t xml:space="preserve">. Therefore the majority of published data refer to mixed systems of SLES in association with other surfactants </w:t>
      </w:r>
      <w:r w:rsidRPr="004C1D1A">
        <w:rPr>
          <w:rFonts w:cs="Times New Roman"/>
          <w:lang w:val="en-GB"/>
        </w:rPr>
        <w:fldChar w:fldCharType="begin" w:fldLock="1"/>
      </w:r>
      <w:r>
        <w:rPr>
          <w:rFonts w:cs="Times New Roman"/>
          <w:lang w:val="en-GB"/>
        </w:rPr>
        <w:instrText>ADDIN CSL_CITATION {"citationItems":[{"id":"ITEM-1","itemData":{"DOI":"10.1021/la011751x","ISSN":"07437463","abstract":"We have studied equilibrium phase behavior and nonequilibrium particle aggregation in a mixture of charged colloids and ionic wormlike micelles. At high enough concentration of micelles but below the overlap concentration (c*), separation into coexisting colloidal gas and liquid phases occurred. Beyond c*, we observed rapid, nonequilibrium aggregation of the particles to form \"transient gels\". These space-filling structures can show rapid gravitational collapse after an initial \"latency period\", a behavior also found in model colloid-polymer mixtures at high polymer concentrations. The depletion mechanism was found to play an important role in phase separation. Diffusing wave spectroscopy (DWS) was used to study the dynamics of a transient gel. After about one-half of the latency period, the fluctuations in the scattered intensity increased significantly. The particle dynamics slowed during the whole latency period, consistent with the aging of the gel structure. After gravitational collapse, a very broad, logarithmic decay of the correlation function was detected for the sediment.","author":[{"dropping-particle":"","family":"Petekidis","given":"G.","non-dropping-particle":"","parse-names":false,"suffix":""},{"dropping-particle":"","family":"Galloway","given":"L. A.","non-dropping-particle":"","parse-names":false,"suffix":""},{"dropping-particle":"","family":"Egelhaaf","given":"S. U.","non-dropping-particle":"","parse-names":false,"suffix":""},{"dropping-particle":"","family":"Cates","given":"M. E.","non-dropping-particle":"","parse-names":false,"suffix":""},{"dropping-particle":"","family":"Poon","given":"W. C K","non-dropping-particle":"","parse-names":false,"suffix":""}],"container-title":"Langmuir","id":"ITEM-1","issue":"11","issued":{"date-parts":[["2002"]]},"page":"4248-4257","title":"Mixtures of colloids and wormlike micelles: Phase behavior and kinetics","type":"article-journal","volume":"18"},"uris":["http://www.mendeley.com/documents/?uuid=49d7be34-ee34-4cd2-803f-28bd66c3f468"]},{"id":"ITEM-2","itemData":{"DOI":"10.1016/j.colsurfa.2008.10.026","author":[{"dropping-particle":"","family":"Aoudia","given":"Mohamed","non-dropping-particle":"","parse-names":false,"suffix":""},{"dropping-particle":"","family":"Al-maamari","given":"Thurayia","non-dropping-particle":"","parse-names":false,"suffix":""},{"dropping-particle":"","family":"Al-salmi","given":"Fathiya","non-dropping-particle":"","parse-names":false,"suffix":""}],"id":"ITEM-2","issued":{"date-parts":[["2009"]]},"page":"55-61","title":"Colloids and Surfaces A : Physicochemical and Engineering Aspects Intramolecular and intermolecular ion – dipole interactions in sodium lauryl ether sulfates ( SLES ) self-aggregation and mixed micellization with Triton X-100","type":"article-journal","volume":"335"},"uris":["http://www.mendeley.com/documents/?uuid=b2f7806f-3c25-4e30-93db-a0830ca831fc"]},{"id":"ITEM-3","itemData":{"DOI":"10.1007/s11743-009-1131-9","ISSN":"10973958","abstract":"The effect of ethoxylation on self-aggregation behavior in aqueous media of sodium lauryl ether sulfate (SLES), C12H25 (OCH 2CH2)xOSO3Na, where x = 1 (SLE1S), x = 2 (SLE2S), and x = (SLE3S) was investigated. CMCs were determined from the effect of surfactant concentration on (2,2' -bipyridine dichlororuthenium(II) hexahydrate (Ru(bipy)3 2+ ,2Cl- ) fluorescence emission. Aggregation numbers and micelle concentrations were estimated from the fluorescent quenching of (Ru(bipy)3 2+,2Cl-) by 9-methylanthracene. Interestingly, critical micelle concentrations (0.80 μM), average aggregation numbers (N = 43), and micelle concentrations ([M] = 40 lM) were found to be independent of the degree of ethoxylation. Water solubilization enhancement of naphthalene and pyrene by SLES was also investigated. Water solubility enhancement for naphthalene and pyrene was observed with increasing degrees of ethoxylation and follow the order SLE3S &gt; SLE2S &gt; SLE1S. The higher impact of oxyethylene (OE) groups on solubilization enhancement of naphthalene over pyrene was taken as an indication for a preferential distribution of the relatively polar organic naphthalene molecule at the outer layer of the micelle in close contact with the hydrated oxyethylene units, thereby allowing for a strong polycyclic aromatic hydrocarbon (PAH) - micelle interaction. On the other hand, pyrene molecule is preferentially distributed in the core of the micelle, relatively far away from the OE units located at the micelle-water interface for PAH-micelle interaction to occur. Water solubility enhancement for both PAHs was also was associated with an increase in SLES micelle size with the degree of ethoxylation as well as to the accessibility of the locus solubilization for the solute. Copyright © 2009 AOCS.","author":[{"dropping-particle":"","family":"Aoudia","given":"Mohamed","non-dropping-particle":"","parse-names":false,"suffix":""},{"dropping-particle":"","family":"Al-Haddabi","given":"Butheina","non-dropping-particle":"","parse-names":false,"suffix":""},{"dropping-particle":"","family":"Al-Harthi","given":"Zuleikha","non-dropping-particle":"","parse-names":false,"suffix":""},{"dropping-particle":"","family":"Al-Rubkhi","given":"Aadel","non-dropping-particle":"","parse-names":false,"suffix":""}],"container-title":"Journal of Surfactants and Detergents","id":"ITEM-3","issue":"1","issued":{"date-parts":[["2010"]]},"page":"103-111","title":"Sodium lauryl ether sulfate micellization and water solubility enhancement towards naphthalene and pyrene: Effect of the degree of ethoxylation","type":"article-journal","volume":"13"},"uris":["http://www.mendeley.com/documents/?uuid=3ea85f74-5c1c-46e2-b36d-31275c584838"]},{"id":"ITEM-4","itemData":{"author":[{"dropping-particle":"","family":"Cheon","given":"Ho-young","non-dropping-particle":"","parse-names":false,"suffix":""},{"dropping-particle":"","family":"Jeong","given":"Noh-hee","non-dropping-particle":"","parse-names":false,"suffix":""},{"dropping-particle":"","family":"Kim","given":"Hong-un","non-dropping-particle":"","parse-names":false,"suffix":""}],"id":"ITEM-4","issue":"1","issued":{"date-parts":[["2005"]]},"page":"107-114","title":"Spontaneous Vesicle Formation in Aqueous Mixtures of Cationic Gemini Surfactant and Sodium Lauryl Ether Sulfate","type":"article-journal","volume":"26"},"uris":["http://www.mendeley.com/documents/?uuid=55448642-99d2-4113-9a7f-1643ee255f39"]},{"id":"ITEM-5","itemData":{"DOI":"10.1021/acs.jpcb.7b00257","ISSN":"1520-6106","author":[{"dropping-particle":"","family":"Tang","given":"Xueming","non-dropping-particle":"","parse-names":false,"suffix":""},{"dropping-particle":"","family":"Zou","given":"Weizhong","non-dropping-particle":"","parse-names":false,"suffix":""},{"dropping-particle":"","family":"Koenig","given":"Peter H.","non-dropping-particle":"","parse-names":false,"suffix":""},{"dropping-particle":"","family":"McConaughy","given":"Shawn D.","non-dropping-particle":"","parse-names":false,"suffix":""},{"dropping-particle":"","family":"Weaver","given":"Michael R.","non-dropping-particle":"","parse-names":false,"suffix":""},{"dropping-particle":"","family":"Eike","given":"David Michael","non-dropping-particle":"","parse-names":false,"suffix":""},{"dropping-particle":"","family":"Schmidt","given":"Michael J.","non-dropping-particle":"","parse-names":false,"suffix":""},{"dropping-particle":"","family":"Larson","given":"Ronald G.","non-dropping-particle":"","parse-names":false,"suffix":""}],"container-title":"The Journal of Physical Chemistry B","id":"ITEM-5","issue":"11","issued":{"date-parts":[["2017"]]},"page":"2468-2485","title":"Multi-Scale Modeling of the Effects of Salt and Perfume Raw Materials on the Rheological Properties of Commercial Thread-like Micellar Solutions","type":"article-journal","volume":"121"},"uris":["http://www.mendeley.com/documents/?uuid=7b1bf2ad-357f-43e9-8b6d-dae16c5bbdc5"]}],"mendeley":{"formattedCitation":"[12–16]","plainTextFormattedCitation":"[12–16]","previouslyFormattedCitation":"[12–16]"},"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[12–16]</w:t>
      </w:r>
      <w:r w:rsidRPr="004C1D1A">
        <w:rPr>
          <w:rFonts w:cs="Times New Roman"/>
          <w:lang w:val="en-GB"/>
        </w:rPr>
        <w:fldChar w:fldCharType="end"/>
      </w:r>
      <w:r w:rsidRPr="004C1D1A">
        <w:rPr>
          <w:rFonts w:cs="Times New Roman"/>
          <w:lang w:val="en-GB"/>
        </w:rPr>
        <w:t xml:space="preserve"> or industrially produced SLES which contains </w:t>
      </w:r>
      <w:r w:rsidRPr="004C1D1A">
        <w:rPr>
          <w:rFonts w:cs="Times New Roman"/>
          <w:lang w:val="en-US"/>
        </w:rPr>
        <w:t>a distribution of alkyl chain lengths and EO groups</w:t>
      </w:r>
      <w:r w:rsidRPr="004C1D1A">
        <w:rPr>
          <w:rFonts w:cs="Times New Roman"/>
          <w:lang w:val="en-GB"/>
        </w:rPr>
        <w:t xml:space="preserve"> </w:t>
      </w:r>
      <w:r w:rsidRPr="004C1D1A">
        <w:rPr>
          <w:rFonts w:cs="Times New Roman"/>
          <w:lang w:val="en-GB"/>
        </w:rPr>
        <w:fldChar w:fldCharType="begin" w:fldLock="1"/>
      </w:r>
      <w:r>
        <w:rPr>
          <w:rFonts w:cs="Times New Roman"/>
          <w:lang w:val="en-GB"/>
        </w:rPr>
        <w:instrText>ADDIN CSL_CITATION {"citationItems":[{"id":"ITEM-1","itemData":{"DOI":"10.1039/C2SM27078A","ISSN":"1744-683X","abstract":"The impact of NaCl and small hydrophobic molecules, used in perfumery, on the viscoelastic properties of aqueous solutions of sodium lauryl ether sulphate is studied. As the salt concentration increases, the viscosity passes through a maximum. Empirically, this behaviour is well known and is referred to as the 'salt curve'. Dynamic rheological measurements revealed a detailed picture of how salt affects the different length scales in the entangled wormlike micelles. Adding hydrophobic molecules does not change the shape of the salt curve, but they can shift the maximum to lower salt concentrations and alter the peak viscosity. The shift in the salt curve can generally be understood as due to either flattening of the interface, caused by insertion of amphiphilic molecules into the surfactant layer, or micellar swelling, caused by solubilization of very hydrophobic molecules in the micellar core. The viscosity decrease at the salt curve maximum is inversely proportional to the hydrophobicity of the added molecules, so less hydrophobic compounds cause larger decreases. It is hypothesized that these molecules interact with the surfactant headgroups and thereby soften the interfacial film. Our analysis suggests that the addition of hydrophobic additives reduces the persistence length and results in an effective shortening of the micelles. Introduction Giant wormlike micelles are elongated, semi-</w:instrText>
      </w:r>
      <w:r>
        <w:rPr>
          <w:rFonts w:cs="Times New Roman" w:hint="eastAsia"/>
          <w:lang w:val="en-GB"/>
        </w:rPr>
        <w:instrText></w:instrText>
      </w:r>
      <w:r>
        <w:rPr>
          <w:rFonts w:cs="Times New Roman"/>
          <w:lang w:val="en-GB"/>
        </w:rPr>
        <w:instrText>exible surfactant aggregates with remarkable rheological properties. Above a certain threshold concentration these surfactant solutions are viscoelastic due to the transient network formed by the entan-gled micelles. The viscoelasticity of giant micelles has been studied extensively, see for example ref. 1–5 and references therein. In contrast to polymers, wormlike micelles are dynamic systems that constantly break and recombine; therefore they are o</w:instrText>
      </w:r>
      <w:r>
        <w:rPr>
          <w:rFonts w:cs="Times New Roman" w:hint="eastAsia"/>
          <w:lang w:val="en-GB"/>
        </w:rPr>
        <w:instrText></w:instrText>
      </w:r>
      <w:r>
        <w:rPr>
          <w:rFonts w:cs="Times New Roman"/>
          <w:lang w:val="en-GB"/>
        </w:rPr>
        <w:instrText xml:space="preserve">en referred to as \" living polymers \" . 6,7 Understanding the viscoelasticity of wormlike micelles is very challenging as there are multiple pertinent length scales and stress relaxation mechanisms. Nevertheless, viscoelasticity gives a fascinating insight into the relationship between the molecular structure of such complex </w:instrText>
      </w:r>
      <w:r>
        <w:rPr>
          <w:rFonts w:cs="Times New Roman" w:hint="eastAsia"/>
          <w:lang w:val="en-GB"/>
        </w:rPr>
        <w:instrText></w:instrText>
      </w:r>
      <w:r>
        <w:rPr>
          <w:rFonts w:cs="Times New Roman"/>
          <w:lang w:val="en-GB"/>
        </w:rPr>
        <w:instrText xml:space="preserve">uids and their mechanical properties, and its understanding is important for the design and the development of industrial products containing giant wormlike micelles. These have many applications, including fracture </w:instrText>
      </w:r>
      <w:r>
        <w:rPr>
          <w:rFonts w:cs="Times New Roman" w:hint="eastAsia"/>
          <w:lang w:val="en-GB"/>
        </w:rPr>
        <w:instrText></w:instrText>
      </w:r>
      <w:r>
        <w:rPr>
          <w:rFonts w:cs="Times New Roman"/>
          <w:lang w:val="en-GB"/>
        </w:rPr>
        <w:instrText xml:space="preserve">uids in oil </w:instrText>
      </w:r>
      <w:r>
        <w:rPr>
          <w:rFonts w:cs="Times New Roman" w:hint="eastAsia"/>
          <w:lang w:val="en-GB"/>
        </w:rPr>
        <w:instrText></w:instrText>
      </w:r>
      <w:r>
        <w:rPr>
          <w:rFonts w:cs="Times New Roman"/>
          <w:lang w:val="en-GB"/>
        </w:rPr>
        <w:instrText>elds, drag reduction agents in hydrodynamic engineering and many home …","author":[{"dropping-particle":"","family":"Parker","given":"Alan","non-dropping-particle":"","parse-names":false,"suffix":""},{"dropping-particle":"","family":"Fieber","given":"Wolfgang","non-dropping-particle":"","parse-names":false,"suffix":""}],"container-title":"Soft Matter","id":"ITEM-1","issue":"4","issued":{"date-parts":[["2013"]]},"page":"1203-1213","title":"Viscoelasticity of anionic wormlike micelles: effects of ionic strength and small hydrophobic molecules","type":"article-journal","volume":"9"},"uris":["http://www.mendeley.com/documents/?uuid=80bba3de-2795-459c-ac2e-286551fb8e87"]}],"mendeley":{"formattedCitation":"[6]","plainTextFormattedCitation":"[6]","previouslyFormattedCitation":"[6]"},"properties":{"noteIndex":0},"schema":"https://github.com/citation-style-language/schema/raw/master/csl-citation.json"}</w:instrText>
      </w:r>
      <w:r w:rsidRPr="004C1D1A">
        <w:rPr>
          <w:rFonts w:cs="Times New Roman"/>
          <w:lang w:val="en-GB"/>
        </w:rPr>
        <w:fldChar w:fldCharType="separate"/>
      </w:r>
      <w:r w:rsidRPr="00CD01CA">
        <w:rPr>
          <w:rFonts w:cs="Times New Roman"/>
          <w:noProof/>
          <w:lang w:val="en-GB"/>
        </w:rPr>
        <w:t>[6]</w:t>
      </w:r>
      <w:r w:rsidRPr="004C1D1A">
        <w:rPr>
          <w:rFonts w:cs="Times New Roman"/>
          <w:lang w:val="en-GB"/>
        </w:rPr>
        <w:fldChar w:fldCharType="end"/>
      </w:r>
      <w:r w:rsidRPr="004C1D1A">
        <w:rPr>
          <w:rFonts w:cs="Times New Roman"/>
          <w:lang w:val="en-GB"/>
        </w:rPr>
        <w:t xml:space="preserve">.  So, while several computational and experimental studies, including the phase diagram, can be found on the related surfactant with </w:t>
      </w:r>
      <w:r w:rsidRPr="00FF0061">
        <w:rPr>
          <w:rFonts w:cs="Times New Roman"/>
          <w:i/>
          <w:lang w:val="en-GB"/>
        </w:rPr>
        <w:t>n</w:t>
      </w:r>
      <w:r w:rsidRPr="004C1D1A">
        <w:rPr>
          <w:rFonts w:cs="Times New Roman"/>
          <w:lang w:val="en-GB"/>
        </w:rPr>
        <w:t xml:space="preserve"> = 0 ethoxyl groups (i.e. </w:t>
      </w:r>
      <w:r>
        <w:rPr>
          <w:rFonts w:cs="Times New Roman"/>
          <w:lang w:val="en-GB"/>
        </w:rPr>
        <w:t>sodium dodecyl</w:t>
      </w:r>
      <w:r w:rsidRPr="004C1D1A">
        <w:rPr>
          <w:rFonts w:cs="Times New Roman"/>
          <w:lang w:val="en-GB"/>
        </w:rPr>
        <w:t xml:space="preserve">sulfate (SDS)) </w:t>
      </w:r>
      <w:r w:rsidRPr="004C1D1A">
        <w:rPr>
          <w:rFonts w:cs="Times New Roman"/>
          <w:lang w:val="en-GB"/>
        </w:rPr>
        <w:fldChar w:fldCharType="begin" w:fldLock="1"/>
      </w:r>
      <w:r>
        <w:rPr>
          <w:rFonts w:cs="Times New Roman"/>
          <w:lang w:val="en-GB"/>
        </w:rPr>
        <w:instrText>ADDIN CSL_CITATION {"citationItems":[{"id":"ITEM-1","itemData":{"DOI":"10.1016/0021-9797(80)90200-3","ISBN":"0021-9797","ISSN":"00219797","abstract":"A type of representation based upon variance for the quaternary system brine-oil-surfactant and cosurfactant is proposed in the three-dimensional space; it allows the topological properties of the multiphase regions of the diagram to be understood, in particular, those of the brine-toluene-butanol-sodium dodecyl sulfate system. The quaternary phase diagrams at two salinities are reported for this system in this work. Analysis of the phases in equilibrium shows very low variations of compositions for the aqueous and organic phases, while the water-oil and alcohol-surfactant ratios are strongly modified in the middle phase. These results indicate that the water-oil pair is then close to a critical state. © 1980.","author":[{"dropping-particle":"","family":"Bellocq","given":"Anne Marie","non-dropping-particle":"","parse-names":false,"suffix":""},{"dropping-particle":"","family":"Biais","given":"Jacques","non-dropping-particle":"","parse-names":false,"suffix":""},{"dropping-particle":"","family":"Clin","given":"Bernard","non-dropping-particle":"","parse-names":false,"suffix":""},{"dropping-particle":"","family":"Gelot","given":"Alain","non-dropping-particle":"","parse-names":false,"suffix":""},{"dropping-particle":"","family":"Lalanne","given":"Pierre","non-dropping-particle":"","parse-names":false,"suffix":""},{"dropping-particle":"","family":"Lemanceau","given":"Bernard","non-dropping-particle":"","parse-names":false,"suffix":""}],"container-title":"Journal of Colloid And Interface Science","id":"ITEM-1","issue":"2","issued":{"date-parts":[["1980"]]},"page":"311-321","title":"Three-dimensional phase diagram of the brine-toluene-butanol-sodium dodecyl sulfate system","type":"article-journal","volume":"74"},"uris":["http://www.mendeley.com/documents/?uuid=fc1309f7-874e-49dc-8206-b35233a7c257"]},{"id":"ITEM-2","itemData":{"DOI":"10.1016/0021-9797(89)90151-3","ISBN":"0021-9797","ISSN":"00219797","abstract":"The phase diagram of sodium dodecyl sulfate (SDS)-water system is established from differential calorimetric measurements. The SDS purification and the absence of degradation was checked using NMR analysis before and after the calorimetric recordings. Thermodynamic equilibrium of mixtures was achieved by using low heating rates (0.08°C/min). A quasi-continuous exploration of the phase diagram (0.2 wt% per step) with accurate temperature and enthalpy measurements allows precise determination of the complicated intermediate mesophase region. Six invariant reactions are identified. Temperatures of five of them are separated by small intervals (from 0.2 to 5°C). Tammann representations of enthalpies precisely determine the eutectoid and monotectoid compositions and invariant limits. In the surfactant-rich region, all the invariant limits appear at the same molar ratio: SDS/2 D2O, while the high hydration limits are located within a small composition range (from 57.1 to 66.4% SDS). Their enthalpies and entropies are discussed in relation to the mesophase structures and topology changes. The description of the surfactant-rich region is attempted. A dihydrate not previously reported is found. The freezing of water is also examined, and three types of water interactions are observed. © 1989.","author":[{"dropping-particle":"","family":"Kékicheff","given":"P.","non-dropping-particle":"","parse-names":false,"suffix":""},{"dropping-particle":"","family":"Grabielle-Madelmont","given":"C.","non-dropping-particle":"","parse-names":false,"suffix":""},{"dropping-particle":"","family":"Ollivon","given":"M.","non-dropping-particle":"","parse-names":false,"suffix":""}],"container-title":"Journal of Colloid And Interface Science","id":"ITEM-2","issue":"1","issued":{"date-parts":[["1989"]]},"page":"112-132","title":"Phase diagram of sodium dodecyl sulfate-water system. 1. A calorimetric study","type":"article-journal","volume":"131"},"uris":["http://www.mendeley.com/documents/?uuid=f047912f-d6d1-48b6-a390-e3c406e320cc"]},{"id":"ITEM-3","itemData":{"DOI":"10.1002/cjoc.20030210205","ISSN":"1001604X","author":[{"dropping-particle":"","family":"Shi-Ling","given":"Yuan","non-dropping-particle":"","parse-names":false,"suffix":""},{"dropping-particle":"","family":"Zheng-Ting","given":"Cai","non-dropping-particle":"","parse-names":false,"suffix":""},{"dropping-particle":"","family":"Gui-Ying","given":"Xu","non-dropping-particle":"","parse-names":false,"suffix":""}],"container-title":"Chinese Journal of Chemistry","id":"ITEM-3","issue":"2","issued":{"date-parts":[["2010","8","26"]]},"page":"112-116","title":"Mesoscopic Simulation of Aggregates in Surfactant/Oil/Water Systems","type":"article-journal","volume":"21"},"uris":["http://www.mendeley.com/documents/?uuid=1be0958f-e46f-489f-8ac1-d3ef0ce6ca9f"]}],"mendeley":{"formattedCitation":"[17–19]","plainTextFormattedCitation":"[17–19]","previouslyFormattedCitation":"[17–19]"},"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[17–19]</w:t>
      </w:r>
      <w:r w:rsidRPr="004C1D1A">
        <w:rPr>
          <w:rFonts w:cs="Times New Roman"/>
          <w:lang w:val="en-GB"/>
        </w:rPr>
        <w:fldChar w:fldCharType="end"/>
      </w:r>
      <w:r w:rsidRPr="004C1D1A">
        <w:rPr>
          <w:rFonts w:cs="Times New Roman"/>
          <w:lang w:val="en-GB"/>
        </w:rPr>
        <w:t xml:space="preserve">, we are unaware of any systematic studies of the phase behaviour and the structural properties of single component SLES in the literature. </w:t>
      </w:r>
    </w:p>
    <w:p w:rsidR="004833BB" w:rsidRDefault="004833BB" w:rsidP="004833BB">
      <w:pPr>
        <w:ind w:firstLine="567"/>
        <w:jc w:val="both"/>
        <w:rPr>
          <w:rFonts w:cs="Times New Roman"/>
          <w:lang w:val="en-GB"/>
        </w:rPr>
      </w:pPr>
      <w:r w:rsidRPr="004C1D1A">
        <w:rPr>
          <w:rFonts w:cs="Times New Roman"/>
          <w:lang w:val="en-GB"/>
        </w:rPr>
        <w:t xml:space="preserve">The experimental characterization of </w:t>
      </w:r>
      <w:r>
        <w:rPr>
          <w:rFonts w:cs="Times New Roman"/>
          <w:lang w:val="en-GB"/>
        </w:rPr>
        <w:t>a surfactant</w:t>
      </w:r>
      <w:r w:rsidRPr="004C1D1A">
        <w:rPr>
          <w:rFonts w:cs="Times New Roman"/>
          <w:lang w:val="en-GB"/>
        </w:rPr>
        <w:t xml:space="preserve"> phase diagram is difficult and requires the use of several techniques including optical microscopy, fluorescence and scattering, </w:t>
      </w:r>
      <w:r>
        <w:rPr>
          <w:rFonts w:cs="Times New Roman"/>
          <w:lang w:val="en-GB"/>
        </w:rPr>
        <w:t>however</w:t>
      </w:r>
      <w:r w:rsidRPr="004C1D1A">
        <w:rPr>
          <w:rFonts w:cs="Times New Roman"/>
          <w:lang w:val="en-GB"/>
        </w:rPr>
        <w:t xml:space="preserve"> thanks to the recent increase in computer power and the introduction of coarse-grained molecular models, </w:t>
      </w:r>
      <w:r w:rsidRPr="004C1D1A">
        <w:rPr>
          <w:rFonts w:cs="Times New Roman"/>
          <w:i/>
          <w:lang w:val="en-GB"/>
        </w:rPr>
        <w:t>in-silico</w:t>
      </w:r>
      <w:r w:rsidRPr="004C1D1A">
        <w:rPr>
          <w:rFonts w:cs="Times New Roman"/>
          <w:lang w:val="en-GB"/>
        </w:rPr>
        <w:t xml:space="preserve"> prediction of surfactant solutions properties is now possible. In particular, a mesoscopic modelling technique such as Dissipative Particle Dynamics (DPD) has proved to be a powerful tool to predict several surfactant solutions properties </w:t>
      </w:r>
      <w:r w:rsidRPr="004C1D1A">
        <w:rPr>
          <w:rFonts w:cs="Times New Roman"/>
          <w:lang w:val="en-GB"/>
        </w:rPr>
        <w:fldChar w:fldCharType="begin" w:fldLock="1"/>
      </w:r>
      <w:r>
        <w:rPr>
          <w:rFonts w:cs="Times New Roman"/>
          <w:lang w:val="en-GB"/>
        </w:rPr>
        <w:instrText>ADDIN CSL_CITATION {"citationItems":[{"id":"ITEM-1","itemData":{"DOI":"10.1021/acs.jpcb.6b03075","ISSN":"15205207","PMID":"27096611","abstract":"In this paper we present protocols for simulating micelles using dissipative particle dynamics (and in principle molecular dynamics) that we expect to be appropriate for computing micelle properties for a wide range of surfactant molecules. The protocols address challenges in equilibrating and sampling, specifically when kinetics can be very different with changes in surfactant concentration, and with even minor changes in molecular size and structure, even using the same force-field parameters. We demonstrate that detection of equilibrium can be automated and is robust, for the molecules in this study and others we have considered. In order to quantify the degree of sampling obtained during simulations, metrics to assess the degree of molecular exchange among micellar material are presented, and the use of correlation times are prescribed to assess sampling and for statistical uncertainty estimates on the relevant simulation observables. We show that the computational challenges facing the measurement of the critical micelle concentration (CMC) are somewhat different for high and low CMC materials. While a specific choice is not recommended here, it is shown that various methods give values that are consistent in terms of trends, even if not numerically equivalent.","author":[{"dropping-particle":"","family":"Johnston","given":"Michael A.","non-dropping-particle":"","parse-names":false,"suffix":""},{"dropping-particle":"","family":"Swope","given":"William C.","non-dropping-particle":"","parse-names":false,"suffix":""},{"dropping-particle":"","family":"Jordan","given":"Kirk E.","non-dropping-particle":"","parse-names":false,"suffix":""},{"dropping-particle":"","family":"Warren","given":"Patrick B.","non-dropping-particle":"","parse-names":false,"suffix":""},{"dropping-particle":"","family":"Noro","given":"Massimo G.","non-dropping-particle":"","parse-names":false,"suffix":""},{"dropping-particle":"","family":"Bray","given":"David J.","non-dropping-particle":"","parse-names":false,"suffix":""},{"dropping-particle":"","family":"Anderson","given":"Richard L.","non-dropping-particle":"","parse-names":false,"suffix":""}],"container-title":"Journal of Physical Chemistry B","id":"ITEM-1","issue":"26","issued":{"date-parts":[["2016"]]},"page":"6337-6351","title":"Toward a Standard Protocol for Micelle Simulation","type":"article-journal","volume":"120"},"uris":["http://www.mendeley.com/documents/?uuid=792aa3e0-d4ac-4f6c-bd7f-6b52a8e0802c"]},{"id":"ITEM-2","itemData":{"DOI":"10.1021/la0346346","ISBN":"0743-7463","ISSN":"07437463","abstract":"We have used dissipative particle dynamics (DPD) to simulate surfactant monolayers on the interface between oil and water. With a simple surfactant model, we investigate how variations in size and structure of surfactants influence their ability to reduce the interfacial tension. In particular, we studied the effect of branching of the hydrophobic tail. We found that branched surfactants are more efficient at the interface than linear ones only if the head groups are sufficiently hydrophilic to prevent the molecules from staggering. By combining DPD with a Monte Carlo method, we have imposed constant surfactant chemical potential and (normal) pressure in separate simulations of bulk and interface. From this, we can determine the bulk concentration needed to obtain a given interfacial tension. We found that higher concentrations of branched surfactants are required to obtain the same reduction of the interfacial tension. We argue that the stronger excluded volume interactions which make branched surfactants more efficient at the interface compared to their linear isomers at the same time make them less inclined to adsorb at the interface.","author":[{"dropping-particle":"","family":"Rekvig","given":"Live","non-dropping-particle":"","parse-names":false,"suffix":""},{"dropping-particle":"","family":"Kranenburg","given":"Marieke","non-dropping-particle":"","parse-names":false,"suffix":""},{"dropping-particle":"","family":"Vreede","given":"Jocelyne","non-dropping-particle":"","parse-names":false,"suffix":""},{"dropping-particle":"","family":"Hafskjold","given":"Bjørn","non-dropping-particle":"","parse-names":false,"suffix":""},{"dropping-particle":"","family":"Smit","given":"Berend","non-dropping-particle":"","parse-names":false,"suffix":""}],"container-title":"Langmuir","id":"ITEM-2","issue":"20","issued":{"date-parts":[["2003"]]},"page":"8195-8205","title":"Investigation of surfactant efficiency using dissipative particle dynamics","type":"article-journal","volume":"19"},"uris":["http://www.mendeley.com/documents/?uuid=4ab667f7-c1c0-45bd-be2d-d4796b798a34"]}],"mendeley":{"formattedCitation":"[20,21]","plainTextFormattedCitation":"[20,21]","previouslyFormattedCitation":"[20,21]"},"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[20,21]</w:t>
      </w:r>
      <w:r w:rsidRPr="004C1D1A">
        <w:rPr>
          <w:rFonts w:cs="Times New Roman"/>
          <w:lang w:val="en-GB"/>
        </w:rPr>
        <w:fldChar w:fldCharType="end"/>
      </w:r>
      <w:r w:rsidRPr="004C1D1A">
        <w:rPr>
          <w:rFonts w:cs="Times New Roman"/>
          <w:lang w:val="en-GB"/>
        </w:rPr>
        <w:t xml:space="preserve">. DPD has been extensively used to study surfactants self-assembly </w:t>
      </w:r>
      <w:r w:rsidRPr="004C1D1A">
        <w:rPr>
          <w:rFonts w:cs="Times New Roman"/>
          <w:lang w:val="en-GB"/>
        </w:rPr>
        <w:fldChar w:fldCharType="begin" w:fldLock="1"/>
      </w:r>
      <w:r>
        <w:rPr>
          <w:rFonts w:cs="Times New Roman"/>
          <w:lang w:val="en-GB"/>
        </w:rPr>
        <w:instrText>ADDIN CSL_CITATION {"citationItems":[{"id":"ITEM-1","itemData":{"DOI":"10.1021/jp4042028","ISSN":"15206106","abstract":"Micelle formation in surfactant solutions is a self-assembly process governed by complex interplay of solvent-mediated interactions between hydrophilic and hydrophobic groups, which are commonly called heads and tails. However, the head-tail repulsion is not the only factor affecting the micelle formation. For the first time, we present a systematic study of the effect of chain rigidity on critical micelle concentration and micelle size, which is performed with the dissipative particle dynamics simulation method. Rigidity of the coarse-grained surfactant molecule was controlled by the harmonic bonds set between the second-neighbor beads. Compared to flexible molecules with the nearest-neighbor bonds being the only type of bonded interactions, rigid molecules exhibited a lower critical micelle concentration and formed larger and better-defined micelles. By varying the strength of head-tail repulsion and the chain rigidity, we constructed two-dimensional diagrams presenting how the critical micelle concentration and aggregation number depend on these parameters. We found that the solutions of flexible and rigid molecules that exhibited approximately the same critical micelle concentration could differ substantially in the micelle size and shape depending on the chain rigidity. With the increase of surfactant concentration, primary micelles of more rigid molecules were found less keen to agglomeration and formation of nonspherical aggregates characteristic of flexible molecules.","author":[{"dropping-particle":"","family":"Lee","given":"Ming Tsung","non-dropping-particle":"","parse-names":false,"suffix":""},{"dropping-particle":"","family":"Vishnyakov","given":"Aleksey","non-dropping-particle":"","parse-names":false,"suffix":""},{"dropping-particle":"V.","family":"Neimark","given":"Alexander","non-dropping-particle":"","parse-names":false,"suffix":""}],"container-title":"Journal of Physical Chemistry B","id":"ITEM-1","issue":"35","issued":{"date-parts":[["2013"]]},"page":"10304-10310","title":"Calculations of critical micelle concentration by dissipative particle dynamics simulations: The role of chain rigidity","type":"article-journal","volume":"117"},"uris":["http://www.mendeley.com/documents/?uuid=0837ebe7-bc7c-433a-9398-15cdbf1d7cc7"]},{"id":"ITEM-2","itemData":{"DOI":"10.1021/acs.langmuir.7b03552","ISSN":"15205827","abstract":"We present a scheme to calculate wormlike micelle scission free energies from a potential of mean force (PMF) derived from a weighted histogram analysis method (WHAM) applied to coarse grained dissipative particle dynamics (DPD) simulations. In contrast to previous related work, we use a specially chosen external potential based on a reaction coordinate that reversibly drives surfactants out of the nascent scission location. For the application to a model body wash formulation, we predict how addition of NaCl and small molecules such as perfume raw materials (PRMs) affect scission energies. The results show qualitative agreement and correct trends compared to recently determined scission energies for the same system; however, a more rigorous parametrization of the underlying DPD potential is required for quantitative agreement.","author":[{"dropping-particle":"","family":"Wang","given":"Huan","non-dropping-particle":"","parse-names":false,"suffix":""},{"dropping-particle":"","family":"Tang","given":"Xueming","non-dropping-particle":"","parse-names":false,"suffix":""},{"dropping-particle":"","family":"Eike","given":"David M.","non-dropping-particle":"","parse-names":false,"suffix":""},{"dropping-particle":"","family":"Larson","given":"Ronald G.","non-dropping-particle":"","parse-names":false,"suffix":""},{"dropping-particle":"","family":"Koenig","given":"Peter H.","non-dropping-particle":"","parse-names":false,"suffix":""}],"container-title":"Langmuir","id":"ITEM-2","issue":"4","issued":{"date-parts":[["2018"]]},"page":"1564-1573","title":"Scission Free Energies for Wormlike Surfactant Micelles: Development of a Simulation Protocol, Application, and Validation for Personal Care Formulations","type":"article-journal","volume":"34"},"uris":["http://www.mendeley.com/documents/?uuid=082dc92e-635d-4088-a0bf-24f83d5e2db9"]},{"id":"ITEM-3","itemData":{"DOI":"10.1021/jz400066k","ISBN":"1948-7185","ISSN":"19487185","PMID":"18644297","abstract":"Micellization of surfactant solutions is a ubiquitous phenomenon in natural systems and technological processes, and its theoretical description represents one of the cornerstone problems in the physical chemistry of colloidal systems. However, successful attempts of quantitative modeling confirmed by experimental data remains limited. We show, for the first time, that the dissipative particle dynamics with rigorously defined soft repulsion interaction and rigidity parameters is capable of predicting micellar self-assembly of nonionic surfactants. This is achieved due to a novel approach suggested for defining the interaction parameters by fitting to the infinite dilution activity coefficients of binary solutions formed by reference compounds that represent coarse-grained fragments of surfactant molecules. Using this new parametrization scheme, we obtained quantitative agreement with the experimental critical micelle concentration and aggregation number for several typical surfactants of different chemical structures. The proposed approach can be extended to various colloidal and polymeric systems beyond nonionic surfactant solutions.","author":[{"dropping-particle":"","family":"Vishnyakov","given":"Aleksey","non-dropping-particle":"","parse-names":false,"suffix":""},{"dropping-particle":"","family":"Lee","given":"Ming Tsung","non-dropping-particle":"","parse-names":false,"suffix":""},{"dropping-particle":"V.","family":"Neimark","given":"Alexander","non-dropping-particle":"","parse-names":false,"suffix":""}],"container-title":"Journal of Physical Chemistry Letters","id":"ITEM-3","issue":"5","issued":{"date-parts":[["2013"]]},"page":"797-802","title":"Prediction of the critical micelle concentration of nonionic surfactants by dissipative particle dynamics simulations","type":"article-journal","volume":"4"},"uris":["http://www.mendeley.com/documents/?uuid=2d371b44-3ba8-496d-9c51-7576b0420c68"]}],"mendeley":{"formattedCitation":"[22–24]","plainTextFormattedCitation":"[22–24]","previouslyFormattedCitation":"[22–24]"},"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[22–24]</w:t>
      </w:r>
      <w:r w:rsidRPr="004C1D1A">
        <w:rPr>
          <w:rFonts w:cs="Times New Roman"/>
          <w:lang w:val="en-GB"/>
        </w:rPr>
        <w:fldChar w:fldCharType="end"/>
      </w:r>
      <w:r w:rsidRPr="004C1D1A">
        <w:rPr>
          <w:rFonts w:eastAsia="Times New Roman" w:cs="Times New Roman"/>
          <w:color w:val="000000"/>
          <w:kern w:val="0"/>
          <w:sz w:val="20"/>
          <w:szCs w:val="20"/>
          <w:lang w:val="en-GB" w:eastAsia="en-US" w:bidi="ar-SA"/>
        </w:rPr>
        <w:t xml:space="preserve"> </w:t>
      </w:r>
      <w:r w:rsidRPr="004C1D1A">
        <w:rPr>
          <w:rFonts w:cs="Times New Roman"/>
          <w:lang w:val="en-GB"/>
        </w:rPr>
        <w:t xml:space="preserve">and polymers solutions </w:t>
      </w:r>
      <w:r w:rsidRPr="004C1D1A">
        <w:rPr>
          <w:rFonts w:cs="Times New Roman"/>
          <w:lang w:val="en-GB"/>
        </w:rPr>
        <w:fldChar w:fldCharType="begin" w:fldLock="1"/>
      </w:r>
      <w:r>
        <w:rPr>
          <w:rFonts w:cs="Times New Roman"/>
          <w:lang w:val="en-GB"/>
        </w:rPr>
        <w:instrText>ADDIN CSL_CITATION {"citationItems":[{"id":"ITEM-1","itemData":{"DOI":"10.1016/j.colsurfa.2016.07.003","ISSN":"18734359","abstract":"We present an investigation on the morphologies of Pluronic (P123 and P84) micelles subject to a simple shear flow via dissipative particle dynamics simulations in conjunction with the Lowe-Anderson thermostat. The most interesting finding is that the polymer chains take a wide variety of conformations, showing a nearly uniform distribution, rather than either a loop or a bridge as speculated previously. The micellar solutions show shear thinning behavior, and the chains are stretched more easily when the concentration is increased at a given shear rate. For the polymer volume fraction ?????????0.2, weak flows lead to coalescence of spherical micelles, while rodlike micelles are formed in strong flows. At ????=??0.3, the ellipsoidal micelles are disrupted into smaller spherical micelles in weak flow. For P123 at ????=??0.5, a fragile gyroid-type network formed at equilibrium can be easily disrupted into ellipsoidal micelles of very different sizes by a fairly weak shear force.","author":[{"dropping-particle":"","family":"Prhashanna","given":"Ammu","non-dropping-particle":"","parse-names":false,"suffix":""},{"dropping-particle":"","family":"Khan","given":"Saif A.","non-dropping-particle":"","parse-names":false,"suffix":""},{"dropping-particle":"","family":"Chen","given":"Shing Bor","non-dropping-particle":"","parse-names":false,"suffix":""}],"container-title":"Colloids and Surfaces A: Physicochemical and Engineering Aspects","id":"ITEM-1","issued":{"date-parts":[["2016"]]},"page":"457-466","publisher":"Elsevier B.V.","title":"Micelle morphology and chain conformation of triblock copolymers under shear: LA-DPD study","type":"article-journal","volume":"506"},"uris":["http://www.mendeley.com/documents/?uuid=e32cf602-8d59-4345-9632-5e9141448431"]}],"mendeley":{"formattedCitation":"[25]","plainTextFormattedCitation":"[25]","previouslyFormattedCitation":"[25]"},"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[25]</w:t>
      </w:r>
      <w:r w:rsidRPr="004C1D1A">
        <w:rPr>
          <w:rFonts w:cs="Times New Roman"/>
          <w:lang w:val="en-GB"/>
        </w:rPr>
        <w:fldChar w:fldCharType="end"/>
      </w:r>
      <w:r w:rsidRPr="004C1D1A">
        <w:rPr>
          <w:rFonts w:cs="Times New Roman"/>
          <w:lang w:val="en-GB"/>
        </w:rPr>
        <w:t xml:space="preserve"> to calculate </w:t>
      </w:r>
      <w:r>
        <w:rPr>
          <w:rFonts w:cs="Times New Roman"/>
          <w:lang w:val="en-GB"/>
        </w:rPr>
        <w:t>CMC</w:t>
      </w:r>
      <w:r w:rsidRPr="004C1D1A">
        <w:rPr>
          <w:rFonts w:cs="Times New Roman"/>
          <w:lang w:val="en-GB"/>
        </w:rPr>
        <w:t xml:space="preserve"> and investigate full phase diagrams. The rheology of surfactant solutions has been also investigated using non-equilibrium DPD simulations providing information on the orientation of </w:t>
      </w:r>
      <w:r>
        <w:rPr>
          <w:rFonts w:cs="Times New Roman"/>
          <w:lang w:val="en-GB"/>
        </w:rPr>
        <w:t>WLMs</w:t>
      </w:r>
      <w:r w:rsidRPr="004C1D1A">
        <w:rPr>
          <w:rFonts w:cs="Times New Roman"/>
          <w:lang w:val="en-GB"/>
        </w:rPr>
        <w:t xml:space="preserve"> obtained under shear rate before breaking apart </w:t>
      </w:r>
      <w:r w:rsidRPr="004C1D1A">
        <w:rPr>
          <w:rFonts w:cs="Times New Roman"/>
        </w:rPr>
        <w:fldChar w:fldCharType="begin" w:fldLock="1"/>
      </w:r>
      <w:r>
        <w:rPr>
          <w:rFonts w:cs="Times New Roman"/>
          <w:lang w:val="en-GB"/>
        </w:rPr>
        <w:instrText>ADDIN CSL_CITATION {"citationItems":[{"id":"ITEM-1","itemData":{"DOI":"10.1080/08927022.2014.935373","ISSN":"10290435","author":[{"dropping-particle":"","family":"Meng","given":"Siwei","non-dropping-particle":"","parse-names":false,"suffix":""},{"dropping-particle":"","family":"Zhang","given":"Jin","non-dropping-particle":"","parse-names":false,"suffix":""},{"dropping-particle":"","family":"Wang","given":"Yu","non-dropping-particle":"","parse-names":false,"suffix":""},{"dropping-particle":"","family":"Li","given":"Xiaotong","non-dropping-particle":"","parse-names":false,"suffix":""},{"dropping-particle":"","family":"Wu","given":"Chong","non-dropping-particle":"","parse-names":false,"suffix":""},{"dropping-particle":"","family":"Hou","given":"Tengfei","non-dropping-particle":"","parse-names":false,"suffix":""},{"dropping-particle":"","family":"Xiao","given":"Lijia","non-dropping-particle":"","parse-names":false,"suffix":""},{"dropping-particle":"","family":"Lu","given":"Guiwu","non-dropping-particle":"","parse-names":false,"suffix":""}],"container-title":"Molecular Simulation","id":"ITEM-1","issue":"9","issued":{"date-parts":[["2015"]]},"page":"772-778","title":"Simulating the rheology of surfactant solution using dissipative particle dynamics","type":"article-journal","volume":"41"},"uris":["http://www.mendeley.com/documents/?uuid=565b2239-fbc7-48da-bb28-f1761373cf04"]},{"id":"ITEM-2","itemData":{"DOI":"10.1039/c8sm01959b","ISSN":"1744-683X","abstract":"A rheological phase diagram of aqueous solutions based on Pluronic L64 was experimentally evaluated and validated via DPD simulations. Aqueous solutions of tri-block co-polymer surfactants are able to aggregate into a rich variety of microstructures, which can exhibit different rheological behaviors. In this work, we study the diversity of structures detected in aqueous solutions of Pluronic L64 at various concentrations and temperatures by experimental rheometry and dissipative particle dynamics (DPD) simulations. Mixtures of Pluronic L64 in water (ranging from 0 to 90 wt% Pluronic L64) have been studied in both linear and non-linear regimes by oscillatory and steady shear flow. The measurements allowed for the determination of a complete rheological phase diagram of the Pluronic L64–water system. The linear and non-linear regimes have been compared to equilibrium and non-equilibrium DPD bulk simulations of similar systems obtained by using the software LAMMPS. The molecular results are capable of reproducing the equilibrium structures, which are in complete agreement with the ones predicted through experimental linear rheology. The simulations also depict micellar microstructures after long time periods when a strong flow is applied. These structures are directly compared, from a qualitative point of view, with the corresponding experimental results and differences between the equilibrium and non-equilibrium phase diagrams are highlighted, proving the capability of detecting morphological changes caused by deformation in both experiments and DPD simulations. The effect of temperature on the rheology of the systems has been eventually investigated and compared with the already existing non-rheological phase diagram.","author":[{"dropping-particle":"","family":"Pasquino","given":"Rossana","non-dropping-particle":"","parse-names":false,"suffix":""},{"dropping-particle":"","family":"Grizzuti","given":"Nino","non-dropping-particle":"","parse-names":false,"suffix":""},{"dropping-particle":"","family":"Carbone","given":"Paola","non-dropping-particle":"","parse-names":false,"suffix":""},{"dropping-particle":"","family":"Droghetti","given":"Hermes","non-dropping-particle":"","parse-names":false,"suffix":""},{"dropping-particle":"","family":"Marchisio","given":"Daniele","non-dropping-particle":"","parse-names":false,"suffix":""},{"dropping-particle":"","family":"Mirzaagha","given":"Shadi","non-dropping-particle":"","parse-names":false,"suffix":""}],"container-title":"Soft Matter","id":"ITEM-2","issue":"6","issued":{"date-parts":[["2019"]]},"page":"1396-1404","publisher":"Royal Society of Chemistry","title":"An experimental rheological phase diagram of a tri-block co-polymer in water validated against dissipative particle dynamics simulations","type":"article-journal","volume":"15"},"uris":["http://www.mendeley.com/documents/?uuid=fbad5ce1-63bc-4b73-b484-614127202068"]},{"id":"ITEM-3","itemData":{"DOI":"10.1063/1.5049641","ISSN":"00219606","abstract":"In this study, the phase diagram of Pluronic L64 and water is simulated via dissipative particle dynamics (DPD). The peculiar structures that form when the concentration varies from dilute to dense (i.e., spherical and rod-like micelles, hexagonal and lamellar phases, as well as reverse micelles) are recognized, and predictions are found to be in good agreement with experiments. A novel clustering algorithm is used to identify the structures formed, characterize them in terms of radius of gyration and aggregation number and cluster mass distributions. Non-equilibrium simulations are also performed, in order to predict how structures are affected by shear, both via qualitative and quantitative analyses. Despite the well-known scaling problem that results in unrealistic shear rates in real units, results show that non-Newtonian behaviors can be predicted by DPD and associated with variations of the observed microstructures.","author":[{"dropping-particle":"","family":"Droghetti","given":"Hermes","non-dropping-particle":"","parse-names":false,"suffix":""},{"dropping-particle":"","family":"Pagonabarraga","given":"Ignacio","non-dropping-particle":"","parse-names":false,"suffix":""},{"dropping-particle":"","family":"Carbone","given":"Paola","non-dropping-particle":"","parse-names":false,"suffix":""},{"dropping-particle":"","family":"Asinari","given":"Pietro","non-dropping-particle":"","parse-names":false,"suffix":""},{"dropping-particle":"","family":"Marchisio","given":"Daniele","non-dropping-particle":"","parse-names":false,"suffix":""}],"container-title":"Journal of Chemical Physics","id":"ITEM-3","issue":"18","issued":{"date-parts":[["2018"]]},"title":"Dissipative particle dynamics simulations of tri-block co-polymer and water: Phase diagram validation and microstructure identification","type":"article-journal","volume":"149"},"uris":["http://www.mendeley.com/documents/?uuid=6b8c47f5-cb65-4809-a6c2-b3edeb606d0c"]}],"mendeley":{"formattedCitation":"[26–28]","plainTextFormattedCitation":"[26–28]","previouslyFormattedCitation":"[26–28]"},"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[26–28]</w:t>
      </w:r>
      <w:r w:rsidRPr="004C1D1A">
        <w:rPr>
          <w:rFonts w:cs="Times New Roman"/>
        </w:rPr>
        <w:fldChar w:fldCharType="end"/>
      </w:r>
      <w:r w:rsidRPr="004C1D1A">
        <w:rPr>
          <w:rFonts w:cs="Times New Roman"/>
          <w:lang w:val="en-GB"/>
        </w:rPr>
        <w:t xml:space="preserve">. </w:t>
      </w:r>
    </w:p>
    <w:p w:rsidR="004833BB" w:rsidRPr="004C1D1A" w:rsidRDefault="004833BB" w:rsidP="004833BB">
      <w:pPr>
        <w:ind w:firstLine="567"/>
        <w:jc w:val="both"/>
        <w:rPr>
          <w:rFonts w:cs="Times New Roman"/>
          <w:lang w:val="en-GB"/>
        </w:rPr>
      </w:pPr>
      <w:r w:rsidRPr="004C1D1A">
        <w:rPr>
          <w:rFonts w:cs="Times New Roman"/>
          <w:lang w:val="en-GB"/>
        </w:rPr>
        <w:t xml:space="preserve">The objective of this work is to construct a phase diagram for a system that consists of pure SLES of </w:t>
      </w:r>
      <w:r w:rsidRPr="00D05FE8">
        <w:rPr>
          <w:rFonts w:cs="Times New Roman"/>
          <w:i/>
          <w:lang w:val="en-GB"/>
        </w:rPr>
        <w:t>m = 11</w:t>
      </w:r>
      <w:r w:rsidRPr="004C1D1A">
        <w:rPr>
          <w:rFonts w:cs="Times New Roman"/>
          <w:lang w:val="en-GB"/>
        </w:rPr>
        <w:t xml:space="preserve"> (i.e. 1</w:t>
      </w:r>
      <w:r>
        <w:rPr>
          <w:rFonts w:cs="Times New Roman"/>
          <w:lang w:val="en-GB"/>
        </w:rPr>
        <w:t>2</w:t>
      </w:r>
      <w:r w:rsidRPr="004C1D1A">
        <w:rPr>
          <w:rFonts w:cs="Times New Roman"/>
          <w:lang w:val="en-GB"/>
        </w:rPr>
        <w:t xml:space="preserve"> carbons in the alkyl tail) and </w:t>
      </w:r>
      <w:r w:rsidRPr="00D05FE8">
        <w:rPr>
          <w:rFonts w:cs="Times New Roman"/>
          <w:i/>
          <w:lang w:val="en-GB"/>
        </w:rPr>
        <w:t>n = 1</w:t>
      </w:r>
      <w:r w:rsidRPr="004C1D1A">
        <w:rPr>
          <w:rFonts w:cs="Times New Roman"/>
          <w:lang w:val="en-GB"/>
        </w:rPr>
        <w:t>, SLES</w:t>
      </w:r>
      <w:r w:rsidRPr="004C1D1A">
        <w:rPr>
          <w:rFonts w:cs="Times New Roman"/>
          <w:vertAlign w:val="subscript"/>
          <w:lang w:val="en-GB"/>
        </w:rPr>
        <w:t>1</w:t>
      </w:r>
      <w:r w:rsidRPr="004C1D1A">
        <w:rPr>
          <w:rFonts w:cs="Times New Roman"/>
          <w:lang w:val="en-GB"/>
        </w:rPr>
        <w:t xml:space="preserve">EO. Moreover, we systematically investigate the effect that the number of EO monomers has on the self-assembly </w:t>
      </w:r>
      <w:r>
        <w:rPr>
          <w:rFonts w:cs="Times New Roman"/>
          <w:lang w:val="en-GB"/>
        </w:rPr>
        <w:t xml:space="preserve">process </w:t>
      </w:r>
      <w:r w:rsidRPr="004C1D1A">
        <w:rPr>
          <w:rFonts w:cs="Times New Roman"/>
          <w:lang w:val="en-GB"/>
        </w:rPr>
        <w:t>and fully characterise the phase</w:t>
      </w:r>
      <w:r>
        <w:rPr>
          <w:rFonts w:cs="Times New Roman"/>
          <w:lang w:val="en-GB"/>
        </w:rPr>
        <w:t xml:space="preserve"> behaviour of the surfactant</w:t>
      </w:r>
      <w:r w:rsidRPr="004C1D1A">
        <w:rPr>
          <w:rFonts w:cs="Times New Roman"/>
          <w:lang w:val="en-GB"/>
        </w:rPr>
        <w:t xml:space="preserve">. Finally the mechanism of micellar elongation </w:t>
      </w:r>
      <w:r>
        <w:rPr>
          <w:rFonts w:cs="Times New Roman"/>
          <w:lang w:val="en-GB"/>
        </w:rPr>
        <w:t xml:space="preserve">is </w:t>
      </w:r>
      <w:r w:rsidRPr="004C1D1A">
        <w:rPr>
          <w:rFonts w:cs="Times New Roman"/>
          <w:lang w:val="en-GB"/>
        </w:rPr>
        <w:t>investigated for SLES</w:t>
      </w:r>
      <w:r w:rsidRPr="004C1D1A">
        <w:rPr>
          <w:rFonts w:cs="Times New Roman"/>
          <w:vertAlign w:val="subscript"/>
          <w:lang w:val="en-GB"/>
        </w:rPr>
        <w:t>1</w:t>
      </w:r>
      <w:r w:rsidRPr="004C1D1A">
        <w:rPr>
          <w:rFonts w:cs="Times New Roman"/>
          <w:lang w:val="en-GB"/>
        </w:rPr>
        <w:t>EO</w:t>
      </w:r>
      <w:r w:rsidRPr="004C1D1A" w:rsidDel="00FD5904">
        <w:rPr>
          <w:rFonts w:cs="Times New Roman"/>
          <w:lang w:val="en-GB"/>
        </w:rPr>
        <w:t xml:space="preserve"> </w:t>
      </w:r>
      <w:r w:rsidRPr="004C1D1A">
        <w:rPr>
          <w:rFonts w:cs="Times New Roman"/>
          <w:lang w:val="en-GB"/>
        </w:rPr>
        <w:t>and we construct a closed mathematical formula which is able to predict the average contour length of a micelle in the non-branching regions.</w:t>
      </w:r>
    </w:p>
    <w:p w:rsidR="004833BB" w:rsidRPr="004C1D1A" w:rsidRDefault="004833BB" w:rsidP="004833BB">
      <w:pPr>
        <w:pStyle w:val="Heading2"/>
        <w:numPr>
          <w:ilvl w:val="1"/>
          <w:numId w:val="1"/>
        </w:numPr>
        <w:rPr>
          <w:rFonts w:cs="Times New Roman"/>
          <w:lang w:val="en-GB"/>
        </w:rPr>
      </w:pPr>
      <w:r w:rsidRPr="004C1D1A">
        <w:rPr>
          <w:rFonts w:cs="Times New Roman"/>
          <w:lang w:val="en-GB"/>
        </w:rPr>
        <w:lastRenderedPageBreak/>
        <w:t xml:space="preserve">2. </w:t>
      </w:r>
      <w:r>
        <w:rPr>
          <w:rFonts w:cs="Times New Roman"/>
          <w:lang w:val="en-GB"/>
        </w:rPr>
        <w:t xml:space="preserve">MATERIALS AND </w:t>
      </w:r>
      <w:r w:rsidRPr="004C1D1A">
        <w:rPr>
          <w:rFonts w:cs="Times New Roman"/>
          <w:lang w:val="en-GB"/>
        </w:rPr>
        <w:t>METHODS</w:t>
      </w:r>
    </w:p>
    <w:p w:rsidR="004833BB" w:rsidRPr="004C1D1A" w:rsidRDefault="004833BB" w:rsidP="004833BB">
      <w:pPr>
        <w:jc w:val="center"/>
        <w:rPr>
          <w:rFonts w:cs="Times New Roman"/>
          <w:b/>
          <w:lang w:val="en-GB"/>
        </w:rPr>
      </w:pPr>
      <w:r w:rsidRPr="004C1D1A">
        <w:rPr>
          <w:rFonts w:cs="Times New Roman"/>
          <w:b/>
          <w:lang w:val="en-GB"/>
        </w:rPr>
        <w:t>2.1 DPD</w:t>
      </w:r>
    </w:p>
    <w:p w:rsidR="004833BB" w:rsidRPr="004C1D1A" w:rsidRDefault="004833BB" w:rsidP="004833BB">
      <w:pPr>
        <w:jc w:val="both"/>
        <w:rPr>
          <w:rFonts w:cs="Times New Roman"/>
          <w:lang w:val="en-GB"/>
        </w:rPr>
      </w:pPr>
      <w:r w:rsidRPr="004C1D1A">
        <w:rPr>
          <w:rFonts w:cs="Times New Roman"/>
          <w:lang w:val="en-GB"/>
        </w:rPr>
        <w:t xml:space="preserve"> </w:t>
      </w:r>
    </w:p>
    <w:p w:rsidR="004833BB" w:rsidRPr="004C1D1A" w:rsidRDefault="004833BB" w:rsidP="004833BB">
      <w:pPr>
        <w:ind w:firstLine="720"/>
        <w:jc w:val="both"/>
        <w:rPr>
          <w:rFonts w:cs="Times New Roman"/>
          <w:lang w:val="en-US"/>
        </w:rPr>
      </w:pPr>
      <w:r w:rsidRPr="004C1D1A">
        <w:rPr>
          <w:rFonts w:cs="Times New Roman"/>
          <w:lang w:val="en-US"/>
        </w:rPr>
        <w:t xml:space="preserve">Dissipative Particle Dynamics is a mesoscale simulation technique that has been used to explore many systems such as colloid suspensions </w:t>
      </w:r>
      <w:r w:rsidRPr="004C1D1A">
        <w:rPr>
          <w:rFonts w:cs="Times New Roman"/>
          <w:lang w:val="en-US"/>
        </w:rPr>
        <w:fldChar w:fldCharType="begin" w:fldLock="1"/>
      </w:r>
      <w:r>
        <w:rPr>
          <w:rFonts w:cs="Times New Roman"/>
          <w:lang w:val="en-US"/>
        </w:rPr>
        <w:instrText>ADDIN CSL_CITATION {"citationItems":[{"id":"ITEM-1","itemData":{"DOI":"10.1209/0295-5075/21/3/018","author":[{"dropping-particle":"","family":"Koelman","given":"J M V A","non-dropping-particle":"","parse-names":false,"suffix":""},{"dropping-particle":"","family":"Hoogerbrugge","given":"P J","non-dropping-particle":"","parse-names":false,"suffix":""}],"container-title":"Europhys. Lett","id":"ITEM-1","issued":{"date-parts":[["1993"]]},"page":"363","title":"Dynamic simulation of hard-sphere suspensions under steady shear","type":"article-journal","volume":"21"},"uris":["http://www.mendeley.com/documents/?uuid=d92ec901-c33a-4cf8-a356-b57fe4f57ea4"]},{"id":"ITEM-2","itemData":{"abstract":"Dissipative particle dynamics (DPD) belongs to a class of models and computational algorithms developed to address mesoscale problems in complex fluids and soft matter in general. It is based on the notion of particles that represent coarse-grained portions of the system under study and allow, therefore, to reach time and length scales that would be otherwise unreachable from microscopic simulations. The method has been conceptually refined since its introduction almost twenty five years ago. This perspective surveys the major conceptual improvements in the original DPD model, along with its microscopic foundation, and discusses outstanding challenges in the field. We summarize some recent advances and suggests avenues for future developments.","author":[{"dropping-particle":"","family":"Español","given":"Pep","non-dropping-particle":"","parse-names":false,"suffix":""},{"dropping-particle":"","family":"Warren","given":"Patrick B","non-dropping-particle":"","parse-names":false,"suffix":""}],"id":"ITEM-2","issued":{"date-parts":[["2016"]]},"page":"1-18","title":"Perspective: Dissipative Particle Dynamics","type":"article-journal","volume":"146"},"uris":["http://www.mendeley.com/documents/?uuid=3912e7ae-8444-4d37-91da-ee255fd607fc"]}],"mendeley":{"formattedCitation":"[29,30]","plainTextFormattedCitation":"[29,30]","previouslyFormattedCitation":"[29,30]"},"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[29,30]</w:t>
      </w:r>
      <w:r w:rsidRPr="004C1D1A">
        <w:rPr>
          <w:rFonts w:cs="Times New Roman"/>
          <w:lang w:val="en-US"/>
        </w:rPr>
        <w:fldChar w:fldCharType="end"/>
      </w:r>
      <w:r w:rsidRPr="004C1D1A">
        <w:rPr>
          <w:rFonts w:cs="Times New Roman"/>
          <w:lang w:val="en-US"/>
        </w:rPr>
        <w:t xml:space="preserve"> and polymers </w:t>
      </w:r>
      <w:r w:rsidRPr="004C1D1A">
        <w:rPr>
          <w:rFonts w:cs="Times New Roman"/>
          <w:lang w:val="en-US"/>
        </w:rPr>
        <w:fldChar w:fldCharType="begin" w:fldLock="1"/>
      </w:r>
      <w:r>
        <w:rPr>
          <w:rFonts w:cs="Times New Roman"/>
          <w:lang w:val="en-US"/>
        </w:rPr>
        <w:instrText>ADDIN CSL_CITATION {"citationItems":[{"id":"ITEM-1","itemData":{"DOI":"10.1039/c7nr09011k","ISSN":"20403372","abstract":"&lt;p&gt;The aggregation of PEG polymers during the membrane wrapping process of PEGylated liposomes can introduce a large free energy barrier, thereby limiting the cellular uptake of PEGylated liposomes.&lt;/p&gt;","author":[{"dropping-particle":"","family":"Shen","given":"Zhiqiang","non-dropping-particle":"","parse-names":false,"suffix":""},{"dropping-particle":"","family":"Ye","given":"Huilin","non-dropping-particle":"","parse-names":false,"suffix":""},{"dropping-particle":"","family":"Kröger","given":"Martin","non-dropping-particle":"","parse-names":false,"suffix":""},{"dropping-particle":"","family":"Li","given":"Ying","non-dropping-particle":"","parse-names":false,"suffix":""}],"container-title":"Nanoscale","id":"ITEM-1","issue":"9","issued":{"date-parts":[["2018"]]},"page":"4545-4560","publisher":"Royal Society of Chemistry","title":"Aggregation of polyethylene glycol polymers suppresses receptor-mediated endocytosis of PEGylated liposomes","type":"article-journal","volume":"10"},"uris":["http://www.mendeley.com/documents/?uuid=55cba4cb-d6ef-4710-bc4a-ed91d2fd1657"]}],"mendeley":{"formattedCitation":"[31]","plainTextFormattedCitation":"[31]","previouslyFormattedCitation":"[31]"},"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[31]</w:t>
      </w:r>
      <w:r w:rsidRPr="004C1D1A">
        <w:rPr>
          <w:rFonts w:cs="Times New Roman"/>
          <w:lang w:val="en-US"/>
        </w:rPr>
        <w:fldChar w:fldCharType="end"/>
      </w:r>
      <w:r w:rsidRPr="004C1D1A">
        <w:rPr>
          <w:rFonts w:cs="Times New Roman"/>
          <w:lang w:val="en-US"/>
        </w:rPr>
        <w:t xml:space="preserve">. As it is a mesoscale method by nature, it deals with the movement of a cluster of atoms (beads) rather than individual atoms. It describes the movement of beads through Newton’s equations of motion and non-bonded interactions between the beads are most frequently characterized by soft repulsive potentials </w:t>
      </w:r>
      <w:r w:rsidRPr="004C1D1A">
        <w:rPr>
          <w:rFonts w:cs="Times New Roman"/>
          <w:lang w:val="en-US"/>
        </w:rPr>
        <w:fldChar w:fldCharType="begin" w:fldLock="1"/>
      </w:r>
      <w:r>
        <w:rPr>
          <w:rFonts w:cs="Times New Roman"/>
          <w:lang w:val="en-US"/>
        </w:rPr>
        <w:instrText>ADDIN CSL_CITATION {"citationItems":[{"id":"ITEM-1","itemData":{"DOI":"10.1002/0471720895","ISBN":"9780471720898","ISSN":"1098-6596","PMID":"25246403","abstract":"Predicting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approach.","author":[{"dropping-particle":"","family":"Lipkowitz","given":"Kenny B.","non-dropping-particle":"","parse-names":false,"suffix":""},{"dropping-particle":"","family":"Larter","given":"Raima","non-dropping-particle":"","parse-names":false,"suffix":""},{"dropping-particle":"","family":"Cundari","given":"Thomas R.","non-dropping-particle":"","parse-names":false,"suffix":""}],"chapter-number":"2","collection-title":"Reviews in Computational Chemistry","container-title":"Reviews in Computational Chemistry","editor":[{"dropping-particle":"","family":"Lipkowitz","given":"Kenny B.","non-dropping-particle":"","parse-names":false,"suffix":""},{"dropping-particle":"","family":"Larter","given":"Raima","non-dropping-particle":"","parse-names":false,"suffix":""},{"dropping-particle":"","family":"Cundari","given":"Thomas R.","non-dropping-particle":"","parse-names":false,"suffix":""}],"id":"ITEM-1","issued":{"date-parts":[["2005","4","8"]]},"number-of-pages":"1-443","publisher":"John Wiley &amp; Sons, Inc.","publisher-place":"Hoboken, NJ, USA","title":"Reviews in Computational Chemistry","type":"book","volume":"27"},"uris":["http://www.mendeley.com/documents/?uuid=259ea80b-723e-499d-9803-3d3cdd40d464"]}],"mendeley":{"formattedCitation":"[32]","plainTextFormattedCitation":"[32]","previouslyFormattedCitation":"[32]"},"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[32]</w:t>
      </w:r>
      <w:r w:rsidRPr="004C1D1A">
        <w:rPr>
          <w:rFonts w:cs="Times New Roman"/>
          <w:lang w:val="en-US"/>
        </w:rPr>
        <w:fldChar w:fldCharType="end"/>
      </w:r>
      <w:r w:rsidRPr="004C1D1A">
        <w:rPr>
          <w:rFonts w:cs="Times New Roman"/>
          <w:lang w:val="en-US"/>
        </w:rPr>
        <w:t xml:space="preserve">. This method was initially introduced by Hoogerbrugge and Koelman in 1992 </w:t>
      </w:r>
      <w:r w:rsidRPr="004C1D1A">
        <w:rPr>
          <w:rFonts w:cs="Times New Roman"/>
          <w:lang w:val="en-US"/>
        </w:rPr>
        <w:fldChar w:fldCharType="begin" w:fldLock="1"/>
      </w:r>
      <w:r>
        <w:rPr>
          <w:rFonts w:cs="Times New Roman"/>
          <w:lang w:val="en-US"/>
        </w:rPr>
        <w:instrText>ADDIN CSL_CITATION {"citationItems":[{"id":"ITEM-1","itemData":{"DOI":"10.1209/0295-5075/19/3/001","ISBN":"0295-5075","ISSN":"0295-5075","abstract":"-We present a novel method for simulating hydrodynamic phenomena. This particle-based method combines features from molecular dynamics and lattice-gas automata. I t is shown theoretically as well as in simulations that a quantitative description of isothermal Navier-Stokes flow is obtained with relatively few particles. Computationally, the method is much faster than molecular dynamics, and the at same time it is much more flexible than lattice-gas automata schemes. Predicting complex hydrodynamic behaviour is undoubtedly one of the biggest remaining challenges in classical physics. In dispersed systems such as colloidal suspensions complicated flow behaviours occw even at low Reynolds numbers. The traditional rheological modelling approach, which involves setting up and numerically solving partial differential equations describing the macroscale hydrodynamic behaviour of these complex fluids, has met only limited success. Less traditionally one can-in principle at least-simulate any fluid system rigorously at a microscopic level and make the translation to macroscopic variables in large-scale computer simulations. In the past few years several research groups have reported molecular-dynamics (MD) simulations of flow phenomena occurring in simple fluids, including eddy formation [l] and Rayleigh-Bhard convection [2,3]. However, even for these simple fluid systems, computational costs limited these studies to 2D systems. Therefore, MD can hardly be considered a tool for studying complex fluids in three dimensions. A completely new line of approach in particle-based simulations of fluids was triggered by the discovery of Frisch, Hasslacher and Pomeau[4] that systems of particles, moving simultaneously from site to site on a regular lattice, can be tuned into valid fluid-dynamical models yielding the correct Navier-Stokes hydrodynamic behaviour at a coarse-grained scale. These so-called lattice-gas automata (LGA) hold some promise as a practical tool for modelling complex fluid flows, as they are computationally much more efficient than MD. Not only is the number of elementary operations per particle and per time step smaller for LGA, but also, and more importantly, the time steps in LGA are orders of magnitude larger: in a single LGA time step the changes in the relative particle positions are typically comparable to the mean free path of the particles, whereas in MD corresponding changes in local particle configurations usually require hundreds of time s…","author":[{"dropping-particle":"","family":"Hoogerbrugge","given":"P J","non-dropping-particle":"","parse-names":false,"suffix":""},{"dropping-particle":"","family":"Koelman","given":"J M V A","non-dropping-particle":"","parse-names":false,"suffix":""}],"container-title":"Europhysics Letters (EPL)","id":"ITEM-1","issue":"3","issued":{"date-parts":[["1992"]]},"page":"155-160","title":"Simulating Microscopic Hydrodynamic Phenomena with Dissipative Particle Dynamics","type":"article-journal","volume":"19"},"uris":["http://www.mendeley.com/documents/?uuid=dadac9e6-4e38-40e5-a88a-88fc73180186"]}],"mendeley":{"formattedCitation":"[33]","plainTextFormattedCitation":"[33]","previouslyFormattedCitation":"[33]"},"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[33]</w:t>
      </w:r>
      <w:r w:rsidRPr="004C1D1A">
        <w:rPr>
          <w:rFonts w:cs="Times New Roman"/>
          <w:lang w:val="en-US"/>
        </w:rPr>
        <w:fldChar w:fldCharType="end"/>
      </w:r>
      <w:r w:rsidRPr="004C1D1A">
        <w:rPr>
          <w:rFonts w:cs="Times New Roman"/>
          <w:lang w:val="en-US"/>
        </w:rPr>
        <w:t xml:space="preserve"> while its mathematical background was established by Español and Warren in 1995 </w:t>
      </w:r>
      <w:r w:rsidRPr="004C1D1A">
        <w:rPr>
          <w:rFonts w:cs="Times New Roman"/>
          <w:lang w:val="en-US"/>
        </w:rPr>
        <w:fldChar w:fldCharType="begin" w:fldLock="1"/>
      </w:r>
      <w:r>
        <w:rPr>
          <w:rFonts w:cs="Times New Roman"/>
          <w:lang w:val="en-US"/>
        </w:rPr>
        <w:instrText>ADDIN CSL_CITATION {"citationItems":[{"id":"ITEM-1","itemData":{"author":[{"dropping-particle":"","family":"Espanol","given":"P.","non-dropping-particle":"","parse-names":false,"suffix":""},{"dropping-particle":"","family":"Warren","given":"P. B.","non-dropping-particle":"","parse-names":false,"suffix":""}],"container-title":"Epl","id":"ITEM-1","issue":"May","issued":{"date-parts":[["1995"]]},"page":"191-196","title":"Statistical mechanics of dissipative particle dynamics","type":"article-journal","volume":"30"},"uris":["http://www.mendeley.com/documents/?uuid=dd0dc596-4788-4ab2-936f-5d097e402a5e"]}],"mendeley":{"formattedCitation":"[34]","plainTextFormattedCitation":"[34]","previouslyFormattedCitation":"[34]"},"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[34]</w:t>
      </w:r>
      <w:r w:rsidRPr="004C1D1A">
        <w:rPr>
          <w:rFonts w:cs="Times New Roman"/>
          <w:lang w:val="en-US"/>
        </w:rPr>
        <w:fldChar w:fldCharType="end"/>
      </w:r>
      <w:r w:rsidRPr="004C1D1A">
        <w:rPr>
          <w:rFonts w:cs="Times New Roman"/>
          <w:lang w:val="en-US"/>
        </w:rPr>
        <w:t xml:space="preserve">. At the same time the ability of DPD to predict hydrodynamic behavior was proven by Español </w:t>
      </w:r>
      <w:r w:rsidRPr="004C1D1A">
        <w:rPr>
          <w:rFonts w:cs="Times New Roman"/>
          <w:lang w:val="en-US"/>
        </w:rPr>
        <w:fldChar w:fldCharType="begin" w:fldLock="1"/>
      </w:r>
      <w:r>
        <w:rPr>
          <w:rFonts w:cs="Times New Roman"/>
          <w:lang w:val="en-US"/>
        </w:rPr>
        <w:instrText>ADDIN CSL_CITATION {"citationItems":[{"id":"ITEM-1","itemData":{"DOI":"10.1103/PhysRevE.52.1734","ISBN":"1063-651X","ISSN":"1063651X","abstract":"Starting from the stochastic differential equations corresponding to the updating algorithm of dissipative particle dynamics we derive, with a standard technique of projection operators, the hydrodynamic equations for the mass and momentum density fields. The connection of the original parameters of the model with the viscosity and speed of sound of the fluid is clarified.","author":[{"dropping-particle":"","family":"Espanol","given":"P","non-dropping-particle":"","parse-names":false,"suffix":""}],"container-title":"Physical Review E","id":"ITEM-1","issue":"2","issued":{"date-parts":[["1995"]]},"page":"1734-1742","title":"Hydrodynamics from dissipative particle dynamics","type":"article-journal","volume":"52"},"uris":["http://www.mendeley.com/documents/?uuid=62c28dd1-31fd-411d-9444-2a8e562f9cc3"]}],"mendeley":{"formattedCitation":"[35]","plainTextFormattedCitation":"[35]","previouslyFormattedCitation":"[35]"},"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[35]</w:t>
      </w:r>
      <w:r w:rsidRPr="004C1D1A">
        <w:rPr>
          <w:rFonts w:cs="Times New Roman"/>
          <w:lang w:val="en-US"/>
        </w:rPr>
        <w:fldChar w:fldCharType="end"/>
      </w:r>
      <w:r w:rsidRPr="004C1D1A">
        <w:rPr>
          <w:rFonts w:cs="Times New Roman"/>
          <w:lang w:val="en-US"/>
        </w:rPr>
        <w:t xml:space="preserve"> by deriving two out of three conservative laws from DPD variables. This enables DPD to reach the thermodynamic equilibrium </w:t>
      </w:r>
      <w:r>
        <w:rPr>
          <w:rFonts w:cs="Times New Roman"/>
          <w:lang w:val="en-US"/>
        </w:rPr>
        <w:t xml:space="preserve">quicker </w:t>
      </w:r>
      <w:r w:rsidRPr="004C1D1A">
        <w:rPr>
          <w:rFonts w:cs="Times New Roman"/>
          <w:lang w:val="en-US"/>
        </w:rPr>
        <w:t>than any equivalent coarse graining method. Also</w:t>
      </w:r>
      <w:r>
        <w:rPr>
          <w:rFonts w:cs="Times New Roman"/>
          <w:lang w:val="en-US"/>
        </w:rPr>
        <w:t>,</w:t>
      </w:r>
      <w:r w:rsidRPr="004C1D1A">
        <w:rPr>
          <w:rFonts w:cs="Times New Roman"/>
          <w:lang w:val="en-US"/>
        </w:rPr>
        <w:t xml:space="preserve"> as a mesoscopic method</w:t>
      </w:r>
      <w:r>
        <w:rPr>
          <w:rFonts w:cs="Times New Roman"/>
          <w:lang w:val="en-US"/>
        </w:rPr>
        <w:t>,</w:t>
      </w:r>
      <w:r w:rsidRPr="004C1D1A">
        <w:rPr>
          <w:rFonts w:cs="Times New Roman"/>
          <w:lang w:val="en-US"/>
        </w:rPr>
        <w:t xml:space="preserve"> DPD is able to reach time and length scales beyond th</w:t>
      </w:r>
      <w:r>
        <w:rPr>
          <w:rFonts w:cs="Times New Roman"/>
          <w:lang w:val="en-US"/>
        </w:rPr>
        <w:t>ose achievable by</w:t>
      </w:r>
      <w:r w:rsidRPr="004C1D1A">
        <w:rPr>
          <w:rFonts w:cs="Times New Roman"/>
          <w:lang w:val="en-US"/>
        </w:rPr>
        <w:t xml:space="preserve"> atomistic </w:t>
      </w:r>
      <w:r>
        <w:rPr>
          <w:rFonts w:cs="Times New Roman"/>
          <w:lang w:val="en-US"/>
        </w:rPr>
        <w:t xml:space="preserve">models </w:t>
      </w:r>
      <w:r w:rsidRPr="004C1D1A">
        <w:rPr>
          <w:rFonts w:cs="Times New Roman"/>
          <w:lang w:val="en-US"/>
        </w:rPr>
        <w:t>and makes the simulations of any system faster than by simulating with molecular dynamics (MD).</w:t>
      </w:r>
    </w:p>
    <w:p w:rsidR="004833BB" w:rsidRPr="004C1D1A" w:rsidRDefault="004833BB" w:rsidP="004833BB">
      <w:pPr>
        <w:ind w:firstLine="720"/>
        <w:jc w:val="both"/>
        <w:rPr>
          <w:rFonts w:cs="Times New Roman"/>
          <w:lang w:val="en-US"/>
        </w:rPr>
      </w:pPr>
      <w:r>
        <w:rPr>
          <w:rFonts w:cs="Times New Roman"/>
          <w:lang w:val="en-US"/>
        </w:rPr>
        <w:t xml:space="preserve">For a full description of the DPD algorithm and theory the reader can consult the references above. Here we will just outline the basic concepts of the method. </w:t>
      </w:r>
      <w:r w:rsidRPr="004C1D1A">
        <w:rPr>
          <w:rFonts w:cs="Times New Roman"/>
          <w:lang w:val="en-US"/>
        </w:rPr>
        <w:t xml:space="preserve">Let us consider a system of </w:t>
      </w:r>
      <w:r w:rsidRPr="004C1D1A">
        <w:rPr>
          <w:rFonts w:cs="Times New Roman"/>
          <w:i/>
          <w:lang w:val="en-US"/>
        </w:rPr>
        <w:t>N</w:t>
      </w:r>
      <w:r w:rsidRPr="004C1D1A">
        <w:rPr>
          <w:rFonts w:cs="Times New Roman"/>
          <w:lang w:val="en-US"/>
        </w:rPr>
        <w:t xml:space="preserve"> particles that have equal mass. It is common in literature to perform this assumption for simplicity. A cluster of these </w:t>
      </w:r>
      <w:r w:rsidRPr="004C1D1A">
        <w:rPr>
          <w:rFonts w:cs="Times New Roman"/>
          <w:i/>
          <w:lang w:val="en-US"/>
        </w:rPr>
        <w:t>N</w:t>
      </w:r>
      <w:r w:rsidRPr="004C1D1A">
        <w:rPr>
          <w:rFonts w:cs="Times New Roman"/>
          <w:lang w:val="en-US"/>
        </w:rPr>
        <w:t xml:space="preserve"> particles will form a DPD particle. The number of particles that constitute a bead is called the coarse graining parameter and is denoted by </w:t>
      </w:r>
      <w:r w:rsidRPr="004C1D1A">
        <w:rPr>
          <w:rFonts w:cs="Times New Roman"/>
          <w:i/>
          <w:lang w:val="en-US"/>
        </w:rPr>
        <w:t>N</w:t>
      </w:r>
      <w:r w:rsidRPr="004C1D1A">
        <w:rPr>
          <w:rFonts w:cs="Times New Roman"/>
          <w:i/>
          <w:vertAlign w:val="subscript"/>
          <w:lang w:val="en-US"/>
        </w:rPr>
        <w:t>m</w:t>
      </w:r>
      <w:r w:rsidRPr="004C1D1A">
        <w:rPr>
          <w:rFonts w:cs="Times New Roman"/>
          <w:lang w:val="en-US"/>
        </w:rPr>
        <w:t xml:space="preserve"> </w:t>
      </w:r>
      <w:r w:rsidRPr="004C1D1A">
        <w:rPr>
          <w:rFonts w:cs="Times New Roman"/>
          <w:lang w:val="en-US"/>
        </w:rPr>
        <w:fldChar w:fldCharType="begin" w:fldLock="1"/>
      </w:r>
      <w:r>
        <w:rPr>
          <w:rFonts w:cs="Times New Roman"/>
          <w:lang w:val="en-US"/>
        </w:rPr>
        <w:instrText>ADDIN CSL_CITATION {"citationItems":[{"id":"ITEM-1","itemData":{"DOI":"10.1142/S1758825109000381","ISBN":"1758-8251","ISSN":"1758-8251","abstract":"The dissipative particle dynamics (DPD) technique is a relatively new mesoscale technique which was initially developed to simulate hydrodynamic behavior in mesoscopic complex fluids. It is essentially a particle technique in which molecules are clustered into the said particles, and this coarse graining is a very important aspect of the DPD as it allows significant computational speed-up. This increased computational efficiency, coupled with the recent advent of high performance computing, has subsequently enabled researchers to numerically study a host of complex fluid applications at a refined level. In this review, we trace the developments of various important aspects of the DPD methodology since it was first proposed in the in the early 1990's. In addition, we review notable published works which employed DPD simulation for complex fluid applications.","author":[{"dropping-particle":"","family":"MOEENDARBARY","given":"E.","non-dropping-particle":"","parse-names":false,"suffix":""},{"dropping-particle":"","family":"NG","given":"T. Y.","non-dropping-particle":"","parse-names":false,"suffix":""},{"dropping-particle":"","family":"ZANGENEH","given":"M.","non-dropping-particle":"","parse-names":false,"suffix":""}],"container-title":"International Journal of Applied Mechanics","id":"ITEM-1","issue":"04","issued":{"date-parts":[["2009"]]},"page":"737-763","title":"Dissipative Particle Dynamics: Introduction, Methodology and Complex Fluid Applications — a Review","type":"article-journal","volume":"01"},"uris":["http://www.mendeley.com/documents/?uuid=d7ad76da-6e13-44ec-b055-3dc37ed81223"]}],"mendeley":{"formattedCitation":"[36]","plainTextFormattedCitation":"[36]","previouslyFormattedCitation":"[36]"},"properties":{"noteIndex":0},"schema":"https://github.com/citation-style-language/schema/raw/master/csl-citation.json"}</w:instrText>
      </w:r>
      <w:r w:rsidRPr="004C1D1A">
        <w:rPr>
          <w:rFonts w:cs="Times New Roman"/>
          <w:lang w:val="en-US"/>
        </w:rPr>
        <w:fldChar w:fldCharType="separate"/>
      </w:r>
      <w:r w:rsidRPr="00B93E47">
        <w:rPr>
          <w:rFonts w:cs="Times New Roman"/>
          <w:noProof/>
          <w:lang w:val="en-US"/>
        </w:rPr>
        <w:t>[36]</w:t>
      </w:r>
      <w:r w:rsidRPr="004C1D1A">
        <w:rPr>
          <w:rFonts w:cs="Times New Roman"/>
          <w:lang w:val="en-US"/>
        </w:rPr>
        <w:fldChar w:fldCharType="end"/>
      </w:r>
      <w:r w:rsidRPr="004C1D1A">
        <w:rPr>
          <w:rFonts w:cs="Times New Roman"/>
          <w:lang w:val="en-US"/>
        </w:rPr>
        <w:t>.  Similarly to MD, the total force acting on</w:t>
      </w:r>
      <w:r>
        <w:rPr>
          <w:rFonts w:cs="Times New Roman"/>
          <w:lang w:val="en-US"/>
        </w:rPr>
        <w:t xml:space="preserve"> a bead</w:t>
      </w:r>
      <w:r w:rsidRPr="004C1D1A">
        <w:rPr>
          <w:rFonts w:cs="Times New Roman"/>
          <w:lang w:val="en-US"/>
        </w:rPr>
        <w:t xml:space="preserve"> </w:t>
      </w:r>
      <w:r>
        <w:rPr>
          <w:rFonts w:cs="Times New Roman"/>
          <w:lang w:val="en-US"/>
        </w:rPr>
        <w:t>is</w:t>
      </w:r>
      <w:r w:rsidRPr="004C1D1A">
        <w:rPr>
          <w:rFonts w:cs="Times New Roman"/>
          <w:lang w:val="en-US"/>
        </w:rPr>
        <w:t xml:space="preserve"> </w:t>
      </w:r>
      <w:r>
        <w:rPr>
          <w:rFonts w:cs="Times New Roman"/>
          <w:lang w:val="en-US"/>
        </w:rPr>
        <w:t>the</w:t>
      </w:r>
      <w:r w:rsidRPr="004C1D1A">
        <w:rPr>
          <w:rFonts w:cs="Times New Roman"/>
          <w:lang w:val="en-US"/>
        </w:rPr>
        <w:t xml:space="preserve"> summation of </w:t>
      </w:r>
      <w:r>
        <w:rPr>
          <w:rFonts w:cs="Times New Roman"/>
          <w:lang w:val="en-US"/>
        </w:rPr>
        <w:t xml:space="preserve">several force components, in this case </w:t>
      </w:r>
      <w:r w:rsidRPr="004C1D1A">
        <w:rPr>
          <w:rFonts w:cs="Times New Roman"/>
          <w:lang w:val="en-US"/>
        </w:rPr>
        <w:t>three distinct DPD forces and any other bonded force (eq. 2.1).</w:t>
      </w:r>
    </w:p>
    <w:p w:rsidR="004833BB" w:rsidRPr="004C1D1A" w:rsidRDefault="004833BB" w:rsidP="004833BB">
      <w:pPr>
        <w:ind w:firstLine="720"/>
        <w:jc w:val="both"/>
        <w:rPr>
          <w:rFonts w:cs="Times New Roman"/>
          <w:lang w:val="en-US"/>
        </w:rPr>
      </w:pPr>
    </w:p>
    <w:p w:rsidR="004833BB" w:rsidRPr="004C1D1A" w:rsidRDefault="00A70B57" w:rsidP="004833BB">
      <w:pPr>
        <w:ind w:firstLine="720"/>
        <w:jc w:val="right"/>
        <w:rPr>
          <w:rFonts w:cs="Times New Roman"/>
          <w:i/>
          <w:lang w:val="en-US"/>
        </w:rPr>
      </w:pPr>
      <m:oMath>
        <m:sSubSup>
          <m:sSubSupPr>
            <m:ctrlPr>
              <w:rPr>
                <w:rFonts w:ascii="Cambria Math" w:hAnsi="Cambria Math" w:cs="Times New Roman"/>
                <w:i/>
                <w:lang w:val="en-US"/>
              </w:rPr>
            </m:ctrlPr>
          </m:sSubSupPr>
          <m:e>
            <m:r>
              <m:rPr>
                <m:sty m:val="bi"/>
              </m:rPr>
              <w:rPr>
                <w:rFonts w:ascii="Cambria Math" w:hAnsi="Cambria Math" w:cs="Times New Roman"/>
                <w:lang w:val="en-US"/>
              </w:rPr>
              <m:t>F</m:t>
            </m:r>
          </m:e>
          <m:sub>
            <m:r>
              <w:rPr>
                <w:rFonts w:ascii="Cambria Math" w:hAnsi="Cambria Math" w:cs="Times New Roman"/>
                <w:lang w:val="en-US"/>
              </w:rPr>
              <m:t>ij</m:t>
            </m:r>
          </m:sub>
          <m:sup>
            <m:r>
              <w:rPr>
                <w:rFonts w:ascii="Cambria Math" w:hAnsi="Cambria Math" w:cs="Times New Roman"/>
                <w:lang w:val="en-US"/>
              </w:rPr>
              <m:t>total</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e>
          <m:sub>
            <m:r>
              <w:rPr>
                <w:rFonts w:ascii="Cambria Math" w:hAnsi="Cambria Math" w:cs="Times New Roman"/>
                <w:lang w:val="en-US"/>
              </w:rPr>
              <m:t>ij</m:t>
            </m:r>
          </m:sub>
          <m:sup>
            <m:r>
              <w:rPr>
                <w:rFonts w:ascii="Cambria Math" w:hAnsi="Cambria Math" w:cs="Times New Roman"/>
                <w:lang w:val="en-US"/>
              </w:rPr>
              <m:t>C</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e>
          <m:sub>
            <m:r>
              <w:rPr>
                <w:rFonts w:ascii="Cambria Math" w:hAnsi="Cambria Math" w:cs="Times New Roman"/>
                <w:lang w:val="en-US"/>
              </w:rPr>
              <m:t>ij</m:t>
            </m:r>
          </m:sub>
          <m:sup>
            <m:r>
              <w:rPr>
                <w:rFonts w:ascii="Cambria Math" w:hAnsi="Cambria Math" w:cs="Times New Roman"/>
                <w:lang w:val="en-US"/>
              </w:rPr>
              <m:t>D</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e>
          <m:sub>
            <m:r>
              <w:rPr>
                <w:rFonts w:ascii="Cambria Math" w:hAnsi="Cambria Math" w:cs="Times New Roman"/>
                <w:lang w:val="en-US"/>
              </w:rPr>
              <m:t>ij</m:t>
            </m:r>
          </m:sub>
          <m:sup>
            <m:r>
              <w:rPr>
                <w:rFonts w:ascii="Cambria Math" w:hAnsi="Cambria Math" w:cs="Times New Roman"/>
                <w:lang w:val="en-US"/>
              </w:rPr>
              <m:t>R</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e>
          <m:sub>
            <m:r>
              <w:rPr>
                <w:rFonts w:ascii="Cambria Math" w:hAnsi="Cambria Math" w:cs="Times New Roman"/>
                <w:lang w:val="en-US"/>
              </w:rPr>
              <m:t>ij</m:t>
            </m:r>
          </m:sub>
          <m:sup>
            <m:r>
              <w:rPr>
                <w:rFonts w:ascii="Cambria Math" w:hAnsi="Cambria Math" w:cs="Times New Roman"/>
                <w:lang w:val="en-US"/>
              </w:rPr>
              <m:t>bonded</m:t>
            </m:r>
          </m:sup>
        </m:sSubSup>
      </m:oMath>
      <w:r w:rsidR="004833BB" w:rsidRPr="004C1D1A">
        <w:rPr>
          <w:rFonts w:cs="Times New Roman"/>
          <w:lang w:val="en-US"/>
        </w:rPr>
        <w:tab/>
      </w:r>
      <w:r w:rsidR="004833BB" w:rsidRPr="004C1D1A">
        <w:rPr>
          <w:rFonts w:cs="Times New Roman"/>
          <w:lang w:val="en-US"/>
        </w:rPr>
        <w:tab/>
      </w:r>
      <w:r w:rsidR="004833BB" w:rsidRPr="004C1D1A">
        <w:rPr>
          <w:rFonts w:cs="Times New Roman"/>
          <w:lang w:val="en-US"/>
        </w:rPr>
        <w:tab/>
        <w:t xml:space="preserve">   </w:t>
      </w:r>
      <w:r w:rsidR="004833BB" w:rsidRPr="004C1D1A">
        <w:rPr>
          <w:rFonts w:cs="Times New Roman"/>
          <w:lang w:val="en-US"/>
        </w:rPr>
        <w:tab/>
        <w:t xml:space="preserve"> </w:t>
      </w:r>
      <w:r w:rsidR="004833BB" w:rsidRPr="004C1D1A">
        <w:rPr>
          <w:rFonts w:cs="Times New Roman"/>
          <w:i/>
          <w:lang w:val="en-US"/>
        </w:rPr>
        <w:t>(2.1)</w:t>
      </w:r>
    </w:p>
    <w:p w:rsidR="004833BB" w:rsidRPr="004C1D1A" w:rsidRDefault="004833BB" w:rsidP="004833BB">
      <w:pPr>
        <w:ind w:firstLine="720"/>
        <w:jc w:val="right"/>
        <w:rPr>
          <w:rFonts w:cs="Times New Roman"/>
          <w:lang w:val="en-US"/>
        </w:rPr>
      </w:pPr>
    </w:p>
    <w:p w:rsidR="004833BB" w:rsidRPr="004833BB" w:rsidRDefault="004833BB" w:rsidP="004833BB">
      <w:pPr>
        <w:jc w:val="both"/>
        <w:rPr>
          <w:rFonts w:eastAsiaTheme="minorEastAsia" w:cs="Times New Roman"/>
          <w:lang w:val="en-GB"/>
        </w:rPr>
      </w:pPr>
      <w:r w:rsidRPr="004C1D1A">
        <w:rPr>
          <w:rFonts w:cs="Times New Roman"/>
          <w:lang w:val="en-US"/>
        </w:rPr>
        <w:t>where (</w:t>
      </w:r>
      <m:oMath>
        <m:sSubSup>
          <m:sSubSupPr>
            <m:ctrlPr>
              <w:rPr>
                <w:rFonts w:ascii="Cambria Math" w:hAnsi="Cambria Math" w:cs="Times New Roman"/>
                <w:i/>
                <w:lang w:val="en-US"/>
              </w:rPr>
            </m:ctrlPr>
          </m:sSubSupPr>
          <m:e>
            <m:r>
              <m:rPr>
                <m:sty m:val="bi"/>
              </m:rPr>
              <w:rPr>
                <w:rFonts w:ascii="Cambria Math" w:hAnsi="Cambria Math" w:cs="Times New Roman"/>
                <w:lang w:val="en-US"/>
              </w:rPr>
              <m:t>F</m:t>
            </m:r>
            <m:ctrlPr>
              <w:rPr>
                <w:rFonts w:ascii="Cambria Math" w:hAnsi="Cambria Math" w:cs="Times New Roman"/>
                <w:b/>
                <w:bCs/>
                <w:i/>
                <w:lang w:val="en-US"/>
              </w:rPr>
            </m:ctrlPr>
          </m:e>
          <m:sub>
            <m:r>
              <w:rPr>
                <w:rFonts w:ascii="Cambria Math" w:hAnsi="Cambria Math" w:cs="Times New Roman"/>
                <w:lang w:val="en-US"/>
              </w:rPr>
              <m:t>ij</m:t>
            </m:r>
          </m:sub>
          <m:sup>
            <m:r>
              <w:rPr>
                <w:rFonts w:ascii="Cambria Math" w:hAnsi="Cambria Math" w:cs="Times New Roman"/>
                <w:lang w:val="en-US"/>
              </w:rPr>
              <m:t>C</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ctrlPr>
              <w:rPr>
                <w:rFonts w:ascii="Cambria Math" w:hAnsi="Cambria Math" w:cs="Times New Roman"/>
                <w:b/>
                <w:bCs/>
                <w:i/>
                <w:lang w:val="en-US"/>
              </w:rPr>
            </m:ctrlPr>
          </m:e>
          <m:sub>
            <m:r>
              <w:rPr>
                <w:rFonts w:ascii="Cambria Math" w:hAnsi="Cambria Math" w:cs="Times New Roman"/>
                <w:lang w:val="en-US"/>
              </w:rPr>
              <m:t>ij</m:t>
            </m:r>
          </m:sub>
          <m:sup>
            <m:r>
              <w:rPr>
                <w:rFonts w:ascii="Cambria Math" w:hAnsi="Cambria Math" w:cs="Times New Roman"/>
                <w:lang w:val="en-US"/>
              </w:rPr>
              <m:t>D</m:t>
            </m:r>
          </m:sup>
        </m:sSubSup>
        <m:r>
          <w:rPr>
            <w:rFonts w:ascii="Cambria Math" w:hAnsi="Cambria Math" w:cs="Times New Roman"/>
            <w:lang w:val="en-US"/>
          </w:rPr>
          <m:t>,</m:t>
        </m:r>
        <m:sSubSup>
          <m:sSubSupPr>
            <m:ctrlPr>
              <w:rPr>
                <w:rFonts w:ascii="Cambria Math" w:hAnsi="Cambria Math" w:cs="Times New Roman"/>
                <w:i/>
                <w:lang w:val="en-US"/>
              </w:rPr>
            </m:ctrlPr>
          </m:sSubSupPr>
          <m:e>
            <m:r>
              <m:rPr>
                <m:sty m:val="bi"/>
              </m:rPr>
              <w:rPr>
                <w:rFonts w:ascii="Cambria Math" w:hAnsi="Cambria Math" w:cs="Times New Roman"/>
                <w:lang w:val="en-US"/>
              </w:rPr>
              <m:t>F</m:t>
            </m:r>
            <m:ctrlPr>
              <w:rPr>
                <w:rFonts w:ascii="Cambria Math" w:hAnsi="Cambria Math" w:cs="Times New Roman"/>
                <w:b/>
                <w:bCs/>
                <w:i/>
                <w:lang w:val="en-US"/>
              </w:rPr>
            </m:ctrlPr>
          </m:e>
          <m:sub>
            <m:r>
              <w:rPr>
                <w:rFonts w:ascii="Cambria Math" w:hAnsi="Cambria Math" w:cs="Times New Roman"/>
                <w:lang w:val="en-US"/>
              </w:rPr>
              <m:t>ij</m:t>
            </m:r>
          </m:sub>
          <m:sup>
            <m:r>
              <w:rPr>
                <w:rFonts w:ascii="Cambria Math" w:hAnsi="Cambria Math" w:cs="Times New Roman"/>
                <w:lang w:val="en-US"/>
              </w:rPr>
              <m:t>R</m:t>
            </m:r>
          </m:sup>
        </m:sSubSup>
        <m:r>
          <w:rPr>
            <w:rFonts w:ascii="Cambria Math" w:hAnsi="Cambria Math" w:cs="Times New Roman"/>
            <w:lang w:val="en-US"/>
          </w:rPr>
          <m:t xml:space="preserve"> </m:t>
        </m:r>
      </m:oMath>
      <w:r w:rsidRPr="004C1D1A">
        <w:rPr>
          <w:rFonts w:cs="Times New Roman"/>
          <w:lang w:val="en-US"/>
        </w:rPr>
        <w:t xml:space="preserve">) are the conservative, dissipative and random interaction forces between the beads. There are three coefficients in the interaction forces taking care of the lost degrees of freedom. The parameter </w:t>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ij</m:t>
            </m:r>
          </m:sub>
        </m:sSub>
      </m:oMath>
      <w:r w:rsidRPr="004C1D1A">
        <w:rPr>
          <w:rFonts w:eastAsiaTheme="minorEastAsia" w:cs="Times New Roman"/>
          <w:lang w:val="en-US"/>
        </w:rPr>
        <w:t xml:space="preserve"> is the conservative coefficient for beads i and j in </w:t>
      </w:r>
      <m:oMath>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F</m:t>
            </m:r>
          </m:e>
          <m:sup>
            <m:r>
              <w:rPr>
                <w:rFonts w:ascii="Cambria Math" w:eastAsiaTheme="minorEastAsia" w:hAnsi="Cambria Math" w:cs="Times New Roman"/>
                <w:lang w:val="en-US"/>
              </w:rPr>
              <m:t>C</m:t>
            </m:r>
          </m:sup>
        </m:sSup>
      </m:oMath>
      <w:r w:rsidRPr="004C1D1A">
        <w:rPr>
          <w:rFonts w:eastAsiaTheme="minorEastAsia" w:cs="Times New Roman"/>
          <w:lang w:val="en-US"/>
        </w:rPr>
        <w:t xml:space="preserve">, the dissipation coefficient </w:t>
      </w:r>
      <w:r w:rsidRPr="004C1D1A">
        <w:rPr>
          <w:rFonts w:eastAsiaTheme="minorEastAsia" w:cs="Times New Roman"/>
        </w:rPr>
        <w:t>γ</w:t>
      </w:r>
      <w:r w:rsidRPr="004C1D1A">
        <w:rPr>
          <w:rFonts w:eastAsiaTheme="minorEastAsia" w:cs="Times New Roman"/>
          <w:lang w:val="en-GB"/>
        </w:rPr>
        <w:t xml:space="preserve"> in </w:t>
      </w:r>
      <m:oMath>
        <m:sSup>
          <m:sSupPr>
            <m:ctrlPr>
              <w:rPr>
                <w:rFonts w:ascii="Cambria Math" w:eastAsiaTheme="minorEastAsia" w:hAnsi="Cambria Math" w:cs="Times New Roman"/>
                <w:i/>
                <w:lang w:val="en-GB"/>
              </w:rPr>
            </m:ctrlPr>
          </m:sSupPr>
          <m:e>
            <m:r>
              <w:rPr>
                <w:rFonts w:ascii="Cambria Math" w:eastAsiaTheme="minorEastAsia" w:hAnsi="Cambria Math" w:cs="Times New Roman"/>
                <w:lang w:val="en-GB"/>
              </w:rPr>
              <m:t>F</m:t>
            </m:r>
          </m:e>
          <m:sup>
            <m:r>
              <w:rPr>
                <w:rFonts w:ascii="Cambria Math" w:eastAsiaTheme="minorEastAsia" w:hAnsi="Cambria Math" w:cs="Times New Roman"/>
                <w:lang w:val="en-GB"/>
              </w:rPr>
              <m:t>D</m:t>
            </m:r>
          </m:sup>
        </m:sSup>
      </m:oMath>
      <w:r w:rsidRPr="004C1D1A">
        <w:rPr>
          <w:rFonts w:eastAsiaTheme="minorEastAsia" w:cs="Times New Roman"/>
          <w:lang w:val="en-GB"/>
        </w:rPr>
        <w:t xml:space="preserve"> and</w:t>
      </w:r>
      <w:r w:rsidRPr="004C1D1A">
        <w:rPr>
          <w:rFonts w:eastAsiaTheme="minorEastAsia"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c</m:t>
            </m:r>
          </m:sub>
        </m:sSub>
      </m:oMath>
      <w:r w:rsidRPr="004C1D1A">
        <w:rPr>
          <w:rFonts w:eastAsiaTheme="minorEastAsia" w:cs="Times New Roman"/>
          <w:lang w:val="en-US"/>
        </w:rPr>
        <w:t xml:space="preserve"> is the cut-off radius beyond which no interaction between the beads is taking place. </w:t>
      </w:r>
      <w:r w:rsidRPr="004833BB">
        <w:rPr>
          <w:rFonts w:eastAsiaTheme="minorEastAsia" w:cs="Times New Roman"/>
          <w:lang w:val="en-US"/>
        </w:rPr>
        <w:t xml:space="preserve">The random coefficient </w:t>
      </w:r>
      <w:r w:rsidRPr="004833BB">
        <w:rPr>
          <w:rFonts w:eastAsiaTheme="minorEastAsia" w:cs="Times New Roman"/>
        </w:rPr>
        <w:t>σ</w:t>
      </w:r>
      <w:r w:rsidRPr="004833BB">
        <w:rPr>
          <w:rFonts w:eastAsiaTheme="minorEastAsia" w:cs="Times New Roman"/>
          <w:lang w:val="en-GB"/>
        </w:rPr>
        <w:t xml:space="preserve"> in the random force </w:t>
      </w:r>
      <m:oMath>
        <m:sSup>
          <m:sSupPr>
            <m:ctrlPr>
              <w:rPr>
                <w:rFonts w:ascii="Cambria Math" w:eastAsiaTheme="minorEastAsia" w:hAnsi="Cambria Math" w:cs="Times New Roman"/>
                <w:i/>
                <w:lang w:val="en-GB"/>
              </w:rPr>
            </m:ctrlPr>
          </m:sSupPr>
          <m:e>
            <m:r>
              <w:rPr>
                <w:rFonts w:ascii="Cambria Math" w:eastAsiaTheme="minorEastAsia" w:hAnsi="Cambria Math" w:cs="Times New Roman"/>
                <w:lang w:val="en-GB"/>
              </w:rPr>
              <m:t>F</m:t>
            </m:r>
          </m:e>
          <m:sup>
            <m:r>
              <w:rPr>
                <w:rFonts w:ascii="Cambria Math" w:eastAsiaTheme="minorEastAsia" w:hAnsi="Cambria Math" w:cs="Times New Roman"/>
                <w:lang w:val="en-GB"/>
              </w:rPr>
              <m:t>R</m:t>
            </m:r>
          </m:sup>
        </m:sSup>
      </m:oMath>
      <w:r w:rsidRPr="004833BB">
        <w:rPr>
          <w:rFonts w:eastAsiaTheme="minorEastAsia" w:cs="Times New Roman"/>
          <w:lang w:val="en-GB"/>
        </w:rPr>
        <w:t xml:space="preserve"> is related to </w:t>
      </w:r>
      <w:r w:rsidRPr="004833BB">
        <w:rPr>
          <w:rFonts w:eastAsiaTheme="minorEastAsia" w:cs="Times New Roman"/>
        </w:rPr>
        <w:t>γ</w:t>
      </w:r>
      <w:r w:rsidRPr="004833BB">
        <w:rPr>
          <w:rFonts w:eastAsiaTheme="minorEastAsia" w:cs="Times New Roman"/>
          <w:lang w:val="en-GB"/>
        </w:rPr>
        <w:t xml:space="preserve"> through the following equation (2.2) while the random and dissipative weight functions are related to each other by equation (2.3).</w:t>
      </w:r>
    </w:p>
    <w:p w:rsidR="004833BB" w:rsidRPr="004833BB" w:rsidRDefault="004833BB" w:rsidP="004833BB">
      <w:pPr>
        <w:jc w:val="both"/>
        <w:rPr>
          <w:rFonts w:cs="Times New Roman"/>
          <w:i/>
          <w:lang w:val="en-GB"/>
        </w:rPr>
      </w:pPr>
    </w:p>
    <w:p w:rsidR="004833BB" w:rsidRPr="004833BB" w:rsidRDefault="00A70B57" w:rsidP="004833BB">
      <w:pPr>
        <w:jc w:val="right"/>
        <w:rPr>
          <w:rFonts w:cs="Times New Roman"/>
          <w:i/>
          <w:lang w:val="en-US"/>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lang w:val="en-GB"/>
              </w:rPr>
              <m:t>ij</m:t>
            </m:r>
          </m:sub>
          <m:sup>
            <m:r>
              <w:rPr>
                <w:rFonts w:ascii="Cambria Math" w:hAnsi="Cambria Math" w:cs="Times New Roman"/>
                <w:lang w:val="en-GB"/>
              </w:rPr>
              <m:t>2</m:t>
            </m:r>
          </m:sup>
        </m:sSubSup>
        <m:r>
          <w:rPr>
            <w:rFonts w:ascii="Cambria Math" w:hAnsi="Cambria Math" w:cs="Times New Roman"/>
            <w:lang w:val="en-GB"/>
          </w:rPr>
          <m:t>=2</m:t>
        </m:r>
        <m:sSub>
          <m:sSubPr>
            <m:ctrlPr>
              <w:rPr>
                <w:rFonts w:ascii="Cambria Math" w:hAnsi="Cambria Math" w:cs="Times New Roman"/>
                <w:i/>
                <w:lang w:val="en-GB"/>
              </w:rPr>
            </m:ctrlPr>
          </m:sSubPr>
          <m:e>
            <m:r>
              <w:rPr>
                <w:rFonts w:ascii="Cambria Math" w:hAnsi="Cambria Math" w:cs="Times New Roman"/>
              </w:rPr>
              <m:t>γ</m:t>
            </m:r>
            <m:ctrlPr>
              <w:rPr>
                <w:rFonts w:ascii="Cambria Math" w:hAnsi="Cambria Math" w:cs="Times New Roman"/>
                <w:i/>
              </w:rPr>
            </m:ctrlPr>
          </m:e>
          <m:sub>
            <m:r>
              <w:rPr>
                <w:rFonts w:ascii="Cambria Math" w:hAnsi="Cambria Math" w:cs="Times New Roman"/>
                <w:lang w:val="en-GB"/>
              </w:rPr>
              <m:t>ij</m:t>
            </m:r>
          </m:sub>
        </m:sSub>
        <m:sSub>
          <m:sSubPr>
            <m:ctrlPr>
              <w:rPr>
                <w:rFonts w:ascii="Cambria Math" w:hAnsi="Cambria Math" w:cs="Times New Roman"/>
                <w:i/>
                <w:lang w:val="en-GB"/>
              </w:rPr>
            </m:ctrlPr>
          </m:sSubPr>
          <m:e>
            <m:r>
              <w:rPr>
                <w:rFonts w:ascii="Cambria Math" w:hAnsi="Cambria Math" w:cs="Times New Roman"/>
                <w:lang w:val="en-GB"/>
              </w:rPr>
              <m:t>k</m:t>
            </m:r>
          </m:e>
          <m:sub>
            <m:r>
              <w:rPr>
                <w:rFonts w:ascii="Cambria Math" w:hAnsi="Cambria Math" w:cs="Times New Roman"/>
                <w:lang w:val="en-GB"/>
              </w:rPr>
              <m:t>B</m:t>
            </m:r>
          </m:sub>
        </m:sSub>
        <m:r>
          <w:rPr>
            <w:rFonts w:ascii="Cambria Math" w:hAnsi="Cambria Math" w:cs="Times New Roman"/>
            <w:lang w:val="en-GB"/>
          </w:rPr>
          <m:t>T</m:t>
        </m:r>
      </m:oMath>
      <w:r w:rsidR="004833BB" w:rsidRPr="004833BB">
        <w:rPr>
          <w:rFonts w:cs="Times New Roman"/>
          <w:lang w:val="en-US"/>
        </w:rPr>
        <w:tab/>
      </w:r>
      <w:r w:rsidR="004833BB" w:rsidRPr="004833BB">
        <w:rPr>
          <w:rFonts w:cs="Times New Roman"/>
          <w:lang w:val="en-US"/>
        </w:rPr>
        <w:tab/>
      </w:r>
      <w:r w:rsidR="004833BB" w:rsidRPr="004833BB">
        <w:rPr>
          <w:rFonts w:cs="Times New Roman"/>
          <w:lang w:val="en-US"/>
        </w:rPr>
        <w:tab/>
      </w:r>
      <w:r w:rsidR="004833BB" w:rsidRPr="004833BB">
        <w:rPr>
          <w:rFonts w:cs="Times New Roman"/>
          <w:lang w:val="en-US"/>
        </w:rPr>
        <w:tab/>
        <w:t xml:space="preserve">    </w:t>
      </w:r>
      <w:r w:rsidR="004833BB" w:rsidRPr="004833BB">
        <w:rPr>
          <w:rFonts w:cs="Times New Roman"/>
          <w:lang w:val="en-US"/>
        </w:rPr>
        <w:tab/>
        <w:t xml:space="preserve">  </w:t>
      </w:r>
      <w:r w:rsidR="004833BB" w:rsidRPr="004833BB">
        <w:rPr>
          <w:rFonts w:cs="Times New Roman"/>
          <w:i/>
          <w:lang w:val="en-US"/>
        </w:rPr>
        <w:t>(2.2)</w:t>
      </w:r>
    </w:p>
    <w:p w:rsidR="004833BB" w:rsidRPr="004833BB" w:rsidRDefault="00A70B57" w:rsidP="004833BB">
      <w:pPr>
        <w:jc w:val="right"/>
        <w:rPr>
          <w:rFonts w:cs="Times New Roman"/>
          <w:i/>
          <w:lang w:val="en-US"/>
        </w:rPr>
      </w:pPr>
      <m:oMath>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R</m:t>
            </m:r>
          </m:sup>
        </m:sSup>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m:t>
            </m:r>
          </m:sub>
        </m:sSub>
        <m:r>
          <w:rPr>
            <w:rFonts w:ascii="Cambria Math" w:hAnsi="Cambria Math" w:cs="Times New Roman"/>
            <w:lang w:val="en-US"/>
          </w:rPr>
          <m:t>)=</m:t>
        </m:r>
        <m:sSup>
          <m:sSupPr>
            <m:ctrlPr>
              <w:rPr>
                <w:rFonts w:ascii="Cambria Math" w:hAnsi="Cambria Math" w:cs="Times New Roman"/>
                <w:i/>
                <w:lang w:val="en-US"/>
              </w:rPr>
            </m:ctrlPr>
          </m:sSupPr>
          <m:e>
            <m:d>
              <m:dPr>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D</m:t>
                    </m:r>
                  </m:sup>
                </m:sSup>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ij</m:t>
                        </m:r>
                      </m:sub>
                    </m:sSub>
                  </m:e>
                </m:d>
              </m:e>
            </m:d>
          </m:e>
          <m:sup>
            <m:r>
              <w:rPr>
                <w:rFonts w:ascii="Cambria Math" w:hAnsi="Cambria Math" w:cs="Times New Roman"/>
                <w:lang w:val="en-US"/>
              </w:rPr>
              <m:t>1/2</m:t>
            </m:r>
          </m:sup>
        </m:sSup>
      </m:oMath>
      <w:r w:rsidR="004833BB" w:rsidRPr="004833BB">
        <w:rPr>
          <w:rFonts w:cs="Times New Roman"/>
          <w:i/>
          <w:lang w:val="en-US"/>
        </w:rPr>
        <w:t xml:space="preserve"> </w:t>
      </w:r>
      <w:r w:rsidR="004833BB" w:rsidRPr="004833BB">
        <w:rPr>
          <w:rFonts w:cs="Times New Roman"/>
          <w:i/>
          <w:lang w:val="en-US"/>
        </w:rPr>
        <w:tab/>
      </w:r>
      <w:r w:rsidR="004833BB" w:rsidRPr="004833BB">
        <w:rPr>
          <w:rFonts w:cs="Times New Roman"/>
          <w:i/>
          <w:lang w:val="en-US"/>
        </w:rPr>
        <w:tab/>
        <w:t xml:space="preserve">    </w:t>
      </w:r>
      <w:r w:rsidR="004833BB" w:rsidRPr="004833BB">
        <w:rPr>
          <w:rFonts w:cs="Times New Roman"/>
          <w:i/>
          <w:lang w:val="en-US"/>
        </w:rPr>
        <w:tab/>
        <w:t xml:space="preserve">          (2.3)</w:t>
      </w:r>
    </w:p>
    <w:p w:rsidR="004833BB" w:rsidRPr="004833BB" w:rsidRDefault="004833BB" w:rsidP="004833BB">
      <w:pPr>
        <w:jc w:val="right"/>
        <w:rPr>
          <w:rFonts w:cs="Times New Roman"/>
          <w:lang w:val="en-US"/>
        </w:rPr>
      </w:pPr>
    </w:p>
    <w:p w:rsidR="004833BB" w:rsidRPr="004C1D1A" w:rsidRDefault="004833BB" w:rsidP="004833BB">
      <w:pPr>
        <w:jc w:val="both"/>
        <w:rPr>
          <w:rFonts w:cs="Times New Roman"/>
          <w:lang w:val="en-US"/>
        </w:rPr>
      </w:pPr>
      <w:r w:rsidRPr="004833BB">
        <w:rPr>
          <w:rFonts w:cs="Times New Roman"/>
          <w:lang w:val="en-US"/>
        </w:rPr>
        <w:t xml:space="preserve">Relations (2.2)-(2.3) form the fluctuation dissipation theorem that enables DPD equations to establish an isotropic Galilean invariant thermostat which preserves hydrodynamics </w:t>
      </w:r>
      <w:r w:rsidRPr="004833BB">
        <w:rPr>
          <w:rFonts w:cs="Times New Roman"/>
          <w:lang w:val="en-US"/>
        </w:rPr>
        <w:fldChar w:fldCharType="begin" w:fldLock="1"/>
      </w:r>
      <w:r w:rsidRPr="004833BB">
        <w:rPr>
          <w:rFonts w:cs="Times New Roman"/>
          <w:lang w:val="en-US"/>
        </w:rPr>
        <w:instrText>ADDIN CSL_CITATION {"citationItems":[{"id":"ITEM-1","itemData":{"author":[{"dropping-particle":"","family":"Espanol","given":"P.","non-dropping-particle":"","parse-names":false,"suffix":""},{"dropping-particle":"","family":"Warren","given":"P. B.","non-dropping-particle":"","parse-names":false,"suffix":""}],"container-title":"Epl","id":"ITEM-1","issue":"May","issued":{"date-parts":[["1995"]]},"page":"191-196","title":"Statistical mechanics of dissipative particle dynamics","type":"article-journal","volume":"30"},"uris":["http://www.mendeley.com/documents/?uuid=dd0dc596-4788-4ab2-936f-5d097e402a5e"]},{"id":"ITEM-2","itemData":{"DOI":"10.1063/1.474784","ISBN":"0021-9606","ISSN":"00219606","abstract":"We critically review dissipative particle dynamics (DPD) as a mesoscopic simulation method. We have established useful parameter ranges for simulations, and have made a link between these parameters and χ -parameters in Flory-Huggins-type models. This is possible because the equation of state of the DPD fluid is essentially quadratic in density. This link opens the way to do large scale simulations, effectively describing millions of atoms, by firstly performing simulations of molecular fragments retaining all atomistic details to derive χ -parameters, then secondly using these results as input to a DPD simulation to study the formation of micelles, networks, mesophases and so forth. As an example application, we have calculated the interfacial tension σ between homopolymer melts as a function of χ and N and have found a universal scaling collapse when σ/ρk B Tχ 0.4 is plotted against χN for N&amp;gt;1 . We also discuss the use of DPD to simulate the dynamics of mesoscopic systems, and indicate a possible problem with the timescale separation between particle diffusion and momentum diffusion(viscosity).","author":[{"dropping-particle":"","family":"Groot","given":"Robert D.","non-dropping-particle":"","parse-names":false,"suffix":""},{"dropping-particle":"","family":"Warren","given":"Patrick B.","non-dropping-particle":"","parse-names":false,"suffix":""}],"container-title":"The Journal of Chemical Physics","id":"ITEM-2","issue":"11","issued":{"date-parts":[["1997"]]},"page":"4423","title":"Dissipative Particle Dynamics: Bridging the Gap between Atomistic and Mesoscopic Simulation","type":"article-journal","volume":"107"},"uris":["http://www.mendeley.com/documents/?uuid=fa154747-7cb2-4f5e-acc5-50470dcdfafe"]}],"mendeley":{"formattedCitation":"[34,37]","plainTextFormattedCitation":"[34,37]","previouslyFormattedCitation":"[34,37]"},"properties":{"noteIndex":0},"schema":"https://github.com/citation-style-language/schema/raw/master/csl-citation.json"}</w:instrText>
      </w:r>
      <w:r w:rsidRPr="004833BB">
        <w:rPr>
          <w:rFonts w:cs="Times New Roman"/>
          <w:lang w:val="en-US"/>
        </w:rPr>
        <w:fldChar w:fldCharType="separate"/>
      </w:r>
      <w:r w:rsidRPr="004833BB">
        <w:rPr>
          <w:rFonts w:cs="Times New Roman"/>
          <w:noProof/>
          <w:lang w:val="en-US"/>
        </w:rPr>
        <w:t>[34,37]</w:t>
      </w:r>
      <w:r w:rsidRPr="004833BB">
        <w:rPr>
          <w:rFonts w:cs="Times New Roman"/>
          <w:lang w:val="en-US"/>
        </w:rPr>
        <w:fldChar w:fldCharType="end"/>
      </w:r>
      <w:r w:rsidRPr="004833BB">
        <w:rPr>
          <w:rFonts w:cs="Times New Roman"/>
          <w:lang w:val="en-US"/>
        </w:rPr>
        <w:t>.</w:t>
      </w:r>
      <w:r w:rsidRPr="004C1D1A">
        <w:rPr>
          <w:rFonts w:cs="Times New Roman"/>
          <w:lang w:val="en-US"/>
        </w:rPr>
        <w:t xml:space="preserve"> </w:t>
      </w:r>
    </w:p>
    <w:p w:rsidR="004833BB" w:rsidRPr="004C1D1A" w:rsidRDefault="004833BB" w:rsidP="004833BB">
      <w:pPr>
        <w:jc w:val="both"/>
        <w:rPr>
          <w:rFonts w:cs="Times New Roman"/>
          <w:lang w:val="en-GB"/>
        </w:rPr>
      </w:pPr>
      <w:r w:rsidRPr="004C1D1A">
        <w:rPr>
          <w:rFonts w:cs="Times New Roman"/>
          <w:lang w:val="en-US"/>
        </w:rPr>
        <w:tab/>
        <w:t xml:space="preserve">For the current work the dissipation parameter </w:t>
      </w:r>
      <w:r w:rsidRPr="004C1D1A">
        <w:rPr>
          <w:rFonts w:cs="Times New Roman"/>
          <w:i/>
        </w:rPr>
        <w:t>γ</w:t>
      </w:r>
      <w:r w:rsidRPr="004C1D1A">
        <w:rPr>
          <w:rFonts w:cs="Times New Roman"/>
          <w:lang w:val="en-GB"/>
        </w:rPr>
        <w:t xml:space="preserve"> was taken equal to 4.5 for all the </w:t>
      </w:r>
      <w:r w:rsidRPr="004C1D1A">
        <w:rPr>
          <w:rFonts w:cs="Times New Roman"/>
          <w:i/>
          <w:lang w:val="en-GB"/>
        </w:rPr>
        <w:t>ij</w:t>
      </w:r>
      <w:r w:rsidRPr="004C1D1A">
        <w:rPr>
          <w:rFonts w:cs="Times New Roman"/>
          <w:lang w:val="en-GB"/>
        </w:rPr>
        <w:t xml:space="preserve"> pairs of interactions and </w:t>
      </w:r>
      <m:oMath>
        <m:r>
          <w:rPr>
            <w:rFonts w:ascii="Cambria Math" w:hAnsi="Cambria Math" w:cs="Times New Roman"/>
            <w:lang w:val="en-GB"/>
          </w:rPr>
          <m:t>σ=3</m:t>
        </m:r>
      </m:oMath>
      <w:r w:rsidRPr="004C1D1A">
        <w:rPr>
          <w:rFonts w:cs="Times New Roman"/>
          <w:lang w:val="en-GB"/>
        </w:rPr>
        <w:t xml:space="preserve"> whilst all the bonded interactions are described by a harmonic potential. </w:t>
      </w:r>
    </w:p>
    <w:p w:rsidR="004833BB" w:rsidRPr="004C1D1A" w:rsidRDefault="004833BB" w:rsidP="004833BB">
      <w:pPr>
        <w:jc w:val="both"/>
        <w:rPr>
          <w:rFonts w:cs="Times New Roman"/>
          <w:lang w:val="en-US"/>
        </w:rPr>
      </w:pPr>
    </w:p>
    <w:p w:rsidR="004833BB" w:rsidRPr="004C1D1A" w:rsidRDefault="004833BB" w:rsidP="004833BB">
      <w:pPr>
        <w:jc w:val="center"/>
        <w:rPr>
          <w:rFonts w:cs="Times New Roman"/>
          <w:b/>
          <w:lang w:val="en-GB"/>
        </w:rPr>
      </w:pPr>
      <w:r w:rsidRPr="004C1D1A">
        <w:rPr>
          <w:rFonts w:cs="Times New Roman"/>
          <w:b/>
          <w:lang w:val="en-GB"/>
        </w:rPr>
        <w:t>2.2 Simulation details</w:t>
      </w:r>
    </w:p>
    <w:p w:rsidR="004833BB" w:rsidRPr="004C1D1A" w:rsidRDefault="004833BB" w:rsidP="004833BB">
      <w:pPr>
        <w:jc w:val="both"/>
        <w:rPr>
          <w:rFonts w:cs="Times New Roman"/>
          <w:b/>
          <w:lang w:val="en-GB"/>
        </w:rPr>
      </w:pPr>
    </w:p>
    <w:p w:rsidR="004833BB" w:rsidRDefault="004833BB" w:rsidP="004833BB">
      <w:pPr>
        <w:ind w:firstLine="576"/>
        <w:jc w:val="both"/>
        <w:rPr>
          <w:rFonts w:cs="Times New Roman"/>
          <w:lang w:val="en-GB"/>
        </w:rPr>
      </w:pPr>
      <w:r>
        <w:rPr>
          <w:rFonts w:cs="Times New Roman"/>
          <w:lang w:val="en-GB"/>
        </w:rPr>
        <w:t xml:space="preserve">We adopt a model for the </w:t>
      </w:r>
      <w:r w:rsidRPr="004C1D1A">
        <w:rPr>
          <w:rFonts w:cs="Times New Roman"/>
          <w:lang w:val="en-GB"/>
        </w:rPr>
        <w:t>SLES</w:t>
      </w:r>
      <w:r w:rsidRPr="004C1D1A">
        <w:rPr>
          <w:rFonts w:cs="Times New Roman"/>
          <w:vertAlign w:val="subscript"/>
          <w:lang w:val="en-GB"/>
        </w:rPr>
        <w:t>1</w:t>
      </w:r>
      <w:r w:rsidRPr="004C1D1A">
        <w:rPr>
          <w:rFonts w:cs="Times New Roman"/>
          <w:lang w:val="en-GB"/>
        </w:rPr>
        <w:t xml:space="preserve">EO </w:t>
      </w:r>
      <w:r>
        <w:rPr>
          <w:rFonts w:cs="Times New Roman"/>
          <w:lang w:val="en-GB"/>
        </w:rPr>
        <w:t>(</w:t>
      </w:r>
      <m:oMath>
        <m:r>
          <w:rPr>
            <w:rFonts w:ascii="Cambria Math" w:hAnsi="Cambria Math" w:cs="Times New Roman"/>
            <w:lang w:val="en-GB"/>
          </w:rPr>
          <m:t>n=1</m:t>
        </m:r>
      </m:oMath>
      <w:r>
        <w:rPr>
          <w:rFonts w:cs="Times New Roman"/>
          <w:lang w:val="en-GB"/>
        </w:rPr>
        <w:t>)</w:t>
      </w:r>
      <w:r w:rsidRPr="004C1D1A">
        <w:rPr>
          <w:rFonts w:cs="Times New Roman"/>
          <w:lang w:val="en-GB"/>
        </w:rPr>
        <w:t xml:space="preserve"> </w:t>
      </w:r>
      <w:r>
        <w:rPr>
          <w:rFonts w:cs="Times New Roman"/>
          <w:lang w:val="en-GB"/>
        </w:rPr>
        <w:t xml:space="preserve">in which </w:t>
      </w:r>
      <w:r w:rsidRPr="004C1D1A">
        <w:rPr>
          <w:rFonts w:cs="Times New Roman"/>
          <w:lang w:val="en-GB"/>
        </w:rPr>
        <w:t xml:space="preserve">each surfactant </w:t>
      </w:r>
      <w:r>
        <w:rPr>
          <w:rFonts w:cs="Times New Roman"/>
          <w:lang w:val="en-GB"/>
        </w:rPr>
        <w:t xml:space="preserve">molecule </w:t>
      </w:r>
      <w:r w:rsidRPr="004C1D1A">
        <w:rPr>
          <w:rFonts w:cs="Times New Roman"/>
          <w:lang w:val="en-GB"/>
        </w:rPr>
        <w:t>consists of 9 beads</w:t>
      </w:r>
      <w:r>
        <w:rPr>
          <w:rFonts w:cs="Times New Roman"/>
          <w:lang w:val="en-GB"/>
        </w:rPr>
        <w:t xml:space="preserve"> in our DPD representation. In this representation</w:t>
      </w:r>
      <w:r w:rsidRPr="004C1D1A">
        <w:rPr>
          <w:rFonts w:cs="Times New Roman"/>
          <w:lang w:val="en-GB"/>
        </w:rPr>
        <w:t xml:space="preserve"> one </w:t>
      </w:r>
      <w:r>
        <w:rPr>
          <w:rFonts w:cs="Times New Roman"/>
          <w:lang w:val="en-GB"/>
        </w:rPr>
        <w:t xml:space="preserve">bead </w:t>
      </w:r>
      <w:r w:rsidRPr="004C1D1A">
        <w:rPr>
          <w:rFonts w:cs="Times New Roman"/>
          <w:lang w:val="en-GB"/>
        </w:rPr>
        <w:t>is a counter ion (Na</w:t>
      </w:r>
      <w:r w:rsidRPr="004C1D1A">
        <w:rPr>
          <w:rFonts w:cs="Times New Roman"/>
          <w:vertAlign w:val="superscript"/>
          <w:lang w:val="en-GB"/>
        </w:rPr>
        <w:t>+</w:t>
      </w:r>
      <w:r w:rsidRPr="004C1D1A">
        <w:rPr>
          <w:rFonts w:cs="Times New Roman"/>
          <w:lang w:val="en-GB"/>
        </w:rPr>
        <w:t xml:space="preserve">) that is not connected with bonded interactions to the rest of the surfactant. The model used for the coarse grained simulations is given in </w:t>
      </w:r>
      <w:r w:rsidRPr="004C1D1A">
        <w:rPr>
          <w:rFonts w:cs="Times New Roman"/>
          <w:lang w:val="en-GB"/>
        </w:rPr>
        <w:fldChar w:fldCharType="begin"/>
      </w:r>
      <w:r w:rsidRPr="004C1D1A">
        <w:rPr>
          <w:rFonts w:cs="Times New Roman"/>
          <w:lang w:val="en-GB"/>
        </w:rPr>
        <w:instrText xml:space="preserve"> REF _Ref511253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1</w:t>
      </w:r>
      <w:r w:rsidRPr="004C1D1A">
        <w:rPr>
          <w:rFonts w:cs="Times New Roman"/>
          <w:lang w:val="en-GB"/>
        </w:rPr>
        <w:fldChar w:fldCharType="end"/>
      </w:r>
      <w:r w:rsidRPr="004C1D1A">
        <w:rPr>
          <w:rFonts w:cs="Times New Roman"/>
          <w:lang w:val="en-GB"/>
        </w:rPr>
        <w:t xml:space="preserve"> and the parameters used in DPD simulations are taken from Anderson </w:t>
      </w:r>
      <w:r w:rsidRPr="004C1D1A">
        <w:rPr>
          <w:rFonts w:cs="Times New Roman"/>
          <w:i/>
          <w:lang w:val="en-GB"/>
        </w:rPr>
        <w:t>et al.</w:t>
      </w:r>
      <w:r w:rsidRPr="004C1D1A">
        <w:rPr>
          <w:rFonts w:cs="Times New Roman"/>
          <w:lang w:val="en-GB"/>
        </w:rPr>
        <w:t xml:space="preserve"> </w:t>
      </w:r>
      <w:r w:rsidRPr="004C1D1A">
        <w:rPr>
          <w:rFonts w:cs="Times New Roman"/>
          <w:lang w:val="en-GB"/>
        </w:rPr>
        <w:fldChar w:fldCharType="begin" w:fldLock="1"/>
      </w:r>
      <w:r>
        <w:rPr>
          <w:rFonts w:cs="Times New Roman"/>
          <w:lang w:val="en-GB"/>
        </w:rPr>
        <w:instrText>ADDIN CSL_CITATION {"citationItems":[{"id":"ITEM-1","itemData":{"DOI":"10.1063/1.4992111","ISSN":"00219606","abstract":"We present a systematic, top-down, thermodynamic parametrization scheme for dissipative particle dynamics (DPD) using water-octanol partition coefficients, supplemented by water-octanol phase equilibria and pure liquid phase density data. We demonstrate the feasibility of computing the required partition coefficients in DPD using brute-force simulation, within an adaptive semi-automatic staged optimization scheme. We test the methodology by fitting to experimental partition coefficient data for twenty one small molecules in five classes comprising alcohols and poly-alcohols, amines, ethers and simple aromatics, and alkanes (i.e. hexane). Finally, we illustrate the transferability of a subset of the determined parameters by calculating the critical micelle concentrations of selected alkyl ethoxylate surfactants, in good agreement with reported experimental values.","author":[{"dropping-particle":"","family":"Anderson","given":"Richard L.","non-dropping-particle":"","parse-names":false,"suffix":""},{"dropping-particle":"","family":"Bray","given":"David J.","non-dropping-particle":"","parse-names":false,"suffix":""},{"dropping-particle":"","family":"Ferrante","given":"Andrea S.","non-dropping-particle":"","parse-names":false,"suffix":""},{"dropping-particle":"","family":"Noro","given":"Massimo G.","non-dropping-particle":"","parse-names":false,"suffix":""},{"dropping-particle":"","family":"Stott","given":"Ian P.","non-dropping-particle":"","parse-names":false,"suffix":""},{"dropping-particle":"","family":"Warren","given":"Patrick B.","non-dropping-particle":"","parse-names":false,"suffix":""}],"container-title":"Journal of Chemical Physics","id":"ITEM-1","issue":"9","issued":{"date-parts":[["2017"]]},"page":"094503","title":"Dissipative particle dynamics: Systematic parametrization using water-octanol partition coefficients","type":"article-journal","volume":"147"},"uris":["http://www.mendeley.com/documents/?uuid=fd92283b-6bf5-4739-8f9b-8dfac820f4d1"]},{"id":"ITEM-2","itemData":{"DOI":"10.1021/acs.jctc.8b00075","ISBN":"0870949837","ISSN":"15499626","abstract":"We use dissipative particle dynamics (DPD) to study micelle formation in alkyl sulfate surfactants, with alkyl chain lengths ranging from 6 to 12 carbon atoms. We extend our recent DPD force field [ J. Chem. Phys. 2017, 147, 094503] to include a charged sulfate chemical group and aqueous sodium ions. With this model, we achieve good agreement with the experimentally reported critical micelle concentrations (CMCs) and can match the trend in mean aggregation numbers versus alkyl chain length. We determine the CMC by fitting a charged pseudophase model to the dependence of the free surfactant on the total surfactant concentration above the CMC and compare it with a direct operational definition of the CMC as the point at which half of the surfactant is classed as micellar and half as monomers and submicellar aggregates. We find that the latter provides the best agreement with experimental results. Finally, with the same model, we are able to observe the sphere-to-rod morphological transition for sodium dodec...","author":[{"dropping-particle":"","family":"Anderson","given":"Richard L.","non-dropping-particle":"","parse-names":false,"suffix":""},{"dropping-particle":"","family":"Bray","given":"David J.","non-dropping-particle":"","parse-names":false,"suffix":""},{"dropping-particle":"","family":"Regno","given":"Annalaura","non-dropping-particle":"Del","parse-names":false,"suffix":""},{"dropping-particle":"","family":"Seaton","given":"Michael A.","non-dropping-particle":"","parse-names":false,"suffix":""},{"dropping-particle":"","family":"Ferrante","given":"Andrea S.","non-dropping-particle":"","parse-names":false,"suffix":""},{"dropping-particle":"","family":"Warren","given":"Patrick B.","non-dropping-particle":"","parse-names":false,"suffix":""}],"container-title":"Journal of Chemical Theory and Computation","id":"ITEM-2","issue":"5","issued":{"date-parts":[["2018"]]},"page":"2633-2643","title":"Micelle Formation in Alkyl Sulfate Surfactants Using Dissipative Particle Dynamics","type":"article-journal","volume":"14"},"uris":["http://www.mendeley.com/documents/?uuid=555aa51f-d85b-4f3d-8fc2-c5ff98da7e60"]}],"mendeley":{"formattedCitation":"[38,39]","plainTextFormattedCitation":"[38,39]","previouslyFormattedCitation":"[38,39]"},"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[38,39]</w:t>
      </w:r>
      <w:r w:rsidRPr="004C1D1A">
        <w:rPr>
          <w:rFonts w:cs="Times New Roman"/>
          <w:lang w:val="en-GB"/>
        </w:rPr>
        <w:fldChar w:fldCharType="end"/>
      </w:r>
      <w:r w:rsidRPr="004C1D1A">
        <w:rPr>
          <w:rFonts w:cs="Times New Roman"/>
          <w:lang w:val="en-GB"/>
        </w:rPr>
        <w:t xml:space="preserve">. A table with all the interaction parameters can be found in the supporting </w:t>
      </w:r>
      <w:r w:rsidRPr="004C1D1A">
        <w:rPr>
          <w:rFonts w:cs="Times New Roman"/>
          <w:lang w:val="en-GB"/>
        </w:rPr>
        <w:lastRenderedPageBreak/>
        <w:t>document</w:t>
      </w:r>
      <w:r>
        <w:rPr>
          <w:rFonts w:cs="Times New Roman"/>
          <w:lang w:val="en-GB"/>
        </w:rPr>
        <w:t xml:space="preserve"> (Table S4)</w:t>
      </w:r>
      <w:r w:rsidRPr="004C1D1A">
        <w:rPr>
          <w:rFonts w:cs="Times New Roman"/>
          <w:lang w:val="en-GB"/>
        </w:rPr>
        <w:t>. In similar manner SLES</w:t>
      </w:r>
      <w:r w:rsidRPr="004C1D1A">
        <w:rPr>
          <w:rFonts w:cs="Times New Roman"/>
          <w:vertAlign w:val="subscript"/>
          <w:lang w:val="en-GB"/>
        </w:rPr>
        <w:t>2</w:t>
      </w:r>
      <w:r w:rsidRPr="004C1D1A">
        <w:rPr>
          <w:rFonts w:cs="Times New Roman"/>
          <w:lang w:val="en-GB"/>
        </w:rPr>
        <w:t>EO and SLES</w:t>
      </w:r>
      <w:r w:rsidRPr="004C1D1A">
        <w:rPr>
          <w:rFonts w:cs="Times New Roman"/>
          <w:vertAlign w:val="subscript"/>
          <w:lang w:val="en-GB"/>
        </w:rPr>
        <w:t>3</w:t>
      </w:r>
      <w:r w:rsidRPr="004C1D1A">
        <w:rPr>
          <w:rFonts w:cs="Times New Roman"/>
          <w:lang w:val="en-GB"/>
        </w:rPr>
        <w:t xml:space="preserve">EO </w:t>
      </w:r>
      <w:r>
        <w:rPr>
          <w:rFonts w:cs="Times New Roman"/>
          <w:lang w:val="en-GB"/>
        </w:rPr>
        <w:t xml:space="preserve">molecules </w:t>
      </w:r>
      <w:r w:rsidRPr="004C1D1A">
        <w:rPr>
          <w:rFonts w:cs="Times New Roman"/>
          <w:lang w:val="en-GB"/>
        </w:rPr>
        <w:t>consist of 10 beads and 11 beads respectively. The alkyl chain length in all the cases was 12 carbons which are translated into 6 hydrophobic tail beads (</w:t>
      </w:r>
      <w:r w:rsidRPr="004C1D1A">
        <w:rPr>
          <w:rFonts w:cs="Times New Roman"/>
          <w:lang w:val="en-GB"/>
        </w:rPr>
        <w:fldChar w:fldCharType="begin"/>
      </w:r>
      <w:r w:rsidRPr="004C1D1A">
        <w:rPr>
          <w:rFonts w:cs="Times New Roman"/>
          <w:lang w:val="en-GB"/>
        </w:rPr>
        <w:instrText xml:space="preserve"> REF _Ref511253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1</w:t>
      </w:r>
      <w:r w:rsidRPr="004C1D1A">
        <w:rPr>
          <w:rFonts w:cs="Times New Roman"/>
          <w:lang w:val="en-GB"/>
        </w:rPr>
        <w:fldChar w:fldCharType="end"/>
      </w:r>
      <w:r w:rsidRPr="004C1D1A">
        <w:rPr>
          <w:rFonts w:cs="Times New Roman"/>
          <w:lang w:val="en-GB"/>
        </w:rPr>
        <w:t>).</w:t>
      </w:r>
      <w:r>
        <w:rPr>
          <w:rFonts w:cs="Times New Roman"/>
          <w:lang w:val="en-GB"/>
        </w:rPr>
        <w:t xml:space="preserve"> </w:t>
      </w:r>
    </w:p>
    <w:p w:rsidR="004833BB" w:rsidRPr="00B03487" w:rsidRDefault="004833BB" w:rsidP="004833BB">
      <w:pPr>
        <w:pStyle w:val="PlainText"/>
        <w:jc w:val="both"/>
        <w:rPr>
          <w:rFonts w:ascii="Times New Roman" w:eastAsia="Droid Sans Fallback" w:hAnsi="Times New Roman" w:cs="Times New Roman"/>
          <w:kern w:val="1"/>
          <w:sz w:val="24"/>
          <w:szCs w:val="24"/>
          <w:lang w:eastAsia="zh-CN" w:bidi="hi-IN"/>
        </w:rPr>
      </w:pPr>
      <w:r w:rsidRPr="00B03487">
        <w:rPr>
          <w:rFonts w:ascii="Times New Roman" w:eastAsia="Droid Sans Fallback" w:hAnsi="Times New Roman" w:cs="Times New Roman"/>
          <w:kern w:val="1"/>
          <w:sz w:val="24"/>
          <w:szCs w:val="24"/>
          <w:lang w:eastAsia="zh-CN" w:bidi="hi-IN"/>
        </w:rPr>
        <w:t xml:space="preserve">Water is represented by beads consisting of two water molecules, </w:t>
      </w:r>
      <m:oMath>
        <m:sSub>
          <m:sSubPr>
            <m:ctrlPr>
              <w:rPr>
                <w:rFonts w:ascii="Cambria Math" w:eastAsia="Droid Sans Fallback" w:hAnsi="Cambria Math" w:cs="Times New Roman"/>
                <w:kern w:val="1"/>
                <w:sz w:val="24"/>
                <w:szCs w:val="24"/>
                <w:lang w:eastAsia="zh-CN" w:bidi="hi-IN"/>
              </w:rPr>
            </m:ctrlPr>
          </m:sSubPr>
          <m:e>
            <m:r>
              <w:rPr>
                <w:rFonts w:ascii="Cambria Math" w:eastAsia="Droid Sans Fallback" w:hAnsi="Cambria Math" w:cs="Times New Roman"/>
                <w:kern w:val="1"/>
                <w:sz w:val="24"/>
                <w:szCs w:val="24"/>
                <w:lang w:eastAsia="zh-CN" w:bidi="hi-IN"/>
              </w:rPr>
              <m:t>N</m:t>
            </m:r>
          </m:e>
          <m:sub>
            <m:r>
              <w:rPr>
                <w:rFonts w:ascii="Cambria Math" w:eastAsia="Droid Sans Fallback" w:hAnsi="Cambria Math" w:cs="Times New Roman"/>
                <w:kern w:val="1"/>
                <w:sz w:val="24"/>
                <w:szCs w:val="24"/>
                <w:lang w:eastAsia="zh-CN" w:bidi="hi-IN"/>
              </w:rPr>
              <m:t>m</m:t>
            </m:r>
          </m:sub>
        </m:sSub>
        <m:r>
          <m:rPr>
            <m:sty m:val="p"/>
          </m:rPr>
          <w:rPr>
            <w:rFonts w:ascii="Cambria Math" w:eastAsia="Droid Sans Fallback" w:hAnsi="Cambria Math" w:cs="Times New Roman"/>
            <w:kern w:val="1"/>
            <w:sz w:val="24"/>
            <w:szCs w:val="24"/>
            <w:lang w:eastAsia="zh-CN" w:bidi="hi-IN"/>
          </w:rPr>
          <m:t>=2</m:t>
        </m:r>
      </m:oMath>
      <w:r w:rsidRPr="004833BB">
        <w:rPr>
          <w:rFonts w:ascii="Times New Roman" w:eastAsia="Droid Sans Fallback" w:hAnsi="Times New Roman" w:cs="Times New Roman"/>
          <w:kern w:val="1"/>
          <w:sz w:val="24"/>
          <w:szCs w:val="24"/>
          <w:lang w:eastAsia="zh-CN" w:bidi="hi-IN"/>
        </w:rPr>
        <w:t xml:space="preserve">. Na+ and Cl- beads are conceptualised as being partially hydrated and modelled effectively as water beads but each possessing an additional charge </w:t>
      </w:r>
      <w:r w:rsidRPr="004833BB">
        <w:rPr>
          <w:rFonts w:ascii="Times New Roman" w:eastAsia="Droid Sans Fallback" w:hAnsi="Times New Roman" w:cs="Times New Roman"/>
          <w:kern w:val="1"/>
          <w:sz w:val="24"/>
          <w:szCs w:val="24"/>
          <w:lang w:eastAsia="zh-CN" w:bidi="hi-IN"/>
        </w:rPr>
        <w:fldChar w:fldCharType="begin" w:fldLock="1"/>
      </w:r>
      <w:r w:rsidRPr="004833BB">
        <w:rPr>
          <w:rFonts w:ascii="Times New Roman" w:eastAsia="Droid Sans Fallback" w:hAnsi="Times New Roman" w:cs="Times New Roman"/>
          <w:kern w:val="1"/>
          <w:sz w:val="24"/>
          <w:szCs w:val="24"/>
          <w:lang w:eastAsia="zh-CN" w:bidi="hi-IN"/>
        </w:rPr>
        <w:instrText>ADDIN CSL_CITATION {"citationItems":[{"id":"ITEM-1","itemData":{"DOI":"10.1021/acs.jpcb.5b05630","ISSN":"15205207","abstract":"© 2015 American Chemical Society. Using dissipative particle dynamics (DPD) simulations, we explore the specifics of micellization in the solutions of anionic and cationic surfactants and their mixtures. Anionic surfactant sodium dodecyl sulfate (SDS) and cationic surfactant cetyltrimethylammonium bromide (CTAB) are chosen as characteristic examples. Coarse-grained models of the surfactants are constructed and parameterized using a combination of atomistic molecular simulation and infinite dilution activity coefficient calibration. Electrostatic interactions of charged beads are treated using a smeared charge approximation: the surfactant heads and dissociated counterions are modeled as beads with charges distributed around the bead center in an implicit dielectric medium. The proposed models semiquantitatively describe self-assembly in solutions of SDS and CTAB at various surfactant concentrations and molarities of added electrolyte. In particular, the model predicts a decline in the free surfactant concentration with the increase of the total surfactant loading, as well as characteristic aggregation transitions in single-component surfactant solutions caused by the addition of salt. The calculated values of the critical micelle concentration reasonably agree with experimental observations. Modeling of catanionic SDS-CTAB mixtures show consecutive transitions to worm-like micelles and then to vesicles caused by the addition of CTAB to micellar solution of SDS.","author":[{"dropping-particle":"","family":"Mao","given":"Runfang","non-dropping-particle":"","parse-names":false,"suffix":""},{"dropping-particle":"","family":"Lee","given":"Ming Tsung","non-dropping-particle":"","parse-names":false,"suffix":""},{"dropping-particle":"","family":"Vishnyakov","given":"Aleksey","non-dropping-particle":"","parse-names":false,"suffix":""},{"dropping-particle":"V.","family":"Neimark","given":"Alexander","non-dropping-particle":"","parse-names":false,"suffix":""}],"container-title":"Journal of Physical Chemistry B","id":"ITEM-1","issue":"35","issued":{"date-parts":[["2015"]]},"page":"11673-11683","title":"Modeling Aggregation of Ionic Surfactants Using a Smeared Charge Approximation in Dissipative Particle Dynamics Simulations","type":"article-journal","volume":"119"},"uris":["http://www.mendeley.com/documents/?uuid=bd680c60-bc7f-4356-bf86-616335378d40"]}],"mendeley":{"formattedCitation":"[40]","plainTextFormattedCitation":"[40]","previouslyFormattedCitation":"[40]"},"properties":{"noteIndex":0},"schema":"https://github.com/citation-style-language/schema/raw/master/csl-citation.json"}</w:instrText>
      </w:r>
      <w:r w:rsidRPr="004833BB">
        <w:rPr>
          <w:rFonts w:ascii="Times New Roman" w:eastAsia="Droid Sans Fallback" w:hAnsi="Times New Roman" w:cs="Times New Roman"/>
          <w:kern w:val="1"/>
          <w:sz w:val="24"/>
          <w:szCs w:val="24"/>
          <w:lang w:eastAsia="zh-CN" w:bidi="hi-IN"/>
        </w:rPr>
        <w:fldChar w:fldCharType="separate"/>
      </w:r>
      <w:r w:rsidRPr="004833BB">
        <w:rPr>
          <w:rFonts w:ascii="Times New Roman" w:eastAsia="Droid Sans Fallback" w:hAnsi="Times New Roman" w:cs="Times New Roman"/>
          <w:noProof/>
          <w:kern w:val="1"/>
          <w:sz w:val="24"/>
          <w:szCs w:val="24"/>
          <w:lang w:eastAsia="zh-CN" w:bidi="hi-IN"/>
        </w:rPr>
        <w:t>[40]</w:t>
      </w:r>
      <w:r w:rsidRPr="004833BB">
        <w:rPr>
          <w:rFonts w:ascii="Times New Roman" w:eastAsia="Droid Sans Fallback" w:hAnsi="Times New Roman" w:cs="Times New Roman"/>
          <w:kern w:val="1"/>
          <w:sz w:val="24"/>
          <w:szCs w:val="24"/>
          <w:lang w:eastAsia="zh-CN" w:bidi="hi-IN"/>
        </w:rPr>
        <w:fldChar w:fldCharType="end"/>
      </w:r>
      <w:r w:rsidRPr="004833BB">
        <w:rPr>
          <w:rFonts w:ascii="Times New Roman" w:eastAsia="Droid Sans Fallback" w:hAnsi="Times New Roman" w:cs="Times New Roman"/>
          <w:kern w:val="1"/>
          <w:sz w:val="24"/>
          <w:szCs w:val="24"/>
          <w:lang w:eastAsia="zh-CN" w:bidi="hi-IN"/>
        </w:rPr>
        <w:t>.</w:t>
      </w:r>
      <w:r w:rsidRPr="00B03487">
        <w:rPr>
          <w:rFonts w:ascii="Times New Roman" w:eastAsia="Droid Sans Fallback" w:hAnsi="Times New Roman" w:cs="Times New Roman"/>
          <w:kern w:val="1"/>
          <w:sz w:val="24"/>
          <w:szCs w:val="24"/>
          <w:lang w:eastAsia="zh-CN" w:bidi="hi-IN"/>
        </w:rPr>
        <w:t xml:space="preserve"> This may seem quite a coarse approach for the charged beads but as yet no systematic approach exists in literature for dealing with charged anion and cation beads as previously discussed by Tang et al </w:t>
      </w:r>
      <w:r w:rsidRPr="00B03487">
        <w:rPr>
          <w:rFonts w:ascii="Times New Roman" w:eastAsia="Droid Sans Fallback" w:hAnsi="Times New Roman" w:cs="Times New Roman"/>
          <w:kern w:val="1"/>
          <w:sz w:val="24"/>
          <w:szCs w:val="24"/>
          <w:lang w:eastAsia="zh-CN" w:bidi="hi-IN"/>
        </w:rPr>
        <w:fldChar w:fldCharType="begin" w:fldLock="1"/>
      </w:r>
      <w:r w:rsidRPr="00B03487">
        <w:rPr>
          <w:rFonts w:ascii="Times New Roman" w:eastAsia="Droid Sans Fallback" w:hAnsi="Times New Roman" w:cs="Times New Roman"/>
          <w:kern w:val="1"/>
          <w:sz w:val="24"/>
          <w:szCs w:val="24"/>
          <w:lang w:eastAsia="zh-CN" w:bidi="hi-IN"/>
        </w:rPr>
        <w:instrText>ADDIN CSL_CITATION {"citationItems":[{"id":"ITEM-1","itemData":{"DOI":"10.1021/acs.jpcb.7b00257","ISSN":"1520-6106","author":[{"dropping-particle":"","family":"Tang","given":"Xueming","non-dropping-particle":"","parse-names":false,"suffix":""},{"dropping-particle":"","family":"Zou","given":"Weizhong","non-dropping-particle":"","parse-names":false,"suffix":""},{"dropping-particle":"","family":"Koenig","given":"Peter H.","non-dropping-particle":"","parse-names":false,"suffix":""},{"dropping-particle":"","family":"McConaughy","given":"Shawn D.","non-dropping-particle":"","parse-names":false,"suffix":""},{"dropping-particle":"","family":"Weaver","given":"Michael R.","non-dropping-particle":"","parse-names":false,"suffix":""},{"dropping-particle":"","family":"Eike","given":"David Michael","non-dropping-particle":"","parse-names":false,"suffix":""},{"dropping-particle":"","family":"Schmidt","given":"Michael J.","non-dropping-particle":"","parse-names":false,"suffix":""},{"dropping-particle":"","family":"Larson","given":"Ronald G.","non-dropping-particle":"","parse-names":false,"suffix":""}],"container-title":"The Journal of Physical Chemistry B","id":"ITEM-1","issue":"11","issued":{"date-parts":[["2017"]]},"page":"2468-2485","title":"Multi-Scale Modeling of the Effects of Salt and Perfume Raw Materials on the Rheological Properties of Commercial Thread-like Micellar Solutions","type":"article-journal","volume":"121"},"uris":["http://www.mendeley.com/documents/?uuid=7b1bf2ad-357f-43e9-8b6d-dae16c5bbdc5"]}],"mendeley":{"formattedCitation":"[16]","plainTextFormattedCitation":"[16]","previouslyFormattedCitation":"[16]"},"properties":{"noteIndex":0},"schema":"https://github.com/citation-style-language/schema/raw/master/csl-citation.json"}</w:instrText>
      </w:r>
      <w:r w:rsidRPr="00B03487">
        <w:rPr>
          <w:rFonts w:ascii="Times New Roman" w:eastAsia="Droid Sans Fallback" w:hAnsi="Times New Roman" w:cs="Times New Roman"/>
          <w:kern w:val="1"/>
          <w:sz w:val="24"/>
          <w:szCs w:val="24"/>
          <w:lang w:eastAsia="zh-CN" w:bidi="hi-IN"/>
        </w:rPr>
        <w:fldChar w:fldCharType="separate"/>
      </w:r>
      <w:r w:rsidRPr="00B03487">
        <w:rPr>
          <w:rFonts w:ascii="Times New Roman" w:eastAsia="Droid Sans Fallback" w:hAnsi="Times New Roman" w:cs="Times New Roman"/>
          <w:noProof/>
          <w:kern w:val="1"/>
          <w:sz w:val="24"/>
          <w:szCs w:val="24"/>
          <w:lang w:eastAsia="zh-CN" w:bidi="hi-IN"/>
        </w:rPr>
        <w:t>[16]</w:t>
      </w:r>
      <w:r w:rsidRPr="00B03487">
        <w:rPr>
          <w:rFonts w:ascii="Times New Roman" w:eastAsia="Droid Sans Fallback" w:hAnsi="Times New Roman" w:cs="Times New Roman"/>
          <w:kern w:val="1"/>
          <w:sz w:val="24"/>
          <w:szCs w:val="24"/>
          <w:lang w:eastAsia="zh-CN" w:bidi="hi-IN"/>
        </w:rPr>
        <w:fldChar w:fldCharType="end"/>
      </w:r>
      <w:r w:rsidRPr="00B03487">
        <w:rPr>
          <w:rFonts w:ascii="Times New Roman" w:eastAsia="Droid Sans Fallback" w:hAnsi="Times New Roman" w:cs="Times New Roman"/>
          <w:kern w:val="1"/>
          <w:sz w:val="24"/>
          <w:szCs w:val="24"/>
          <w:lang w:eastAsia="zh-CN" w:bidi="hi-IN"/>
        </w:rPr>
        <w:t xml:space="preserve"> and Anderson et al </w:t>
      </w:r>
      <w:r w:rsidRPr="00B03487">
        <w:rPr>
          <w:rFonts w:ascii="Times New Roman" w:eastAsia="Droid Sans Fallback" w:hAnsi="Times New Roman" w:cs="Times New Roman"/>
          <w:kern w:val="1"/>
          <w:sz w:val="24"/>
          <w:szCs w:val="24"/>
          <w:lang w:eastAsia="zh-CN" w:bidi="hi-IN"/>
        </w:rPr>
        <w:fldChar w:fldCharType="begin" w:fldLock="1"/>
      </w:r>
      <w:r w:rsidRPr="00B03487">
        <w:rPr>
          <w:rFonts w:ascii="Times New Roman" w:eastAsia="Droid Sans Fallback" w:hAnsi="Times New Roman" w:cs="Times New Roman"/>
          <w:kern w:val="1"/>
          <w:sz w:val="24"/>
          <w:szCs w:val="24"/>
          <w:lang w:eastAsia="zh-CN" w:bidi="hi-IN"/>
        </w:rPr>
        <w:instrText>ADDIN CSL_CITATION {"citationItems":[{"id":"ITEM-1","itemData":{"DOI":"10.1021/acs.jctc.8b00075","ISBN":"0870949837","ISSN":"15499626","abstract":"We use dissipative particle dynamics (DPD) to study micelle formation in alkyl sulfate surfactants, with alkyl chain lengths ranging from 6 to 12 carbon atoms. We extend our recent DPD force field [ J. Chem. Phys. 2017, 147, 094503] to include a charged sulfate chemical group and aqueous sodium ions. With this model, we achieve good agreement with the experimentally reported critical micelle concentrations (CMCs) and can match the trend in mean aggregation numbers versus alkyl chain length. We determine the CMC by fitting a charged pseudophase model to the dependence of the free surfactant on the total surfactant concentration above the CMC and compare it with a direct operational definition of the CMC as the point at which half of the surfactant is classed as micellar and half as monomers and submicellar aggregates. We find that the latter provides the best agreement with experimental results. Finally, with the same model, we are able to observe the sphere-to-rod morphological transition for sodium dodec...","author":[{"dropping-particle":"","family":"Anderson","given":"Richard L.","non-dropping-particle":"","parse-names":false,"suffix":""},{"dropping-particle":"","family":"Bray","given":"David J.","non-dropping-particle":"","parse-names":false,"suffix":""},{"dropping-particle":"","family":"Regno","given":"Annalaura","non-dropping-particle":"Del","parse-names":false,"suffix":""},{"dropping-particle":"","family":"Seaton","given":"Michael A.","non-dropping-particle":"","parse-names":false,"suffix":""},{"dropping-particle":"","family":"Ferrante","given":"Andrea S.","non-dropping-particle":"","parse-names":false,"suffix":""},{"dropping-particle":"","family":"Warren","given":"Patrick B.","non-dropping-particle":"","parse-names":false,"suffix":""}],"container-title":"Journal of Chemical Theory and Computation","id":"ITEM-1","issue":"5","issued":{"date-parts":[["2018"]]},"page":"2633-2643","title":"Micelle Formation in Alkyl Sulfate Surfactants Using Dissipative Particle Dynamics","type":"article-journal","volume":"14"},"uris":["http://www.mendeley.com/documents/?uuid=555aa51f-d85b-4f3d-8fc2-c5ff98da7e60"]}],"mendeley":{"formattedCitation":"[39]","plainTextFormattedCitation":"[39]","previouslyFormattedCitation":"[39]"},"properties":{"noteIndex":0},"schema":"https://github.com/citation-style-language/schema/raw/master/csl-citation.json"}</w:instrText>
      </w:r>
      <w:r w:rsidRPr="00B03487">
        <w:rPr>
          <w:rFonts w:ascii="Times New Roman" w:eastAsia="Droid Sans Fallback" w:hAnsi="Times New Roman" w:cs="Times New Roman"/>
          <w:kern w:val="1"/>
          <w:sz w:val="24"/>
          <w:szCs w:val="24"/>
          <w:lang w:eastAsia="zh-CN" w:bidi="hi-IN"/>
        </w:rPr>
        <w:fldChar w:fldCharType="separate"/>
      </w:r>
      <w:r w:rsidRPr="00B03487">
        <w:rPr>
          <w:rFonts w:ascii="Times New Roman" w:eastAsia="Droid Sans Fallback" w:hAnsi="Times New Roman" w:cs="Times New Roman"/>
          <w:noProof/>
          <w:kern w:val="1"/>
          <w:sz w:val="24"/>
          <w:szCs w:val="24"/>
          <w:lang w:eastAsia="zh-CN" w:bidi="hi-IN"/>
        </w:rPr>
        <w:t>[39]</w:t>
      </w:r>
      <w:r w:rsidRPr="00B03487">
        <w:rPr>
          <w:rFonts w:ascii="Times New Roman" w:eastAsia="Droid Sans Fallback" w:hAnsi="Times New Roman" w:cs="Times New Roman"/>
          <w:kern w:val="1"/>
          <w:sz w:val="24"/>
          <w:szCs w:val="24"/>
          <w:lang w:eastAsia="zh-CN" w:bidi="hi-IN"/>
        </w:rPr>
        <w:fldChar w:fldCharType="end"/>
      </w:r>
      <w:r w:rsidRPr="00B03487">
        <w:rPr>
          <w:rFonts w:ascii="Times New Roman" w:eastAsia="Droid Sans Fallback" w:hAnsi="Times New Roman" w:cs="Times New Roman"/>
          <w:kern w:val="1"/>
          <w:sz w:val="24"/>
          <w:szCs w:val="24"/>
          <w:lang w:eastAsia="zh-CN" w:bidi="hi-IN"/>
        </w:rPr>
        <w:t xml:space="preserve">. The salt concentration added in the system is given by </w:t>
      </w:r>
      <m:oMath>
        <m:sSub>
          <m:sSubPr>
            <m:ctrlPr>
              <w:rPr>
                <w:rFonts w:ascii="Cambria Math" w:eastAsia="Droid Sans Fallback" w:hAnsi="Cambria Math" w:cs="Times New Roman"/>
                <w:kern w:val="1"/>
                <w:sz w:val="24"/>
                <w:szCs w:val="24"/>
                <w:lang w:eastAsia="zh-CN" w:bidi="hi-IN"/>
              </w:rPr>
            </m:ctrlPr>
          </m:sSubPr>
          <m:e>
            <m:r>
              <m:rPr>
                <m:sty m:val="p"/>
              </m:rPr>
              <w:rPr>
                <w:rFonts w:ascii="Cambria Math" w:eastAsia="Droid Sans Fallback" w:hAnsi="Cambria Math" w:cs="Times New Roman"/>
                <w:kern w:val="1"/>
                <w:sz w:val="24"/>
                <w:szCs w:val="24"/>
                <w:lang w:eastAsia="zh-CN" w:bidi="hi-IN"/>
              </w:rPr>
              <m:t>c</m:t>
            </m:r>
          </m:e>
          <m:sub>
            <m:r>
              <m:rPr>
                <m:sty m:val="p"/>
              </m:rPr>
              <w:rPr>
                <w:rFonts w:ascii="Cambria Math" w:eastAsia="Droid Sans Fallback" w:hAnsi="Cambria Math" w:cs="Times New Roman"/>
                <w:kern w:val="1"/>
                <w:sz w:val="24"/>
                <w:szCs w:val="24"/>
                <w:lang w:eastAsia="zh-CN" w:bidi="hi-IN"/>
              </w:rPr>
              <m:t>s</m:t>
            </m:r>
          </m:sub>
        </m:sSub>
      </m:oMath>
      <w:r w:rsidRPr="00B03487">
        <w:rPr>
          <w:rFonts w:ascii="Times New Roman" w:eastAsia="Droid Sans Fallback" w:hAnsi="Times New Roman" w:cs="Times New Roman"/>
          <w:kern w:val="1"/>
          <w:sz w:val="24"/>
          <w:szCs w:val="24"/>
          <w:lang w:eastAsia="zh-CN" w:bidi="hi-IN"/>
        </w:rPr>
        <w:t xml:space="preserve"> so that the number of Na+ beads is the number of surfactants plus the number of added salt cations and the total beads of Cl- is the number of added salt anions. Since DPD is a coarse grained method the overlapping of beads will cause a thermodynamic instability if point charges are used </w:t>
      </w:r>
      <w:r w:rsidRPr="00B03487">
        <w:rPr>
          <w:rFonts w:ascii="Times New Roman" w:eastAsia="Droid Sans Fallback" w:hAnsi="Times New Roman" w:cs="Times New Roman"/>
          <w:kern w:val="1"/>
          <w:sz w:val="24"/>
          <w:szCs w:val="24"/>
          <w:lang w:eastAsia="zh-CN" w:bidi="hi-IN"/>
        </w:rPr>
        <w:fldChar w:fldCharType="begin" w:fldLock="1"/>
      </w:r>
      <w:r>
        <w:rPr>
          <w:rFonts w:ascii="Times New Roman" w:eastAsia="Droid Sans Fallback" w:hAnsi="Times New Roman" w:cs="Times New Roman"/>
          <w:kern w:val="1"/>
          <w:sz w:val="24"/>
          <w:szCs w:val="24"/>
          <w:lang w:eastAsia="zh-CN" w:bidi="hi-IN"/>
        </w:rPr>
        <w:instrText>ADDIN CSL_CITATION {"citationItems":[{"id":"ITEM-1","itemData":{"DOI":"10.1063/1.1704928","ISSN":"0022-2488","author":[{"dropping-particle":"","family":"Fisher","given":"Michael E.","non-dropping-particle":"","parse-names":false,"suffix":""},{"dropping-particle":"","family":"Ruelle","given":"David","non-dropping-particle":"","parse-names":false,"suffix":""}],"container-title":"Journal of Mathematical Physics","id":"ITEM-1","issue":"2","issued":{"date-parts":[["1966","2"]]},"page":"260-270","title":"The Stability of Many</w:instrText>
      </w:r>
      <w:r>
        <w:rPr>
          <w:rFonts w:ascii="Cambria Math" w:eastAsia="Droid Sans Fallback" w:hAnsi="Cambria Math" w:cs="Cambria Math"/>
          <w:kern w:val="1"/>
          <w:sz w:val="24"/>
          <w:szCs w:val="24"/>
          <w:lang w:eastAsia="zh-CN" w:bidi="hi-IN"/>
        </w:rPr>
        <w:instrText>‐</w:instrText>
      </w:r>
      <w:r>
        <w:rPr>
          <w:rFonts w:ascii="Times New Roman" w:eastAsia="Droid Sans Fallback" w:hAnsi="Times New Roman" w:cs="Times New Roman"/>
          <w:kern w:val="1"/>
          <w:sz w:val="24"/>
          <w:szCs w:val="24"/>
          <w:lang w:eastAsia="zh-CN" w:bidi="hi-IN"/>
        </w:rPr>
        <w:instrText>Particle Systems","type":"article-journal","volume":"7"},"uris":["http://www.mendeley.com/documents/?uuid=fb493f6a-2b29-46f1-a33e-3bbc0a5da395"]},{"id":"ITEM-2","itemData":{"DOI":"10.1063/1.1574800","ISBN":"0021-9606","ISSN":"00219606","PMID":"183402200049","abstract":"Electrostatic interactions have been incorporated in dissipative particle dynamics (DPD) simulation. The electrostatic field is solved locally on a grid. Within this formalism, local inhomogeneities in the electrostatic permittivity can be treated without any problem. Key issues like the screening of the potential near a charged surface and the Stillinger-Lovett moment conditions are satisfied. This implies that the method captures the essential features of electrostatic interaction. For the direct simulation of mixed surfactants near oil-water interfaces, or for the simulation of Coulombic polymer-surfactant interactions, this method has all the advantages of DPD over full atomistic molecular dynamics (MD). DPD has proven to be faster than MD by many orders of magnitude, depending on the precise scaling factor chosen for the simulation. This brings phenomena of microseconds in reach of routine simulation, while maintaining a fairly accurate representation of the structure of the molecules. As an example of this simulation tool, the interaction between a cationic polyelectrolyte and anionic surfactant is discussed. Without a surfactant, the polyelectrolyte shows a fractal dimensionality that is in line with the theoretical and experimental values cited in literature, it behaves as a fairly stiff rod, d(f)similar to1.1. When salt is replaced by anionic surfactant, the polymer wraps around one or more discrete surfactant micelles, in line with the current understanding of these systems, and scaling invariance in the correlation function is broken. (C) 2003 American Institute of Physics.","author":[{"dropping-particle":"","family":"Groot","given":"R. D.","non-dropping-particle":"","parse-names":false,"suffix":""}],"container-title":"Journal of Chemical Physics","id":"ITEM-2","issue":"24","issued":{"date-parts":[["2003"]]},"page":"11265-11277","title":"Electrostatic interactions in dissipative particle dynamics-simulation of polyelectrolytes and anionic surfactants","type":"article-journal","volume":"118"},"uris":["http://www.mendeley.com/documents/?uuid=839c97cb-8740-4173-87bb-e260ec71ab08"]}],"mendeley":{"formattedCitation":"[41,42]","plainTextFormattedCitation":"[41,42]","previouslyFormattedCitation":"[41,42]"},"properties":{"noteIndex":0},"schema":"https://github.com/citation-style-language/schema/raw/master/csl-citation.json"}</w:instrText>
      </w:r>
      <w:r w:rsidRPr="00B03487">
        <w:rPr>
          <w:rFonts w:ascii="Times New Roman" w:eastAsia="Droid Sans Fallback" w:hAnsi="Times New Roman" w:cs="Times New Roman"/>
          <w:kern w:val="1"/>
          <w:sz w:val="24"/>
          <w:szCs w:val="24"/>
          <w:lang w:eastAsia="zh-CN" w:bidi="hi-IN"/>
        </w:rPr>
        <w:fldChar w:fldCharType="separate"/>
      </w:r>
      <w:r w:rsidRPr="00B03487">
        <w:rPr>
          <w:rFonts w:ascii="Times New Roman" w:eastAsia="Droid Sans Fallback" w:hAnsi="Times New Roman" w:cs="Times New Roman"/>
          <w:noProof/>
          <w:kern w:val="1"/>
          <w:sz w:val="24"/>
          <w:szCs w:val="24"/>
          <w:lang w:eastAsia="zh-CN" w:bidi="hi-IN"/>
        </w:rPr>
        <w:t>[41,42]</w:t>
      </w:r>
      <w:r w:rsidRPr="00B03487">
        <w:rPr>
          <w:rFonts w:ascii="Times New Roman" w:eastAsia="Droid Sans Fallback" w:hAnsi="Times New Roman" w:cs="Times New Roman"/>
          <w:kern w:val="1"/>
          <w:sz w:val="24"/>
          <w:szCs w:val="24"/>
          <w:lang w:eastAsia="zh-CN" w:bidi="hi-IN"/>
        </w:rPr>
        <w:fldChar w:fldCharType="end"/>
      </w:r>
      <w:r w:rsidRPr="00B03487">
        <w:rPr>
          <w:rFonts w:ascii="Times New Roman" w:eastAsia="Droid Sans Fallback" w:hAnsi="Times New Roman" w:cs="Times New Roman"/>
          <w:kern w:val="1"/>
          <w:sz w:val="24"/>
          <w:szCs w:val="24"/>
          <w:lang w:eastAsia="zh-CN" w:bidi="hi-IN"/>
        </w:rPr>
        <w:t xml:space="preserve">. For this reason charge smearing out of charges was accomplished by the exponential function given below </w:t>
      </w:r>
      <w:r w:rsidRPr="00B03487">
        <w:rPr>
          <w:rFonts w:ascii="Times New Roman" w:eastAsia="Droid Sans Fallback" w:hAnsi="Times New Roman" w:cs="Times New Roman"/>
          <w:kern w:val="1"/>
          <w:sz w:val="24"/>
          <w:szCs w:val="24"/>
          <w:lang w:eastAsia="zh-CN" w:bidi="hi-IN"/>
        </w:rPr>
        <w:fldChar w:fldCharType="begin" w:fldLock="1"/>
      </w:r>
      <w:r>
        <w:rPr>
          <w:rFonts w:ascii="Times New Roman" w:eastAsia="Droid Sans Fallback" w:hAnsi="Times New Roman" w:cs="Times New Roman"/>
          <w:kern w:val="1"/>
          <w:sz w:val="24"/>
          <w:szCs w:val="24"/>
          <w:lang w:eastAsia="zh-CN" w:bidi="hi-IN"/>
        </w:rPr>
        <w:instrText>ADDIN CSL_CITATION {"citationItems":[{"id":"ITEM-1","itemData":{"DOI":"10.1063/1.2400223","ISSN":"0021-9606","PMID":"17176134","abstract":"The electrostatic interactions in dissipative particle dynamics (DPD) simulations are calculated using the standard Ewald [Ann. Phys. 64, 253 (1921)] sum method. Charge distributions on DPD particles are included to prevent artificial ionic pair formation. This proposal is an alternative method to that introduced recently by Groot [J. Chem. Phys. 118, 11265 (2003)] where the electrostatic field was solved locally on a lattice. The Ewald method is applied to study a bulk electrolyte and polyelectrolyte-surfactant solutions. The structure of the fluid is analyzed through the radial distribution function between charged particles. The results are in good agreement with those reported by Groot for the same systems. We also calculated the radius of gyration of a polyelectrolyte in salt solution as a function of solution pH and degree of ionization of the chain. The radius of gyration increases with the net charge of the polymer in agreement with the trend found in static light scattering experiments of polystyrene sulfonate solutions.","author":[{"dropping-particle":"","family":"González-Melchor","given":"Minerva","non-dropping-particle":"","parse-names":false,"suffix":""},{"dropping-particle":"","family":"Mayoral","given":"Estela","non-dropping-particle":"","parse-names":false,"suffix":""},{"dropping-particle":"","family":"Velázquez","given":"María Eugenia","non-dropping-particle":"","parse-names":false,"suffix":""},{"dropping-particle":"","family":"Alejandre","given":"José","non-dropping-particle":"","parse-names":false,"suffix":""}],"container-title":"The Journal of Chemical Physics","id":"ITEM-1","issue":"22","issued":{"date-parts":[["2006"]]},"page":"224107","title":"Electrostatic interactions in dissipative particle dynamics using the Ewald sums","type":"article-journal","volume":"125"},"uris":["http://www.mendeley.com/documents/?uuid=e8e2769d-3d3a-4454-a1b6-3fc5b60f0bae"]}],"mendeley":{"formattedCitation":"[43]","plainTextFormattedCitation":"[43]","previouslyFormattedCitation":"[43]"},"properties":{"noteIndex":0},"schema":"https://github.com/citation-style-language/schema/raw/master/csl-citation.json"}</w:instrText>
      </w:r>
      <w:r w:rsidRPr="00B03487">
        <w:rPr>
          <w:rFonts w:ascii="Times New Roman" w:eastAsia="Droid Sans Fallback" w:hAnsi="Times New Roman" w:cs="Times New Roman"/>
          <w:kern w:val="1"/>
          <w:sz w:val="24"/>
          <w:szCs w:val="24"/>
          <w:lang w:eastAsia="zh-CN" w:bidi="hi-IN"/>
        </w:rPr>
        <w:fldChar w:fldCharType="separate"/>
      </w:r>
      <w:r w:rsidRPr="00B03487">
        <w:rPr>
          <w:rFonts w:ascii="Times New Roman" w:eastAsia="Droid Sans Fallback" w:hAnsi="Times New Roman" w:cs="Times New Roman"/>
          <w:noProof/>
          <w:kern w:val="1"/>
          <w:sz w:val="24"/>
          <w:szCs w:val="24"/>
          <w:lang w:eastAsia="zh-CN" w:bidi="hi-IN"/>
        </w:rPr>
        <w:t>[43]</w:t>
      </w:r>
      <w:r w:rsidRPr="00B03487">
        <w:rPr>
          <w:rFonts w:ascii="Times New Roman" w:eastAsia="Droid Sans Fallback" w:hAnsi="Times New Roman" w:cs="Times New Roman"/>
          <w:kern w:val="1"/>
          <w:sz w:val="24"/>
          <w:szCs w:val="24"/>
          <w:lang w:eastAsia="zh-CN" w:bidi="hi-IN"/>
        </w:rPr>
        <w:fldChar w:fldCharType="end"/>
      </w:r>
      <w:r w:rsidRPr="00B03487">
        <w:rPr>
          <w:rFonts w:ascii="Times New Roman" w:eastAsia="Droid Sans Fallback" w:hAnsi="Times New Roman" w:cs="Times New Roman"/>
          <w:kern w:val="1"/>
          <w:sz w:val="24"/>
          <w:szCs w:val="24"/>
          <w:lang w:eastAsia="zh-CN" w:bidi="hi-IN"/>
        </w:rPr>
        <w:t>:</w:t>
      </w:r>
    </w:p>
    <w:p w:rsidR="004833BB" w:rsidRPr="004C1D1A" w:rsidRDefault="004833BB" w:rsidP="004833BB">
      <w:pPr>
        <w:ind w:firstLine="576"/>
        <w:jc w:val="both"/>
        <w:rPr>
          <w:rFonts w:cs="Times New Roman"/>
          <w:lang w:val="en-GB"/>
        </w:rPr>
      </w:pPr>
    </w:p>
    <w:p w:rsidR="004833BB" w:rsidRPr="004C1D1A" w:rsidRDefault="004833BB" w:rsidP="004833BB">
      <w:pPr>
        <w:jc w:val="right"/>
        <w:rPr>
          <w:rFonts w:cs="Times New Roman"/>
          <w:lang w:val="en-GB"/>
        </w:rPr>
      </w:pPr>
      <m:oMath>
        <m:r>
          <w:rPr>
            <w:rFonts w:ascii="Cambria Math" w:hAnsi="Cambria Math" w:cs="Times New Roman"/>
          </w:rPr>
          <m:t>ρ</m:t>
        </m:r>
        <m:d>
          <m:dPr>
            <m:ctrlPr>
              <w:rPr>
                <w:rFonts w:ascii="Cambria Math" w:hAnsi="Cambria Math" w:cs="Times New Roman"/>
              </w:rPr>
            </m:ctrlPr>
          </m:dPr>
          <m:e>
            <m:r>
              <w:rPr>
                <w:rFonts w:ascii="Cambria Math" w:hAnsi="Cambria Math" w:cs="Times New Roman"/>
              </w:rPr>
              <m:t>r</m:t>
            </m:r>
          </m:e>
        </m:d>
        <m:r>
          <m:rPr>
            <m:sty m:val="p"/>
          </m:rPr>
          <w:rPr>
            <w:rFonts w:ascii="Cambria Math" w:hAnsi="Cambria Math" w:cs="Times New Roman"/>
            <w:lang w:val="en-GB"/>
          </w:rPr>
          <m:t>=</m:t>
        </m:r>
        <m:f>
          <m:fPr>
            <m:ctrlPr>
              <w:rPr>
                <w:rFonts w:ascii="Cambria Math" w:hAnsi="Cambria Math" w:cs="Times New Roman"/>
              </w:rPr>
            </m:ctrlPr>
          </m:fPr>
          <m:num>
            <m:r>
              <w:rPr>
                <w:rFonts w:ascii="Cambria Math" w:hAnsi="Cambria Math" w:cs="Times New Roman"/>
              </w:rPr>
              <m:t>q</m:t>
            </m:r>
          </m:num>
          <m:den>
            <m:r>
              <w:rPr>
                <w:rFonts w:ascii="Cambria Math" w:hAnsi="Cambria Math" w:cs="Times New Roman"/>
              </w:rPr>
              <m:t>πr</m:t>
            </m:r>
            <m:sSup>
              <m:sSupPr>
                <m:ctrlPr>
                  <w:rPr>
                    <w:rFonts w:ascii="Cambria Math" w:hAnsi="Cambria Math" w:cs="Times New Roman"/>
                  </w:rPr>
                </m:ctrlPr>
              </m:sSupPr>
              <m:e>
                <m:r>
                  <w:rPr>
                    <w:rFonts w:ascii="Cambria Math" w:hAnsi="Cambria Math" w:cs="Times New Roman"/>
                  </w:rPr>
                  <m:t>λ</m:t>
                </m:r>
              </m:e>
              <m:sup>
                <m:r>
                  <m:rPr>
                    <m:sty m:val="p"/>
                  </m:rPr>
                  <w:rPr>
                    <w:rFonts w:ascii="Cambria Math" w:hAnsi="Cambria Math" w:cs="Times New Roman"/>
                    <w:lang w:val="en-GB"/>
                  </w:rPr>
                  <m:t>2</m:t>
                </m:r>
              </m:sup>
            </m:sSup>
          </m:den>
        </m:f>
        <m:func>
          <m:funcPr>
            <m:ctrlPr>
              <w:rPr>
                <w:rFonts w:ascii="Cambria Math" w:hAnsi="Cambria Math" w:cs="Times New Roman"/>
              </w:rPr>
            </m:ctrlPr>
          </m:funcPr>
          <m:fName>
            <m:r>
              <m:rPr>
                <m:sty m:val="p"/>
              </m:rPr>
              <w:rPr>
                <w:rFonts w:ascii="Cambria Math" w:hAnsi="Cambria Math" w:cs="Times New Roman"/>
                <w:lang w:val="en-GB"/>
              </w:rPr>
              <m:t>exp</m:t>
            </m:r>
          </m:fName>
          <m:e>
            <m:d>
              <m:dPr>
                <m:ctrlPr>
                  <w:rPr>
                    <w:rFonts w:ascii="Cambria Math" w:hAnsi="Cambria Math" w:cs="Times New Roman"/>
                  </w:rPr>
                </m:ctrlPr>
              </m:dPr>
              <m:e>
                <m:r>
                  <m:rPr>
                    <m:sty m:val="p"/>
                  </m:rPr>
                  <w:rPr>
                    <w:rFonts w:ascii="Cambria Math" w:hAnsi="Cambria Math" w:cs="Times New Roman"/>
                    <w:lang w:val="en-GB"/>
                  </w:rPr>
                  <m:t>-</m:t>
                </m:r>
                <m:f>
                  <m:fPr>
                    <m:ctrlPr>
                      <w:rPr>
                        <w:rFonts w:ascii="Cambria Math" w:hAnsi="Cambria Math" w:cs="Times New Roman"/>
                      </w:rPr>
                    </m:ctrlPr>
                  </m:fPr>
                  <m:num>
                    <m:r>
                      <m:rPr>
                        <m:sty m:val="p"/>
                      </m:rPr>
                      <w:rPr>
                        <w:rFonts w:ascii="Cambria Math" w:hAnsi="Cambria Math" w:cs="Times New Roman"/>
                        <w:lang w:val="en-GB"/>
                      </w:rPr>
                      <m:t>2</m:t>
                    </m:r>
                    <m:r>
                      <w:rPr>
                        <w:rFonts w:ascii="Cambria Math" w:hAnsi="Cambria Math" w:cs="Times New Roman"/>
                      </w:rPr>
                      <m:t>r</m:t>
                    </m:r>
                  </m:num>
                  <m:den>
                    <m:r>
                      <w:rPr>
                        <w:rFonts w:ascii="Cambria Math" w:hAnsi="Cambria Math" w:cs="Times New Roman"/>
                      </w:rPr>
                      <m:t>λ</m:t>
                    </m:r>
                  </m:den>
                </m:f>
              </m:e>
            </m:d>
          </m:e>
        </m:func>
      </m:oMath>
      <w:r w:rsidRPr="004C1D1A">
        <w:rPr>
          <w:rFonts w:cs="Times New Roman"/>
          <w:lang w:val="en-GB"/>
        </w:rPr>
        <w:t xml:space="preserve">    </w:t>
      </w:r>
      <w:r w:rsidRPr="004C1D1A">
        <w:rPr>
          <w:rFonts w:cs="Times New Roman"/>
          <w:lang w:val="en-GB"/>
        </w:rPr>
        <w:tab/>
      </w:r>
      <w:r w:rsidRPr="004C1D1A">
        <w:rPr>
          <w:rFonts w:cs="Times New Roman"/>
          <w:lang w:val="en-GB"/>
        </w:rPr>
        <w:tab/>
      </w:r>
      <w:r w:rsidRPr="004C1D1A">
        <w:rPr>
          <w:rFonts w:cs="Times New Roman"/>
          <w:lang w:val="en-GB"/>
        </w:rPr>
        <w:tab/>
      </w:r>
      <w:r w:rsidRPr="004C1D1A">
        <w:rPr>
          <w:rFonts w:cs="Times New Roman"/>
          <w:lang w:val="en-GB"/>
        </w:rPr>
        <w:tab/>
        <w:t xml:space="preserve">     </w:t>
      </w:r>
      <w:r>
        <w:rPr>
          <w:rFonts w:cs="Times New Roman"/>
          <w:i/>
          <w:lang w:val="en-GB"/>
        </w:rPr>
        <w:t>(2.4</w:t>
      </w:r>
      <w:r w:rsidRPr="004C1D1A">
        <w:rPr>
          <w:rFonts w:cs="Times New Roman"/>
          <w:i/>
          <w:lang w:val="en-GB"/>
        </w:rPr>
        <w:t>)</w:t>
      </w:r>
    </w:p>
    <w:p w:rsidR="004833BB" w:rsidRPr="004C1D1A" w:rsidRDefault="004833BB" w:rsidP="004833BB">
      <w:pPr>
        <w:rPr>
          <w:rFonts w:cs="Times New Roman"/>
          <w:lang w:val="en-GB"/>
        </w:rPr>
      </w:pPr>
    </w:p>
    <w:p w:rsidR="004833BB" w:rsidRPr="005464E4" w:rsidRDefault="004833BB" w:rsidP="004833BB">
      <w:pPr>
        <w:jc w:val="both"/>
        <w:rPr>
          <w:lang w:val="en-GB"/>
        </w:rPr>
      </w:pPr>
      <w:r w:rsidRPr="004833BB">
        <w:rPr>
          <w:lang w:val="en-GB"/>
        </w:rPr>
        <w:t xml:space="preserve">where λ is the decay charge length; here taken as </w:t>
      </w:r>
      <m:oMath>
        <m:r>
          <w:rPr>
            <w:rFonts w:ascii="Cambria Math" w:hAnsi="Cambria Math"/>
            <w:lang w:val="en-GB"/>
          </w:rPr>
          <m:t>λ</m:t>
        </m:r>
        <m:r>
          <m:rPr>
            <m:sty m:val="p"/>
          </m:rPr>
          <w:rPr>
            <w:rFonts w:ascii="Cambria Math" w:hAnsi="Cambria Math"/>
            <w:lang w:val="en-GB"/>
          </w:rPr>
          <m:t>=1.076</m:t>
        </m:r>
      </m:oMath>
      <w:r w:rsidRPr="004833BB">
        <w:rPr>
          <w:lang w:val="en-GB"/>
        </w:rPr>
        <w:t xml:space="preserve"> </w:t>
      </w:r>
      <w:r w:rsidRPr="004833BB">
        <w:rPr>
          <w:lang w:val="en-GB"/>
        </w:rPr>
        <w:fldChar w:fldCharType="begin" w:fldLock="1"/>
      </w:r>
      <w:r w:rsidRPr="004833BB">
        <w:rPr>
          <w:lang w:val="en-GB"/>
        </w:rPr>
        <w:instrText>ADDIN CSL_CITATION {"citationItems":[{"id":"ITEM-1","itemData":{"DOI":"10.1063/1.4992111","ISSN":"00219606","abstract":"We present a systematic, top-down, thermodynamic parametrization scheme for dissipative particle dynamics (DPD) using water-octanol partition coefficients, supplemented by water-octanol phase equilibria and pure liquid phase density data. We demonstrate the feasibility of computing the required partition coefficients in DPD using brute-force simulation, within an adaptive semi-automatic staged optimization scheme. We test the methodology by fitting to experimental partition coefficient data for twenty one small molecules in five classes comprising alcohols and poly-alcohols, amines, ethers and simple aromatics, and alkanes (i.e. hexane). Finally, we illustrate the transferability of a subset of the determined parameters by calculating the critical micelle concentrations of selected alkyl ethoxylate surfactants, in good agreement with reported experimental values.","author":[{"dropping-particle":"","family":"Anderson","given":"Richard L.","non-dropping-particle":"","parse-names":false,"suffix":""},{"dropping-particle":"","family":"Bray","given":"David J.","non-dropping-particle":"","parse-names":false,"suffix":""},{"dropping-particle":"","family":"Ferrante","given":"Andrea S.","non-dropping-particle":"","parse-names":false,"suffix":""},{"dropping-particle":"","family":"Noro","given":"Massimo G.","non-dropping-particle":"","parse-names":false,"suffix":""},{"dropping-particle":"","family":"Stott","given":"Ian P.","non-dropping-particle":"","parse-names":false,"suffix":""},{"dropping-particle":"","family":"Warren","given":"Patrick B.","non-dropping-particle":"","parse-names":false,"suffix":""}],"container-title":"Journal of Chemical Physics","id":"ITEM-1","issue":"9","issued":{"date-parts":[["2017"]]},"page":"094503","title":"Dissipative particle dynamics: Systematic parametrization using water-octanol partition coefficients","type":"article-journal","volume":"147"},"uris":["http://www.mendeley.com/documents/?uuid=fd92283b-6bf5-4739-8f9b-8dfac820f4d1"]},{"id":"ITEM-2","itemData":{"DOI":"10.1021/acs.jctc.8b00075","ISBN":"0870949837","ISSN":"15499626","abstract":"We use dissipative particle dynamics (DPD) to study micelle formation in alkyl sulfate surfactants, with alkyl chain lengths ranging from 6 to 12 carbon atoms. We extend our recent DPD force field [ J. Chem. Phys. 2017, 147, 094503] to include a charged sulfate chemical group and aqueous sodium ions. With this model, we achieve good agreement with the experimentally reported critical micelle concentrations (CMCs) and can match the trend in mean aggregation numbers versus alkyl chain length. We determine the CMC by fitting a charged pseudophase model to the dependence of the free surfactant on the total surfactant concentration above the CMC and compare it with a direct operational definition of the CMC as the point at which half of the surfactant is classed as micellar and half as monomers and submicellar aggregates. We find that the latter provides the best agreement with experimental results. Finally, with the same model, we are able to observe the sphere-to-rod morphological transition for sodium dodec...","author":[{"dropping-particle":"","family":"Anderson","given":"Richard L.","non-dropping-particle":"","parse-names":false,"suffix":""},{"dropping-particle":"","family":"Bray","given":"David J.","non-dropping-particle":"","parse-names":false,"suffix":""},{"dropping-particle":"","family":"Regno","given":"Annalaura","non-dropping-particle":"Del","parse-names":false,"suffix":""},{"dropping-particle":"","family":"Seaton","given":"Michael A.","non-dropping-particle":"","parse-names":false,"suffix":""},{"dropping-particle":"","family":"Ferrante","given":"Andrea S.","non-dropping-particle":"","parse-names":false,"suffix":""},{"dropping-particle":"","family":"Warren","given":"Patrick B.","non-dropping-particle":"","parse-names":false,"suffix":""}],"container-title":"Journal of Chemical Theory and Computation","id":"ITEM-2","issue":"5","issued":{"date-parts":[["2018"]]},"page":"2633-2643","title":"Micelle Formation in Alkyl Sulfate Surfactants Using Dissipative Particle Dynamics","type":"article-journal","volume":"14"},"uris":["http://www.mendeley.com/documents/?uuid=555aa51f-d85b-4f3d-8fc2-c5ff98da7e60"]},{"id":"ITEM-3","itemData":{"DOI":"10.1063/1.2400223","ISSN":"0021-9606","PMID":"17176134","abstract":"The electrostatic interactions in dissipative particle dynamics (DPD) simulations are calculated using the standard Ewald [Ann. Phys. 64, 253 (1921)] sum method. Charge distributions on DPD particles are included to prevent artificial ionic pair formation. This proposal is an alternative method to that introduced recently by Groot [J. Chem. Phys. 118, 11265 (2003)] where the electrostatic field was solved locally on a lattice. The Ewald method is applied to study a bulk electrolyte and polyelectrolyte-surfactant solutions. The structure of the fluid is analyzed through the radial distribution function between charged particles. The results are in good agreement with those reported by Groot for the same systems. We also calculated the radius of gyration of a polyelectrolyte in salt solution as a function of solution pH and degree of ionization of the chain. The radius of gyration increases with the net charge of the polymer in agreement with the trend found in static light scattering experiments of polystyrene sulfonate solutions.","author":[{"dropping-particle":"","family":"González-Melchor","given":"Minerva","non-dropping-particle":"","parse-names":false,"suffix":""},{"dropping-particle":"","family":"Mayoral","given":"Estela","non-dropping-particle":"","parse-names":false,"suffix":""},{"dropping-particle":"","family":"Velázquez","given":"María Eugenia","non-dropping-particle":"","parse-names":false,"suffix":""},{"dropping-particle":"","family":"Alejandre","given":"José","non-dropping-particle":"","parse-names":false,"suffix":""}],"container-title":"The Journal of Chemical Physics","id":"ITEM-3","issue":"22","issued":{"date-parts":[["2006"]]},"page":"224107","title":"Electrostatic interactions in dissipative particle dynamics using the Ewald sums","type":"article-journal","volume":"125"},"uris":["http://www.mendeley.com/documents/?uuid=e8e2769d-3d3a-4454-a1b6-3fc5b60f0bae"]}],"mendeley":{"formattedCitation":"[38,39,43]","plainTextFormattedCitation":"[38,39,43]","previouslyFormattedCitation":"[38,39,43]"},"properties":{"noteIndex":0},"schema":"https://github.com/citation-style-language/schema/raw/master/csl-citation.json"}</w:instrText>
      </w:r>
      <w:r w:rsidRPr="004833BB">
        <w:rPr>
          <w:lang w:val="en-GB"/>
        </w:rPr>
        <w:fldChar w:fldCharType="separate"/>
      </w:r>
      <w:r w:rsidRPr="004833BB">
        <w:rPr>
          <w:noProof/>
          <w:lang w:val="en-GB"/>
        </w:rPr>
        <w:t>[38,39,43]</w:t>
      </w:r>
      <w:r w:rsidRPr="004833BB">
        <w:rPr>
          <w:lang w:val="en-GB"/>
        </w:rPr>
        <w:fldChar w:fldCharType="end"/>
      </w:r>
      <w:r w:rsidRPr="004833BB">
        <w:rPr>
          <w:lang w:val="en-GB"/>
        </w:rPr>
        <w:t xml:space="preserve">, q is the total charge and r the distance between two particles. In the current study, a significant proportion of the charge density is located outside of a given charged bead. In previous studies smaller </w:t>
      </w:r>
      <w:r w:rsidRPr="004833BB">
        <w:rPr>
          <w:i/>
          <w:lang w:val="en-GB"/>
        </w:rPr>
        <w:t xml:space="preserve">λ </w:t>
      </w:r>
      <w:r w:rsidRPr="004833BB">
        <w:rPr>
          <w:lang w:val="en-GB"/>
        </w:rPr>
        <w:t xml:space="preserve">values were trialled </w:t>
      </w:r>
      <w:r w:rsidRPr="004833BB">
        <w:rPr>
          <w:lang w:val="en-GB"/>
        </w:rPr>
        <w:fldChar w:fldCharType="begin" w:fldLock="1"/>
      </w:r>
      <w:r w:rsidRPr="004833BB">
        <w:rPr>
          <w:lang w:val="en-GB"/>
        </w:rPr>
        <w:instrText>ADDIN CSL_CITATION {"citationItems":[{"id":"ITEM-1","itemData":{"DOI":"10.1080/00268976.2016.1225130","ISSN":"13623028","abstract":"© 2016 Informa UK Limited, trading as Taylor  &amp;  Francis Group. This topical review outlines the principles of dissipative particle dynamics (DPD) and discusses its use for studying electrically charged systems–particularly its application for investigation of the self-assembly of polyelectrolytes in aqueous solutions. Special emphasis is placed on DPD with incorporation of explicit electrostatic forces (DPD-E). At present, this empowered method is being used by only a few research groups and most studies of polyelectrolyte self-assembly are based on the ‘implicit solvent ionic strength’ approach which completely ignores electrostatics. The inclusion of electrostatics in the DPD machinery not only complicates the calculations and considerably slows down the simulation run, but it also generates some problems of primary importance that have to be solved prior to employing DPD-E to study practically important systems. In the introductory parts, we describe the principles of DPD-E, analyse all the problematic issues and show how they can be resolved or overcome. The later parts demonstrate the successful application of DPD-E. We discuss papers that study the self-assembling behaviour of two different practically important systems and show that they not only closely reproduce all the decisive features of the behaviour, but also reveal new details that are difficult to access for experimentalists. The topical review shows that the tedious calculations are worthwhile: (1) DPD-E simulations are concerned with the true principles of the behaviour of polyelectrolyte systems and therefore provide reliable data and (2) the practically important advantage of computer simulations, i.e. their predictive power (at the level of the employed coarse-graining), which is a questionable aspect in simulations that use physically impoverished models, is not endangered in the case of DPD-E.","author":[{"dropping-particle":"","family":"Procházka","given":"Karel","non-dropping-particle":"","parse-names":false,"suffix":""},{"dropping-particle":"","family":"Šindelka","given":"Karel","non-dropping-particle":"","parse-names":false,"suffix":""},{"dropping-particle":"","family":"Wang","given":"Xiu","non-dropping-particle":"","parse-names":false,"suffix":""},{"dropping-particle":"","family":"Limpouchová","given":"Zuzana","non-dropping-particle":"","parse-names":false,"suffix":""},{"dropping-particle":"","family":"Lísal","given":"Martin","non-dropping-particle":"","parse-names":false,"suffix":""}],"container-title":"Molecular Physics","id":"ITEM-1","issue":"21","issued":{"date-parts":[["2016"]]},"page":"3077-3092","title":"Self-assembly and co-assembly of block polyelectrolytes in aqueous solutions. Dissipative particle dynamics with explicit electrostatics","type":"article-journal","volume":"114"},"uris":["http://www.mendeley.com/documents/?uuid=ebd3ee12-8cec-45f6-b925-ff639630a61b"]},{"id":"ITEM-2","itemData":{"DOI":"10.1021/acs.jpcb.5b05630","ISSN":"15205207","abstract":"© 2015 American Chemical Society. Using dissipative particle dynamics (DPD) simulations, we explore the specifics of micellization in the solutions of anionic and cationic surfactants and their mixtures. Anionic surfactant sodium dodecyl sulfate (SDS) and cationic surfactant cetyltrimethylammonium bromide (CTAB) are chosen as characteristic examples. Coarse-grained models of the surfactants are constructed and parameterized using a combination of atomistic molecular simulation and infinite dilution activity coefficient calibration. Electrostatic interactions of charged beads are treated using a smeared charge approximation: the surfactant heads and dissociated counterions are modeled as beads with charges distributed around the bead center in an implicit dielectric medium. The proposed models semiquantitatively describe self-assembly in solutions of SDS and CTAB at various surfactant concentrations and molarities of added electrolyte. In particular, the model predicts a decline in the free surfactant concentration with the increase of the total surfactant loading, as well as characteristic aggregation transitions in single-component surfactant solutions caused by the addition of salt. The calculated values of the critical micelle concentration reasonably agree with experimental observations. Modeling of catanionic SDS-CTAB mixtures show consecutive transitions to worm-like micelles and then to vesicles caused by the addition of CTAB to micellar solution of SDS.","author":[{"dropping-particle":"","family":"Mao","given":"Runfang","non-dropping-particle":"","parse-names":false,"suffix":""},{"dropping-particle":"","family":"Lee","given":"Ming Tsung","non-dropping-particle":"","parse-names":false,"suffix":""},{"dropping-particle":"","family":"Vishnyakov","given":"Aleksey","non-dropping-particle":"","parse-names":false,"suffix":""},{"dropping-particle":"V.","family":"Neimark","given":"Alexander","non-dropping-particle":"","parse-names":false,"suffix":""}],"container-title":"Journal of Physical Chemistry B","id":"ITEM-2","issue":"35","issued":{"date-parts":[["2015"]]},"page":"11673-11683","title":"Modeling Aggregation of Ionic Surfactants Using a Smeared Charge Approximation in Dissipative Particle Dynamics Simulations","type":"article-journal","volume":"119"},"uris":["http://www.mendeley.com/documents/?uuid=bd680c60-bc7f-4356-bf86-616335378d40"]},{"id":"ITEM-3","itemData":{"DOI":"10.1063/1.4866375","ISBN":"1089-7690 (Electronic)\\r0021-9606 (Linking)","ISSN":"0021-9606","PMID":"24588195","abstract":"We extend our previous study [J. Chem. Phys. 138, 204907 (2013)] to quantify the screening properties of four mesoscale smoothed charge models used in dissipative particle dynamics. Using a combination of the hypernetted chain integral equation closure and the random phase approximation, we identify regions where the models exhibit a real-valued screening length, and the extent to which this agrees with the Debye length in the physical system. We find that the second moment of the smoothed charge distribution is a good predictor of this behaviour. We are thus able to recommend a consistent set of parameters for the models.","author":[{"dropping-particle":"","family":"Warren","given":"Patrick B.","non-dropping-particle":"","parse-names":false,"suffix":""},{"dropping-particle":"","family":"Vlasov","given":"Andrey","non-dropping-particle":"","parse-names":false,"suffix":""}],"container-title":"The Journal of Chemical Physics","id":"ITEM-3","issue":"8","issued":{"date-parts":[["2014","2","28"]]},"page":"084904","title":"Screening properties of four mesoscale smoothed charge models, with application to dissipative particle dynamics","type":"article-journal","volume":"140"},"uris":["http://www.mendeley.com/documents/?uuid=3c7461a7-dbd3-4e62-a854-679de189907f"]}],"mendeley":{"formattedCitation":"[40,44,45]","plainTextFormattedCitation":"[40,44,45]","previouslyFormattedCitation":"[40,44,45]"},"properties":{"noteIndex":0},"schema":"https://github.com/citation-style-language/schema/raw/master/csl-citation.json"}</w:instrText>
      </w:r>
      <w:r w:rsidRPr="004833BB">
        <w:rPr>
          <w:lang w:val="en-GB"/>
        </w:rPr>
        <w:fldChar w:fldCharType="separate"/>
      </w:r>
      <w:r w:rsidRPr="004833BB">
        <w:rPr>
          <w:noProof/>
          <w:lang w:val="en-GB"/>
        </w:rPr>
        <w:t>[40,44,45]</w:t>
      </w:r>
      <w:r w:rsidRPr="004833BB">
        <w:rPr>
          <w:lang w:val="en-GB"/>
        </w:rPr>
        <w:fldChar w:fldCharType="end"/>
      </w:r>
      <w:r w:rsidRPr="004833BB">
        <w:rPr>
          <w:lang w:val="en-GB"/>
        </w:rPr>
        <w:t xml:space="preserve"> and the effect of the shorter length on the calculated properties is negligible in this case.</w:t>
      </w:r>
      <w:r w:rsidRPr="005464E4">
        <w:rPr>
          <w:lang w:val="en-GB"/>
        </w:rPr>
        <w:t xml:space="preserve"> </w:t>
      </w:r>
    </w:p>
    <w:p w:rsidR="004833BB" w:rsidRPr="004C1D1A" w:rsidRDefault="004833BB" w:rsidP="004833BB">
      <w:pPr>
        <w:ind w:firstLine="576"/>
        <w:jc w:val="both"/>
        <w:rPr>
          <w:rFonts w:cs="Times New Roman"/>
          <w:lang w:val="en-GB"/>
        </w:rPr>
      </w:pPr>
      <w:r w:rsidRPr="004C1D1A">
        <w:rPr>
          <w:rFonts w:cs="Times New Roman"/>
          <w:lang w:val="en-GB"/>
        </w:rPr>
        <w:t xml:space="preserve">All simulations </w:t>
      </w:r>
      <w:r>
        <w:rPr>
          <w:rFonts w:cs="Times New Roman"/>
          <w:lang w:val="en-GB"/>
        </w:rPr>
        <w:t>were in NVT ensemble and were</w:t>
      </w:r>
      <w:r w:rsidRPr="004C1D1A">
        <w:rPr>
          <w:rFonts w:cs="Times New Roman"/>
          <w:lang w:val="en-GB"/>
        </w:rPr>
        <w:t xml:space="preserve"> performed using DL_MESO mesoscale simulation package </w:t>
      </w:r>
      <w:r w:rsidRPr="004C1D1A">
        <w:rPr>
          <w:rFonts w:cs="Times New Roman"/>
          <w:lang w:val="en-GB"/>
        </w:rPr>
        <w:fldChar w:fldCharType="begin" w:fldLock="1"/>
      </w:r>
      <w:r>
        <w:rPr>
          <w:rFonts w:cs="Times New Roman"/>
          <w:lang w:val="en-GB"/>
        </w:rPr>
        <w:instrText>ADDIN CSL_CITATION {"citationItems":[{"id":"ITEM-1","itemData":{"DOI":"10.1080/08927022.2013.772297","ISBN":"0892-7022","ISSN":"0892-7022","abstract":" DL_MESO is a parallel mesoscale simulation package capable of dissipative\\nparticle dynamics and the lattice Boltzmann equation method. It has\\nbeen developed at Daresbury Laboratory for the United Kingdom Collaborative\\nComputational Project known as CCP5. Capable of addressing industrially\\nrelevant tasks, but written to support academic research, it has\\na wide range of applications and scales to thousands of processors\\non high-performance computing platforms yet runs efficiently on smaller\\ncommodity clusters and single processor personal computers. This\\narticle serves as a guide to a variety of users, describing the functionality,\\nperformance and structure of this simulation package. Representative\\nexamples highlighting the capabilities of DL_MESO are given for each\\nof the two methodologies available. Future directions for the package\\nare discussed towards the end of the article. ","author":[{"dropping-particle":"","family":"Seaton","given":"Michael A","non-dropping-particle":"","parse-names":false,"suffix":""},{"dropping-particle":"","family":"Anderson","given":"Richard L","non-dropping-particle":"","parse-names":false,"suffix":""},{"dropping-particle":"","family":"Metz","given":"Sebastian","non-dropping-particle":"","parse-names":false,"suffix":""},{"dropping-particle":"","family":"Smith","given":"William","non-dropping-particle":"","parse-names":false,"suffix":""}],"container-title":"Molecular Simulation","id":"ITEM-1","issue":"10","issued":{"date-parts":[["2013"]]},"page":"796-821","title":"DL_MESO: highly scalable mesoscale simulations","type":"article-journal","volume":"39"},"uris":["http://www.mendeley.com/documents/?uuid=509ebc31-a03d-4559-9311-31b7d5c94a58"]}],"mendeley":{"formattedCitation":"[46]","plainTextFormattedCitation":"[46]","previouslyFormattedCitation":"[46]"},"properties":{"noteIndex":0},"schema":"https://github.com/citation-style-language/schema/raw/master/csl-citation.json"}</w:instrText>
      </w:r>
      <w:r w:rsidRPr="004C1D1A">
        <w:rPr>
          <w:rFonts w:cs="Times New Roman"/>
          <w:lang w:val="en-GB"/>
        </w:rPr>
        <w:fldChar w:fldCharType="separate"/>
      </w:r>
      <w:r w:rsidRPr="00A00F4A">
        <w:rPr>
          <w:rFonts w:cs="Times New Roman"/>
          <w:noProof/>
          <w:lang w:val="en-GB"/>
        </w:rPr>
        <w:t>[46]</w:t>
      </w:r>
      <w:r w:rsidRPr="004C1D1A">
        <w:rPr>
          <w:rFonts w:cs="Times New Roman"/>
          <w:lang w:val="en-GB"/>
        </w:rPr>
        <w:fldChar w:fldCharType="end"/>
      </w:r>
      <w:r w:rsidRPr="004C1D1A">
        <w:rPr>
          <w:rFonts w:cs="Times New Roman"/>
          <w:lang w:val="en-GB"/>
        </w:rPr>
        <w:t xml:space="preserve"> </w:t>
      </w:r>
      <w:r>
        <w:rPr>
          <w:rFonts w:cs="Times New Roman"/>
          <w:lang w:val="en-GB"/>
        </w:rPr>
        <w:t xml:space="preserve">in a cubic simulation box with volume of </w:t>
      </w:r>
      <m:oMath>
        <m:r>
          <w:rPr>
            <w:rFonts w:ascii="Cambria Math" w:hAnsi="Cambria Math" w:cs="Times New Roman"/>
            <w:lang w:val="en-GB"/>
          </w:rPr>
          <m:t>64×</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3</m:t>
            </m:r>
          </m:sup>
        </m:sSup>
      </m:oMath>
      <w:r w:rsidRPr="004C1D1A">
        <w:rPr>
          <w:rFonts w:cs="Times New Roman"/>
          <w:lang w:val="en-GB"/>
        </w:rPr>
        <w:t xml:space="preserve"> </w:t>
      </w:r>
      <w:r w:rsidRPr="004C1D1A">
        <w:rPr>
          <w:rFonts w:cs="Times New Roman"/>
          <w:i/>
          <w:lang w:val="en-GB"/>
        </w:rPr>
        <w:t>DPD length</w:t>
      </w:r>
      <w:r w:rsidRPr="004C1D1A">
        <w:rPr>
          <w:rFonts w:cs="Times New Roman"/>
          <w:i/>
          <w:vertAlign w:val="superscript"/>
          <w:lang w:val="en-GB"/>
        </w:rPr>
        <w:t>3</w:t>
      </w:r>
      <w:r w:rsidRPr="004C1D1A">
        <w:rPr>
          <w:rFonts w:cs="Times New Roman"/>
          <w:lang w:val="en-GB"/>
        </w:rPr>
        <w:t xml:space="preserve"> </w:t>
      </w:r>
      <w:r>
        <w:rPr>
          <w:rFonts w:cs="Times New Roman"/>
          <w:lang w:val="en-GB"/>
        </w:rPr>
        <w:t>(</w:t>
      </w:r>
      <w:r w:rsidRPr="00BC39F9">
        <w:rPr>
          <w:rFonts w:cs="Times New Roman"/>
          <w:i/>
          <w:lang w:val="en-GB"/>
        </w:rPr>
        <w:t>i.e.</w:t>
      </w:r>
      <w:r>
        <w:rPr>
          <w:rFonts w:cs="Times New Roman"/>
          <w:i/>
          <w:lang w:val="en-GB"/>
        </w:rPr>
        <w:t xml:space="preserve"> </w:t>
      </w:r>
      <w:r>
        <w:rPr>
          <w:rFonts w:cs="Times New Roman"/>
          <w:lang w:val="en-GB"/>
        </w:rPr>
        <w:t>box dimension</w:t>
      </w:r>
      <w:r w:rsidRPr="00BC39F9">
        <w:rPr>
          <w:rFonts w:cs="Times New Roman"/>
          <w:i/>
          <w:lang w:val="en-GB"/>
        </w:rPr>
        <w:t xml:space="preserve"> </w:t>
      </w:r>
      <m:oMath>
        <m:r>
          <w:rPr>
            <w:rFonts w:ascii="Cambria Math" w:hAnsi="Cambria Math" w:cs="Times New Roman"/>
            <w:lang w:val="en-GB"/>
          </w:rPr>
          <m:t xml:space="preserve">L=40 </m:t>
        </m:r>
      </m:oMath>
      <w:r w:rsidRPr="00BC39F9">
        <w:rPr>
          <w:rFonts w:cs="Times New Roman"/>
          <w:i/>
          <w:lang w:val="en-GB"/>
        </w:rPr>
        <w:t>DPD length</w:t>
      </w:r>
      <w:r>
        <w:rPr>
          <w:rFonts w:cs="Times New Roman"/>
          <w:lang w:val="en-GB"/>
        </w:rPr>
        <w:t xml:space="preserve">) </w:t>
      </w:r>
      <w:r w:rsidRPr="004C1D1A">
        <w:rPr>
          <w:rFonts w:cs="Times New Roman"/>
          <w:lang w:val="en-GB"/>
        </w:rPr>
        <w:t xml:space="preserve">and number density </w:t>
      </w:r>
      <m:oMath>
        <m:r>
          <w:rPr>
            <w:rFonts w:ascii="Cambria Math" w:hAnsi="Cambria Math" w:cs="Times New Roman"/>
            <w:lang w:val="en-GB"/>
          </w:rPr>
          <m:t>ρ=3</m:t>
        </m:r>
      </m:oMath>
      <w:r w:rsidRPr="004C1D1A">
        <w:rPr>
          <w:rFonts w:cs="Times New Roman"/>
          <w:lang w:val="en-GB"/>
        </w:rPr>
        <w:t xml:space="preserve">. </w:t>
      </w:r>
      <w:r>
        <w:rPr>
          <w:rFonts w:cs="Times New Roman"/>
          <w:lang w:val="en-GB"/>
        </w:rPr>
        <w:t>T</w:t>
      </w:r>
      <w:r w:rsidRPr="004C1D1A">
        <w:rPr>
          <w:rFonts w:cs="Times New Roman"/>
          <w:lang w:val="en-GB"/>
        </w:rPr>
        <w:t xml:space="preserve">his box size has shown to be big enough to provide the correct CMC </w:t>
      </w:r>
      <w:r w:rsidRPr="004C1D1A">
        <w:rPr>
          <w:rFonts w:cs="Times New Roman"/>
          <w:lang w:val="en-GB"/>
        </w:rPr>
        <w:fldChar w:fldCharType="begin" w:fldLock="1"/>
      </w:r>
      <w:r>
        <w:rPr>
          <w:rFonts w:cs="Times New Roman"/>
          <w:lang w:val="en-GB"/>
        </w:rPr>
        <w:instrText>ADDIN CSL_CITATION {"citationItems":[{"id":"ITEM-1","itemData":{"DOI":"10.1021/acs.jctc.8b00075","ISBN":"0870949837","ISSN":"15499626","abstract":"We use dissipative particle dynamics (DPD) to study micelle formation in alkyl sulfate surfactants, with alkyl chain lengths ranging from 6 to 12 carbon atoms. We extend our recent DPD force field [ J. Chem. Phys. 2017, 147, 094503] to include a charged sulfate chemical group and aqueous sodium ions. With this model, we achieve good agreement with the experimentally reported critical micelle concentrations (CMCs) and can match the trend in mean aggregation numbers versus alkyl chain length. We determine the CMC by fitting a charged pseudophase model to the dependence of the free surfactant on the total surfactant concentration above the CMC and compare it with a direct operational definition of the CMC as the point at which half of the surfactant is classed as micellar and half as monomers and submicellar aggregates. We find that the latter provides the best agreement with experimental results. Finally, with the same model, we are able to observe the sphere-to-rod morphological transition for sodium dodec...","author":[{"dropping-particle":"","family":"Anderson","given":"Richard L.","non-dropping-particle":"","parse-names":false,"suffix":""},{"dropping-particle":"","family":"Bray","given":"David J.","non-dropping-particle":"","parse-names":false,"suffix":""},{"dropping-particle":"","family":"Regno","given":"Annalaura","non-dropping-particle":"Del","parse-names":false,"suffix":""},{"dropping-particle":"","family":"Seaton","given":"Michael A.","non-dropping-particle":"","parse-names":false,"suffix":""},{"dropping-particle":"","family":"Ferrante","given":"Andrea S.","non-dropping-particle":"","parse-names":false,"suffix":""},{"dropping-particle":"","family":"Warren","given":"Patrick B.","non-dropping-particle":"","parse-names":false,"suffix":""}],"container-title":"Journal of Chemical Theory and Computation","id":"ITEM-1","issue":"5","issued":{"date-parts":[["2018"]]},"page":"2633-2643","title":"Micelle Formation in Alkyl Sulfate Surfactants Using Dissipative Particle Dynamics","type":"article-journal","volume":"14"},"uris":["http://www.mendeley.com/documents/?uuid=555aa51f-d85b-4f3d-8fc2-c5ff98da7e60"]}],"mendeley":{"formattedCitation":"[39]","plainTextFormattedCitation":"[39]","previouslyFormattedCitation":"[39]"},"properties":{"noteIndex":0},"schema":"https://github.com/citation-style-language/schema/raw/master/csl-citation.json"}</w:instrText>
      </w:r>
      <w:r w:rsidRPr="004C1D1A">
        <w:rPr>
          <w:rFonts w:cs="Times New Roman"/>
          <w:lang w:val="en-GB"/>
        </w:rPr>
        <w:fldChar w:fldCharType="separate"/>
      </w:r>
      <w:r w:rsidRPr="00B93E47">
        <w:rPr>
          <w:rFonts w:cs="Times New Roman"/>
          <w:noProof/>
          <w:lang w:val="en-GB"/>
        </w:rPr>
        <w:t>[39]</w:t>
      </w:r>
      <w:r w:rsidRPr="004C1D1A">
        <w:rPr>
          <w:rFonts w:cs="Times New Roman"/>
          <w:lang w:val="en-GB"/>
        </w:rPr>
        <w:fldChar w:fldCharType="end"/>
      </w:r>
      <w:r>
        <w:rPr>
          <w:rFonts w:cs="Times New Roman"/>
          <w:lang w:val="en-GB"/>
        </w:rPr>
        <w:t>. Throughout the study we explore multiple concentrations of surfactant. When</w:t>
      </w:r>
      <w:r w:rsidRPr="004C1D1A">
        <w:rPr>
          <w:rFonts w:cs="Times New Roman"/>
          <w:lang w:val="en-GB"/>
        </w:rPr>
        <w:t xml:space="preserve"> 10% of the total number of particles were SLES</w:t>
      </w:r>
      <w:r w:rsidRPr="004C1D1A">
        <w:rPr>
          <w:rFonts w:cs="Times New Roman"/>
          <w:vertAlign w:val="subscript"/>
          <w:lang w:val="en-GB"/>
        </w:rPr>
        <w:t>1</w:t>
      </w:r>
      <w:r w:rsidRPr="004C1D1A">
        <w:rPr>
          <w:rFonts w:cs="Times New Roman"/>
          <w:lang w:val="en-GB"/>
        </w:rPr>
        <w:t xml:space="preserve">EO beads then </w:t>
      </w:r>
      <m:oMath>
        <m:r>
          <w:rPr>
            <w:rFonts w:ascii="Cambria Math" w:hAnsi="Cambria Math" w:cs="Times New Roman"/>
            <w:lang w:val="en-GB"/>
          </w:rPr>
          <m:t>c=0.100</m:t>
        </m:r>
      </m:oMath>
      <w:r w:rsidRPr="004C1D1A">
        <w:rPr>
          <w:rFonts w:cs="Times New Roman"/>
          <w:i/>
          <w:lang w:val="en-GB"/>
        </w:rPr>
        <w:t>.</w:t>
      </w:r>
      <w:r w:rsidRPr="004C1D1A">
        <w:rPr>
          <w:rFonts w:cs="Times New Roman"/>
          <w:lang w:val="en-GB"/>
        </w:rPr>
        <w:t xml:space="preserve"> More concentrations were also investigated, </w:t>
      </w:r>
      <w:r w:rsidRPr="004C1D1A">
        <w:rPr>
          <w:rFonts w:cs="Times New Roman"/>
          <w:i/>
          <w:lang w:val="en-GB"/>
        </w:rPr>
        <w:t xml:space="preserve">i.e. </w:t>
      </w:r>
      <m:oMath>
        <m:r>
          <w:rPr>
            <w:rFonts w:ascii="Cambria Math" w:hAnsi="Cambria Math" w:cs="Times New Roman"/>
            <w:lang w:val="en-GB"/>
          </w:rPr>
          <m:t>c=0.020, 0.050, 0.130, 0.150, 0.180, 0.200</m:t>
        </m:r>
      </m:oMath>
      <w:r w:rsidRPr="004C1D1A">
        <w:rPr>
          <w:rFonts w:cs="Times New Roman"/>
          <w:lang w:val="en-GB"/>
        </w:rPr>
        <w:t xml:space="preserve">, so that </w:t>
      </w:r>
      <w:r>
        <w:rPr>
          <w:rFonts w:cs="Times New Roman"/>
          <w:lang w:val="en-GB"/>
        </w:rPr>
        <w:t>a detailed</w:t>
      </w:r>
      <w:r w:rsidRPr="004C1D1A">
        <w:rPr>
          <w:rFonts w:cs="Times New Roman"/>
          <w:lang w:val="en-GB"/>
        </w:rPr>
        <w:t xml:space="preserve"> phase diagram </w:t>
      </w:r>
      <w:r>
        <w:rPr>
          <w:rFonts w:cs="Times New Roman"/>
          <w:lang w:val="en-GB"/>
        </w:rPr>
        <w:t>can be constructed</w:t>
      </w:r>
      <w:r w:rsidRPr="004C1D1A">
        <w:rPr>
          <w:rFonts w:cs="Times New Roman"/>
          <w:lang w:val="en-GB"/>
        </w:rPr>
        <w:t xml:space="preserve">. </w:t>
      </w:r>
    </w:p>
    <w:p w:rsidR="004833BB" w:rsidRPr="00660B0F" w:rsidRDefault="004833BB" w:rsidP="004833BB">
      <w:pPr>
        <w:ind w:firstLine="720"/>
        <w:jc w:val="both"/>
        <w:rPr>
          <w:rFonts w:cs="Times New Roman"/>
          <w:i/>
          <w:lang w:val="en-GB"/>
        </w:rPr>
      </w:pPr>
      <w:r w:rsidRPr="004833BB">
        <w:rPr>
          <w:rFonts w:cs="Times New Roman"/>
          <w:lang w:val="en-GB"/>
        </w:rPr>
        <w:t xml:space="preserve">The use of reduced units is common in DPD simulations. Correspondingly, the mass of a water bead is usually taken as the reference mass and the masses of the rest beads are reported with respect to the reference mass. In this model all the masses are approximated as equivalent to that of a water bead </w:t>
      </w:r>
      <w:r w:rsidRPr="004833BB">
        <w:rPr>
          <w:rFonts w:cs="Times New Roman"/>
          <w:i/>
          <w:lang w:val="en-GB"/>
        </w:rPr>
        <w:t>i.e.</w:t>
      </w:r>
      <w:r w:rsidRPr="004833BB">
        <w:rPr>
          <w:rFonts w:cs="Times New Roman"/>
          <w:lang w:val="en-GB"/>
        </w:rPr>
        <w:t xml:space="preserve"> </w:t>
      </w:r>
      <w:r w:rsidRPr="004833BB">
        <w:rPr>
          <w:rFonts w:cs="Times New Roman"/>
          <w:i/>
          <w:lang w:val="en-GB"/>
        </w:rPr>
        <w:t>M</w:t>
      </w:r>
      <w:r w:rsidRPr="004833BB">
        <w:rPr>
          <w:rFonts w:cs="Times New Roman"/>
          <w:lang w:val="en-GB"/>
        </w:rPr>
        <w:t xml:space="preserve"> = 1 </w:t>
      </w:r>
      <w:r w:rsidRPr="004833BB">
        <w:rPr>
          <w:rFonts w:cs="Times New Roman"/>
          <w:i/>
          <w:lang w:val="en-GB"/>
        </w:rPr>
        <w:t>DPD</w:t>
      </w:r>
      <w:r w:rsidRPr="004833BB">
        <w:rPr>
          <w:rFonts w:cs="Times New Roman"/>
          <w:lang w:val="en-GB"/>
        </w:rPr>
        <w:t xml:space="preserve"> </w:t>
      </w:r>
      <w:r w:rsidRPr="004833BB">
        <w:rPr>
          <w:rFonts w:cs="Times New Roman"/>
          <w:i/>
          <w:lang w:val="en-GB"/>
        </w:rPr>
        <w:t xml:space="preserve">mass units </w:t>
      </w:r>
      <w:r w:rsidRPr="004833BB">
        <w:rPr>
          <w:rFonts w:cs="Times New Roman"/>
          <w:lang w:val="en-GB"/>
        </w:rPr>
        <w:t>for all particles</w:t>
      </w:r>
      <w:r w:rsidRPr="004833BB">
        <w:rPr>
          <w:rFonts w:cs="Times New Roman"/>
          <w:i/>
          <w:lang w:val="en-GB"/>
        </w:rPr>
        <w:t xml:space="preserve">. </w:t>
      </w:r>
      <w:r w:rsidRPr="004833BB">
        <w:rPr>
          <w:rFonts w:cs="Times New Roman"/>
          <w:lang w:val="en-GB"/>
        </w:rPr>
        <w:t xml:space="preserve">This is a common approximation in DPD simulations for computational efficiency </w:t>
      </w:r>
      <w:r w:rsidRPr="004833BB">
        <w:rPr>
          <w:rFonts w:cs="Times New Roman"/>
          <w:lang w:val="en-GB"/>
        </w:rPr>
        <w:fldChar w:fldCharType="begin" w:fldLock="1"/>
      </w:r>
      <w:r w:rsidRPr="004833BB">
        <w:rPr>
          <w:rFonts w:cs="Times New Roman"/>
          <w:lang w:val="en-GB"/>
        </w:rPr>
        <w:instrText>ADDIN CSL_CITATION {"citationItems":[{"id":"ITEM-1","itemData":{"DOI":"10.1016/S0006-3495(01)75737-2","ISBN":"0006-3495","ISSN":"00063495","PMID":"11463621","abstract":"A new simulation method, dissipative particle dynamics, is applied to model biological membranes. In this method, several atoms are united into a single simulation particle. The solubility and compressibility of the various liquid components are reproduced by the simulation model. When applied to a bilayer of phosphatidylethanolamine, the membrane structure obtained matches quantitatively with full atomistic simulations and with experiments reported in the literature. The method is applied to investigate the cause of cell death when bacteria are exposed to nonionic surfactants. Mixed bilayers of lipid and nonionic surfactant were studied, and the diffusion of water through the bilayer was monitored. Small transient holes are seen to appear at 40% mole-fraction C(9)E(8), which become permanent holes between 60 and 70% surfactant. When C(12)E(6) is applied, permanent holes only arise at 90% mole-fraction surfactant. Some simulations have been carried out to determine the rupture properties of mixed bilayers of phosphatidylethanolamine and C(12)E(6). These simulations indicate that the area of a pure lipid bilayer can be increased by a factor 2. The inclusion of surfactant considerably reduces both the extensibility and the maximum stress that the bilayer can withstand. This may explain why dividing cells are more at risk than static cells.","author":[{"dropping-particle":"","family":"Groot","given":"R D","non-dropping-particle":"","parse-names":false,"suffix":""},{"dropping-particle":"","family":"Rabone","given":"K L","non-dropping-particle":"","parse-names":false,"suffix":""}],"container-title":"Biophysical journal","id":"ITEM-1","issue":"2","issued":{"date-parts":[["2001"]]},"page":"725-736","publisher":"Elsevier","title":"Mesoscopic simulation of cell membrane damage, morphology change and rupture by nonionic surfactants.","type":"article-journal","volume":"81"},"uris":["http://www.mendeley.com/documents/?uuid=1615f5de-9bc9-49d9-b5eb-beb8fdbc50da"]}],"mendeley":{"formattedCitation":"[47]","plainTextFormattedCitation":"[47]"},"properties":{"noteIndex":0},"schema":"https://github.com/citation-style-language/schema/raw/master/csl-citation.json"}</w:instrText>
      </w:r>
      <w:r w:rsidRPr="004833BB">
        <w:rPr>
          <w:rFonts w:cs="Times New Roman"/>
          <w:lang w:val="en-GB"/>
        </w:rPr>
        <w:fldChar w:fldCharType="separate"/>
      </w:r>
      <w:r w:rsidRPr="004833BB">
        <w:rPr>
          <w:rFonts w:cs="Times New Roman"/>
          <w:noProof/>
          <w:lang w:val="en-GB"/>
        </w:rPr>
        <w:t>[47]</w:t>
      </w:r>
      <w:r w:rsidRPr="004833BB">
        <w:rPr>
          <w:rFonts w:cs="Times New Roman"/>
          <w:lang w:val="en-GB"/>
        </w:rPr>
        <w:fldChar w:fldCharType="end"/>
      </w:r>
      <w:r w:rsidRPr="004833BB">
        <w:rPr>
          <w:rFonts w:cs="Times New Roman"/>
          <w:lang w:val="en-GB"/>
        </w:rPr>
        <w:t>. The</w:t>
      </w:r>
      <w:r w:rsidRPr="004833BB">
        <w:rPr>
          <w:rFonts w:cs="Times New Roman"/>
          <w:i/>
          <w:lang w:val="en-GB"/>
        </w:rPr>
        <w:t xml:space="preserve"> </w:t>
      </w:r>
      <w:r w:rsidRPr="004833BB">
        <w:rPr>
          <w:rFonts w:cs="Times New Roman"/>
          <w:lang w:val="en-GB"/>
        </w:rPr>
        <w:t xml:space="preserve">thermal energy was set to </w:t>
      </w:r>
      <w:r w:rsidRPr="004833BB">
        <w:rPr>
          <w:rFonts w:cs="Times New Roman"/>
          <w:i/>
          <w:lang w:val="en-GB"/>
        </w:rPr>
        <w:t>k</w:t>
      </w:r>
      <w:r w:rsidRPr="004833BB">
        <w:rPr>
          <w:rFonts w:cs="Times New Roman"/>
          <w:i/>
          <w:vertAlign w:val="subscript"/>
          <w:lang w:val="en-GB"/>
        </w:rPr>
        <w:t>B</w:t>
      </w:r>
      <w:r w:rsidRPr="004833BB">
        <w:rPr>
          <w:rFonts w:cs="Times New Roman"/>
          <w:i/>
          <w:lang w:val="en-GB"/>
        </w:rPr>
        <w:t>T</w:t>
      </w:r>
      <w:r w:rsidRPr="004833BB">
        <w:rPr>
          <w:rFonts w:cs="Times New Roman"/>
          <w:lang w:val="en-GB"/>
        </w:rPr>
        <w:t xml:space="preserve"> = 1 </w:t>
      </w:r>
      <w:r w:rsidRPr="004833BB">
        <w:rPr>
          <w:rFonts w:cs="Times New Roman"/>
          <w:i/>
          <w:lang w:val="en-GB"/>
        </w:rPr>
        <w:t>DPD</w:t>
      </w:r>
      <w:r w:rsidRPr="004833BB">
        <w:rPr>
          <w:rFonts w:cs="Times New Roman"/>
          <w:lang w:val="en-GB"/>
        </w:rPr>
        <w:t xml:space="preserve"> </w:t>
      </w:r>
      <w:r w:rsidRPr="004833BB">
        <w:rPr>
          <w:rFonts w:cs="Times New Roman"/>
          <w:i/>
          <w:lang w:val="en-GB"/>
        </w:rPr>
        <w:t xml:space="preserve">energy units </w:t>
      </w:r>
      <w:r w:rsidRPr="004833BB">
        <w:rPr>
          <w:rFonts w:cs="Times New Roman"/>
          <w:lang w:val="en-GB"/>
        </w:rPr>
        <w:t xml:space="preserve">with </w:t>
      </w:r>
      <w:r w:rsidRPr="004833BB">
        <w:rPr>
          <w:rFonts w:cs="Times New Roman"/>
          <w:i/>
          <w:lang w:val="en-GB"/>
        </w:rPr>
        <w:t>T</w:t>
      </w:r>
      <w:r w:rsidRPr="004833BB">
        <w:rPr>
          <w:rFonts w:cs="Times New Roman"/>
          <w:lang w:val="en-GB"/>
        </w:rPr>
        <w:t xml:space="preserve"> = 298.15 </w:t>
      </w:r>
      <w:r w:rsidRPr="004833BB">
        <w:rPr>
          <w:rFonts w:cs="Times New Roman"/>
          <w:i/>
          <w:lang w:val="en-GB"/>
        </w:rPr>
        <w:t>K</w:t>
      </w:r>
      <w:r w:rsidRPr="004833BB">
        <w:rPr>
          <w:rFonts w:cs="Times New Roman"/>
          <w:lang w:val="en-GB"/>
        </w:rPr>
        <w:t>.</w:t>
      </w:r>
      <w:r w:rsidRPr="004C1D1A">
        <w:rPr>
          <w:rFonts w:cs="Times New Roman"/>
          <w:lang w:val="en-GB"/>
        </w:rPr>
        <w:t xml:space="preserve"> In </w:t>
      </w:r>
      <w:r>
        <w:rPr>
          <w:rFonts w:cs="Times New Roman"/>
          <w:lang w:val="en-GB"/>
        </w:rPr>
        <w:t xml:space="preserve">reference </w:t>
      </w:r>
      <w:r>
        <w:rPr>
          <w:rFonts w:cs="Times New Roman"/>
          <w:lang w:val="en-GB"/>
        </w:rPr>
        <w:fldChar w:fldCharType="begin" w:fldLock="1"/>
      </w:r>
      <w:r>
        <w:rPr>
          <w:rFonts w:cs="Times New Roman"/>
          <w:lang w:val="en-GB"/>
        </w:rPr>
        <w:instrText>ADDIN CSL_CITATION {"citationItems":[{"id":"ITEM-1","itemData":{"DOI":"10.1063/1.4992111","ISSN":"00219606","abstract":"We present a systematic, top-down, thermodynamic parametrization scheme for dissipative particle dynamics (DPD) using water-octanol partition coefficients, supplemented by water-octanol phase equilibria and pure liquid phase density data. We demonstrate the feasibility of computing the required partition coefficients in DPD using brute-force simulation, within an adaptive semi-automatic staged optimization scheme. We test the methodology by fitting to experimental partition coefficient data for twenty one small molecules in five classes comprising alcohols and poly-alcohols, amines, ethers and simple aromatics, and alkanes (i.e. hexane). Finally, we illustrate the transferability of a subset of the determined parameters by calculating the critical micelle concentrations of selected alkyl ethoxylate surfactants, in good agreement with reported experimental values.","author":[{"dropping-particle":"","family":"Anderson","given":"Richard L.","non-dropping-particle":"","parse-names":false,"suffix":""},{"dropping-particle":"","family":"Bray","given":"David J.","non-dropping-particle":"","parse-names":false,"suffix":""},{"dropping-particle":"","family":"Ferrante","given":"Andrea S.","non-dropping-particle":"","parse-names":false,"suffix":""},{"dropping-particle":"","family":"Noro","given":"Massimo G.","non-dropping-particle":"","parse-names":false,"suffix":""},{"dropping-particle":"","family":"Stott","given":"Ian P.","non-dropping-particle":"","parse-names":false,"suffix":""},{"dropping-particle":"","family":"Warren","given":"Patrick B.","non-dropping-particle":"","parse-names":false,"suffix":""}],"container-title":"Journal of Chemical Physics","id":"ITEM-1","issue":"9","issued":{"date-parts":[["2017"]]},"page":"094503","title":"Dissipative particle dynamics: Systematic parametrization using water-octanol partition coefficients","type":"article-journal","volume":"147"},"uris":["http://www.mendeley.com/documents/?uuid=fd92283b-6bf5-4739-8f9b-8dfac820f4d1"]}],"mendeley":{"formattedCitation":"[38]","plainTextFormattedCitation":"[38]","previouslyFormattedCitation":"[38]"},"properties":{"noteIndex":0},"schema":"https://github.com/citation-style-language/schema/raw/master/csl-citation.json"}</w:instrText>
      </w:r>
      <w:r>
        <w:rPr>
          <w:rFonts w:cs="Times New Roman"/>
          <w:lang w:val="en-GB"/>
        </w:rPr>
        <w:fldChar w:fldCharType="separate"/>
      </w:r>
      <w:r w:rsidRPr="0055215B">
        <w:rPr>
          <w:rFonts w:cs="Times New Roman"/>
          <w:noProof/>
          <w:lang w:val="en-GB"/>
        </w:rPr>
        <w:t>[38]</w:t>
      </w:r>
      <w:r>
        <w:rPr>
          <w:rFonts w:cs="Times New Roman"/>
          <w:lang w:val="en-GB"/>
        </w:rPr>
        <w:fldChar w:fldCharType="end"/>
      </w:r>
      <w:r w:rsidRPr="004C1D1A">
        <w:rPr>
          <w:rFonts w:cs="Times New Roman"/>
          <w:lang w:val="en-GB"/>
        </w:rPr>
        <w:t xml:space="preserve"> the authors chose to separately specify</w:t>
      </w:r>
      <w:r>
        <w:rPr>
          <w:rFonts w:cs="Times New Roman"/>
          <w:lang w:val="en-GB"/>
        </w:rPr>
        <w:t xml:space="preserve"> the conservative coefficient</w:t>
      </w:r>
      <w:r w:rsidRPr="004C1D1A">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a</m:t>
            </m:r>
          </m:e>
          <m:sub>
            <m:r>
              <w:rPr>
                <w:rFonts w:ascii="Cambria Math" w:hAnsi="Cambria Math" w:cs="Times New Roman"/>
                <w:lang w:val="en-GB"/>
              </w:rPr>
              <m:t>ij</m:t>
            </m:r>
          </m:sub>
        </m:sSub>
      </m:oMath>
      <w:r w:rsidRPr="004C1D1A">
        <w:rPr>
          <w:rFonts w:cs="Times New Roman"/>
          <w:lang w:val="en-GB"/>
        </w:rPr>
        <w:t xml:space="preserve"> and </w:t>
      </w:r>
      <w:r>
        <w:rPr>
          <w:rFonts w:cs="Times New Roman"/>
          <w:lang w:val="en-GB"/>
        </w:rPr>
        <w:t xml:space="preserve">cut-offs </w:t>
      </w:r>
      <m:oMath>
        <m:sSubSup>
          <m:sSubSupPr>
            <m:ctrlPr>
              <w:rPr>
                <w:rFonts w:ascii="Cambria Math" w:hAnsi="Cambria Math" w:cs="Times New Roman"/>
                <w:i/>
                <w:lang w:val="en-GB"/>
              </w:rPr>
            </m:ctrlPr>
          </m:sSubSupPr>
          <m:e>
            <m:r>
              <w:rPr>
                <w:rFonts w:ascii="Cambria Math" w:hAnsi="Cambria Math" w:cs="Times New Roman"/>
                <w:lang w:val="en-GB"/>
              </w:rPr>
              <m:t>r</m:t>
            </m:r>
          </m:e>
          <m:sub>
            <m:r>
              <w:rPr>
                <w:rFonts w:ascii="Cambria Math" w:hAnsi="Cambria Math" w:cs="Times New Roman"/>
                <w:lang w:val="en-GB"/>
              </w:rPr>
              <m:t>c</m:t>
            </m:r>
          </m:sub>
          <m:sup>
            <m:r>
              <w:rPr>
                <w:rFonts w:ascii="Cambria Math" w:hAnsi="Cambria Math" w:cs="Times New Roman"/>
                <w:lang w:val="en-GB"/>
              </w:rPr>
              <m:t>ij</m:t>
            </m:r>
          </m:sup>
        </m:sSubSup>
      </m:oMath>
      <w:r>
        <w:rPr>
          <w:rFonts w:cs="Times New Roman"/>
          <w:lang w:val="en-GB"/>
        </w:rPr>
        <w:t xml:space="preserve"> </w:t>
      </w:r>
      <w:r w:rsidRPr="004C1D1A">
        <w:rPr>
          <w:rFonts w:cs="Times New Roman"/>
          <w:lang w:val="en-GB"/>
        </w:rPr>
        <w:t>ranging from 0.95</w:t>
      </w:r>
      <w:r>
        <w:rPr>
          <w:rFonts w:cs="Times New Roman"/>
          <w:lang w:val="en-GB"/>
        </w:rPr>
        <w:t>0</w:t>
      </w:r>
      <w:r w:rsidRPr="004C1D1A">
        <w:rPr>
          <w:rFonts w:cs="Times New Roman"/>
          <w:lang w:val="en-GB"/>
        </w:rPr>
        <w:t xml:space="preserve"> to 1.17</w:t>
      </w:r>
      <w:r>
        <w:rPr>
          <w:rFonts w:cs="Times New Roman"/>
          <w:lang w:val="en-GB"/>
        </w:rPr>
        <w:t>0</w:t>
      </w:r>
      <w:r w:rsidRPr="004C1D1A">
        <w:rPr>
          <w:rFonts w:cs="Times New Roman"/>
          <w:lang w:val="en-GB"/>
        </w:rPr>
        <w:t xml:space="preserve"> DPD units</w:t>
      </w:r>
      <w:r>
        <w:rPr>
          <w:rFonts w:cs="Times New Roman"/>
          <w:lang w:val="en-GB"/>
        </w:rPr>
        <w:t>. This reflects the chosen coarse-grained mapping and relative molar volume of the constituent atoms in each bead.</w:t>
      </w:r>
      <w:r w:rsidRPr="004C1D1A">
        <w:rPr>
          <w:rFonts w:cs="Times New Roman"/>
          <w:lang w:val="en-GB"/>
        </w:rPr>
        <w:t xml:space="preserve"> The conversion from DPD to real length units is done by multiplying length by 5.65 Å for this model </w:t>
      </w:r>
      <w:r w:rsidRPr="004C1D1A">
        <w:rPr>
          <w:rFonts w:cs="Times New Roman"/>
          <w:lang w:val="en-GB"/>
        </w:rPr>
        <w:fldChar w:fldCharType="begin" w:fldLock="1"/>
      </w:r>
      <w:r>
        <w:rPr>
          <w:rFonts w:cs="Times New Roman"/>
          <w:lang w:val="en-GB"/>
        </w:rPr>
        <w:instrText>ADDIN CSL_CITATION {"citationItems":[{"id":"ITEM-1","itemData":{"DOI":"10.1063/1.4992111","ISSN":"00219606","abstract":"We present a systematic, top-down, thermodynamic parametrization scheme for dissipative particle dynamics (DPD) using water-octanol partition coefficients, supplemented by water-octanol phase equilibria and pure liquid phase density data. We demonstrate the feasibility of computing the required partition coefficients in DPD using brute-force simulation, within an adaptive semi-automatic staged optimization scheme. We test the methodology by fitting to experimental partition coefficient data for twenty one small molecules in five classes comprising alcohols and poly-alcohols, amines, ethers and simple aromatics, and alkanes (i.e. hexane). Finally, we illustrate the transferability of a subset of the determined parameters by calculating the critical micelle concentrations of selected alkyl ethoxylate surfactants, in good agreement with reported experimental values.","author":[{"dropping-particle":"","family":"Anderson","given":"Richard L.","non-dropping-particle":"","parse-names":false,"suffix":""},{"dropping-particle":"","family":"Bray","given":"David J.","non-dropping-particle":"","parse-names":false,"suffix":""},{"dropping-particle":"","family":"Ferrante","given":"Andrea S.","non-dropping-particle":"","parse-names":false,"suffix":""},{"dropping-particle":"","family":"Noro","given":"Massimo G.","non-dropping-particle":"","parse-names":false,"suffix":""},{"dropping-particle":"","family":"Stott","given":"Ian P.","non-dropping-particle":"","parse-names":false,"suffix":""},{"dropping-particle":"","family":"Warren","given":"Patrick B.","non-dropping-particle":"","parse-names":false,"suffix":""}],"container-title":"Journal of Chemical Physics","id":"ITEM-1","issue":"9","issued":{"date-parts":[["2017"]]},"page":"094503","title":"Dissipative particle dynamics: Systematic parametrization using water-octanol partition coefficients","type":"article-journal","volume":"147"},"uris":["http://www.mendeley.com/documents/?uuid=fd92283b-6bf5-4739-8f9b-8dfac820f4d1"]}],"mendeley":{"formattedCitation":"[38]","plainTextFormattedCitation":"[38]","previouslyFormattedCitation":"[38]"},"properties":{"noteIndex":0},"schema":"https://github.com/citation-style-language/schema/raw/master/csl-citation.json"}</w:instrText>
      </w:r>
      <w:r w:rsidRPr="004C1D1A">
        <w:rPr>
          <w:rFonts w:cs="Times New Roman"/>
          <w:lang w:val="en-GB"/>
        </w:rPr>
        <w:fldChar w:fldCharType="separate"/>
      </w:r>
      <w:r w:rsidRPr="0055215B">
        <w:rPr>
          <w:rFonts w:cs="Times New Roman"/>
          <w:noProof/>
          <w:lang w:val="en-GB"/>
        </w:rPr>
        <w:t>[38]</w:t>
      </w:r>
      <w:r w:rsidRPr="004C1D1A">
        <w:rPr>
          <w:rFonts w:cs="Times New Roman"/>
          <w:lang w:val="en-GB"/>
        </w:rPr>
        <w:fldChar w:fldCharType="end"/>
      </w:r>
      <w:r w:rsidRPr="004C1D1A">
        <w:rPr>
          <w:rFonts w:cs="Times New Roman"/>
          <w:lang w:val="en-GB"/>
        </w:rPr>
        <w:t>.</w:t>
      </w:r>
    </w:p>
    <w:p w:rsidR="004833BB" w:rsidRPr="004C1D1A" w:rsidRDefault="004833BB" w:rsidP="004833BB">
      <w:pPr>
        <w:ind w:firstLine="576"/>
        <w:jc w:val="both"/>
        <w:rPr>
          <w:rFonts w:cs="Times New Roman"/>
          <w:lang w:val="en-GB"/>
        </w:rPr>
      </w:pPr>
    </w:p>
    <w:p w:rsidR="004833BB" w:rsidRPr="004C1D1A" w:rsidRDefault="004833BB" w:rsidP="004833BB">
      <w:pPr>
        <w:ind w:firstLine="576"/>
        <w:jc w:val="both"/>
        <w:rPr>
          <w:rFonts w:cs="Times New Roman"/>
          <w:lang w:val="en-GB"/>
        </w:rPr>
      </w:pPr>
    </w:p>
    <w:p w:rsidR="004833BB" w:rsidRPr="004C1D1A" w:rsidRDefault="004833BB" w:rsidP="004833BB">
      <w:pPr>
        <w:jc w:val="center"/>
        <w:rPr>
          <w:rFonts w:cs="Times New Roman"/>
          <w:noProof/>
          <w:lang w:val="en-GB" w:eastAsia="en-GB" w:bidi="ar-SA"/>
        </w:rPr>
      </w:pPr>
      <w:r>
        <w:rPr>
          <w:rFonts w:cs="Times New Roman"/>
          <w:noProof/>
          <w:lang w:val="en-GB" w:eastAsia="en-GB" w:bidi="ar-SA"/>
        </w:rPr>
        <w:drawing>
          <wp:inline distT="0" distB="0" distL="0" distR="0" wp14:anchorId="263FA21B" wp14:editId="723AB588">
            <wp:extent cx="3238805" cy="190561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805" cy="1905610"/>
                    </a:xfrm>
                    <a:prstGeom prst="rect">
                      <a:avLst/>
                    </a:prstGeom>
                  </pic:spPr>
                </pic:pic>
              </a:graphicData>
            </a:graphic>
          </wp:inline>
        </w:drawing>
      </w:r>
    </w:p>
    <w:p w:rsidR="004833BB" w:rsidRPr="004C1D1A" w:rsidRDefault="004833BB" w:rsidP="004833BB">
      <w:pPr>
        <w:jc w:val="both"/>
        <w:rPr>
          <w:rFonts w:cs="Times New Roman"/>
          <w:lang w:val="en-GB"/>
        </w:rPr>
      </w:pPr>
      <w:r w:rsidRPr="004C1D1A">
        <w:rPr>
          <w:rFonts w:cs="Times New Roman"/>
          <w:noProof/>
          <w:lang w:val="en-GB" w:eastAsia="en-GB" w:bidi="ar-SA"/>
        </w:rPr>
        <mc:AlternateContent>
          <mc:Choice Requires="wps">
            <w:drawing>
              <wp:anchor distT="0" distB="0" distL="114300" distR="114300" simplePos="0" relativeHeight="251659264" behindDoc="0" locked="0" layoutInCell="1" allowOverlap="1" wp14:anchorId="5153066F" wp14:editId="792ABD0B">
                <wp:simplePos x="0" y="0"/>
                <wp:positionH relativeFrom="column">
                  <wp:posOffset>16889</wp:posOffset>
                </wp:positionH>
                <wp:positionV relativeFrom="paragraph">
                  <wp:posOffset>142884</wp:posOffset>
                </wp:positionV>
                <wp:extent cx="6086475" cy="389890"/>
                <wp:effectExtent l="0" t="0" r="9525" b="0"/>
                <wp:wrapNone/>
                <wp:docPr id="1" name="Πλαίσιο κειμένου 1"/>
                <wp:cNvGraphicFramePr/>
                <a:graphic xmlns:a="http://schemas.openxmlformats.org/drawingml/2006/main">
                  <a:graphicData uri="http://schemas.microsoft.com/office/word/2010/wordprocessingShape">
                    <wps:wsp>
                      <wps:cNvSpPr txBox="1"/>
                      <wps:spPr>
                        <a:xfrm>
                          <a:off x="0" y="0"/>
                          <a:ext cx="6086475" cy="389890"/>
                        </a:xfrm>
                        <a:prstGeom prst="rect">
                          <a:avLst/>
                        </a:prstGeom>
                        <a:solidFill>
                          <a:prstClr val="white"/>
                        </a:solidFill>
                        <a:ln>
                          <a:noFill/>
                        </a:ln>
                        <a:effectLst/>
                      </wps:spPr>
                      <wps:txbx>
                        <w:txbxContent>
                          <w:p w:rsidR="004833BB" w:rsidRPr="00E076C6" w:rsidRDefault="004833BB" w:rsidP="004833BB">
                            <w:pPr>
                              <w:pStyle w:val="Caption"/>
                            </w:pPr>
                            <w:bookmarkStart w:id="3" w:name="_Ref511253"/>
                            <w:bookmarkStart w:id="4" w:name="_Toc12449928"/>
                            <w:r>
                              <w:t>Fig.</w:t>
                            </w:r>
                            <w:r w:rsidR="00A70B57">
                              <w:fldChar w:fldCharType="begin"/>
                            </w:r>
                            <w:r w:rsidR="00A70B57">
                              <w:instrText xml:space="preserve"> SEQ Figure \* ARABIC </w:instrText>
                            </w:r>
                            <w:r w:rsidR="00A70B57">
                              <w:fldChar w:fldCharType="separate"/>
                            </w:r>
                            <w:r>
                              <w:rPr>
                                <w:noProof/>
                              </w:rPr>
                              <w:t>1</w:t>
                            </w:r>
                            <w:r w:rsidR="00A70B57">
                              <w:rPr>
                                <w:noProof/>
                              </w:rPr>
                              <w:fldChar w:fldCharType="end"/>
                            </w:r>
                            <w:bookmarkEnd w:id="3"/>
                            <w:r w:rsidRPr="00E076C6">
                              <w:t xml:space="preserve">: </w:t>
                            </w:r>
                            <w:r>
                              <w:t xml:space="preserve">The </w:t>
                            </w:r>
                            <w:r w:rsidRPr="00E076C6">
                              <w:t>Sodium Laur</w:t>
                            </w:r>
                            <w:r>
                              <w:t>yl Ether</w:t>
                            </w:r>
                            <w:r w:rsidRPr="00E076C6">
                              <w:t xml:space="preserve"> Sulfate model</w:t>
                            </w:r>
                            <w:r>
                              <w:t xml:space="preserve"> adopted in this work. Each coloured circle signifies different DPD beads.  Blue for the alkyl chains, orange for the ethoxyl group, green is the sulphate bead and pink is the sodium cation.</w:t>
                            </w:r>
                            <w:bookmarkEnd w:id="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53066F" id="_x0000_t202" coordsize="21600,21600" o:spt="202" path="m,l,21600r21600,l21600,xe">
                <v:stroke joinstyle="miter"/>
                <v:path gradientshapeok="t" o:connecttype="rect"/>
              </v:shapetype>
              <v:shape id="Πλαίσιο κειμένου 1" o:spid="_x0000_s1026" type="#_x0000_t202" style="position:absolute;left:0;text-align:left;margin-left:1.35pt;margin-top:11.25pt;width:479.25pt;height:30.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" stroked="f">
                <v:textbox style="mso-fit-shape-to-text:t" inset="0,0,0,0">
                  <w:txbxContent>
                    <w:p w:rsidR="004833BB" w:rsidRPr="00E076C6" w:rsidRDefault="004833BB" w:rsidP="004833BB">
                      <w:pPr>
                        <w:pStyle w:val="Caption"/>
                      </w:pPr>
                      <w:bookmarkStart w:id="5" w:name="_Ref511253"/>
                      <w:bookmarkStart w:id="6" w:name="_Toc12449928"/>
                      <w:r>
                        <w:t>Fig.</w:t>
                      </w:r>
                      <w:r w:rsidR="00A70B57">
                        <w:fldChar w:fldCharType="begin"/>
                      </w:r>
                      <w:r w:rsidR="00A70B57">
                        <w:instrText xml:space="preserve"> SEQ Figure \* ARABIC </w:instrText>
                      </w:r>
                      <w:r w:rsidR="00A70B57">
                        <w:fldChar w:fldCharType="separate"/>
                      </w:r>
                      <w:r>
                        <w:rPr>
                          <w:noProof/>
                        </w:rPr>
                        <w:t>1</w:t>
                      </w:r>
                      <w:r w:rsidR="00A70B57">
                        <w:rPr>
                          <w:noProof/>
                        </w:rPr>
                        <w:fldChar w:fldCharType="end"/>
                      </w:r>
                      <w:bookmarkEnd w:id="5"/>
                      <w:r w:rsidRPr="00E076C6">
                        <w:t xml:space="preserve">: </w:t>
                      </w:r>
                      <w:r>
                        <w:t xml:space="preserve">The </w:t>
                      </w:r>
                      <w:r w:rsidRPr="00E076C6">
                        <w:t>Sodium Laur</w:t>
                      </w:r>
                      <w:r>
                        <w:t>yl Ether</w:t>
                      </w:r>
                      <w:r w:rsidRPr="00E076C6">
                        <w:t xml:space="preserve"> Sulfate model</w:t>
                      </w:r>
                      <w:r>
                        <w:t xml:space="preserve"> adopted in this work. Each coloured circle signifies different DPD beads.  Blue for the alkyl chains, orange for the ethoxyl group, green is the sulphate bead and pink is the sodium cation.</w:t>
                      </w:r>
                      <w:bookmarkEnd w:id="6"/>
                      <w:r>
                        <w:t xml:space="preserve"> </w:t>
                      </w:r>
                    </w:p>
                  </w:txbxContent>
                </v:textbox>
              </v:shape>
            </w:pict>
          </mc:Fallback>
        </mc:AlternateContent>
      </w:r>
    </w:p>
    <w:p w:rsidR="004833BB" w:rsidRPr="004C1D1A" w:rsidRDefault="004833BB" w:rsidP="004833BB">
      <w:pPr>
        <w:jc w:val="both"/>
        <w:rPr>
          <w:rFonts w:cs="Times New Roman"/>
          <w:lang w:val="en-GB"/>
        </w:rPr>
      </w:pPr>
    </w:p>
    <w:p w:rsidR="004833BB" w:rsidRPr="004C1D1A" w:rsidRDefault="004833BB" w:rsidP="004833BB">
      <w:pPr>
        <w:jc w:val="both"/>
        <w:rPr>
          <w:rFonts w:cs="Times New Roman"/>
          <w:szCs w:val="26"/>
          <w:lang w:val="en-GB"/>
        </w:rPr>
      </w:pPr>
    </w:p>
    <w:p w:rsidR="004833BB" w:rsidRPr="004C1D1A" w:rsidRDefault="004833BB" w:rsidP="004833BB">
      <w:pPr>
        <w:ind w:firstLine="576"/>
        <w:jc w:val="both"/>
        <w:rPr>
          <w:rFonts w:cs="Times New Roman"/>
          <w:szCs w:val="26"/>
          <w:lang w:val="en-GB"/>
        </w:rPr>
      </w:pPr>
    </w:p>
    <w:p w:rsidR="004833BB" w:rsidRPr="004C1D1A" w:rsidRDefault="004833BB" w:rsidP="004833BB">
      <w:pPr>
        <w:ind w:firstLine="576"/>
        <w:jc w:val="both"/>
        <w:rPr>
          <w:rFonts w:cs="Times New Roman"/>
          <w:szCs w:val="26"/>
          <w:lang w:val="en-GB"/>
        </w:rPr>
      </w:pPr>
      <w:r w:rsidRPr="004C1D1A">
        <w:rPr>
          <w:rFonts w:cs="Times New Roman"/>
          <w:szCs w:val="26"/>
          <w:lang w:val="en-GB"/>
        </w:rPr>
        <w:t xml:space="preserve">Initially the surfactants and solution beads were randomly placed into the simulation box. Afterwards, each system was equilibrated using velocity Verlet integration scheme </w:t>
      </w:r>
      <w:r w:rsidRPr="004C1D1A">
        <w:rPr>
          <w:rFonts w:cs="Times New Roman"/>
          <w:szCs w:val="26"/>
          <w:lang w:val="en-GB"/>
        </w:rPr>
        <w:fldChar w:fldCharType="begin" w:fldLock="1"/>
      </w:r>
      <w:r>
        <w:rPr>
          <w:rFonts w:cs="Times New Roman"/>
          <w:szCs w:val="26"/>
          <w:lang w:val="en-GB"/>
        </w:rPr>
        <w:instrText>ADDIN CSL_CITATION {"citationItems":[{"id":"ITEM-1","itemData":{"DOI":"10.1063/1.474784","ISBN":"0021-9606","ISSN":"00219606","abstract":"We critically review dissipative particle dynamics (DPD) as a mesoscopic simulation method. We have established useful parameter ranges for simulations, and have made a link between these parameters and χ -parameters in Flory-Huggins-type models. This is possible because the equation of state of the DPD fluid is essentially quadratic in density. This link opens the way to do large scale simulations, effectively describing millions of atoms, by firstly performing simulations of molecular fragments retaining all atomistic details to derive χ -parameters, then secondly using these results as input to a DPD simulation to study the formation of micelles, networks, mesophases and so forth. As an example application, we have calculated the interfacial tension σ between homopolymer melts as a function of χ and N and have found a universal scaling collapse when σ/ρk B Tχ 0.4 is plotted against χN for N&amp;gt;1 . We also discuss the use of DPD to simulate the dynamics of mesoscopic systems, and indicate a possible problem with the timescale separation between particle diffusion and momentum diffusion(viscosity).","author":[{"dropping-particle":"","family":"Groot","given":"Robert D.","non-dropping-particle":"","parse-names":false,"suffix":""},{"dropping-particle":"","family":"Warren","given":"Patrick B.","non-dropping-particle":"","parse-names":false,"suffix":""}],"container-title":"The Journal of Chemical Physics","id":"ITEM-1","issue":"11","issued":{"date-parts":[["1997"]]},"page":"4423","title":"Dissipative Particle Dynamics: Bridging the Gap between Atomistic and Mesoscopic Simulation","type":"article-journal","volume":"107"},"uris":["http://www.mendeley.com/documents/?uuid=fa154747-7cb2-4f5e-acc5-50470dcdfafe"]}],"mendeley":{"formattedCitation":"[37]","plainTextFormattedCitation":"[37]","previouslyFormattedCitation":"[37]"},"properties":{"noteIndex":0},"schema":"https://github.com/citation-style-language/schema/raw/master/csl-citation.json"}</w:instrText>
      </w:r>
      <w:r w:rsidRPr="004C1D1A">
        <w:rPr>
          <w:rFonts w:cs="Times New Roman"/>
          <w:szCs w:val="26"/>
          <w:lang w:val="en-GB"/>
        </w:rPr>
        <w:fldChar w:fldCharType="separate"/>
      </w:r>
      <w:r w:rsidRPr="00B93E47">
        <w:rPr>
          <w:rFonts w:cs="Times New Roman"/>
          <w:noProof/>
          <w:szCs w:val="26"/>
          <w:lang w:val="en-GB"/>
        </w:rPr>
        <w:t>[37]</w:t>
      </w:r>
      <w:r w:rsidRPr="004C1D1A">
        <w:rPr>
          <w:rFonts w:cs="Times New Roman"/>
          <w:szCs w:val="26"/>
          <w:lang w:val="en-GB"/>
        </w:rPr>
        <w:fldChar w:fldCharType="end"/>
      </w:r>
      <w:r w:rsidRPr="004C1D1A">
        <w:rPr>
          <w:rFonts w:cs="Times New Roman"/>
          <w:szCs w:val="26"/>
          <w:lang w:val="en-GB"/>
        </w:rPr>
        <w:t xml:space="preserve"> with timestep dt = 0.02</w:t>
      </w:r>
      <w:r>
        <w:rPr>
          <w:rFonts w:cs="Times New Roman"/>
          <w:szCs w:val="26"/>
          <w:lang w:val="en-GB"/>
        </w:rPr>
        <w:t>0</w:t>
      </w:r>
      <w:r w:rsidRPr="004C1D1A">
        <w:rPr>
          <w:rFonts w:cs="Times New Roman"/>
          <w:szCs w:val="26"/>
          <w:lang w:val="en-GB"/>
        </w:rPr>
        <w:t xml:space="preserve"> </w:t>
      </w:r>
      <w:r w:rsidRPr="004C1D1A">
        <w:rPr>
          <w:rFonts w:cs="Times New Roman"/>
          <w:i/>
          <w:szCs w:val="26"/>
          <w:lang w:val="en-GB"/>
        </w:rPr>
        <w:t>DPD time units</w:t>
      </w:r>
      <w:r w:rsidRPr="004C1D1A">
        <w:rPr>
          <w:rFonts w:cs="Times New Roman"/>
          <w:szCs w:val="26"/>
          <w:lang w:val="en-GB"/>
        </w:rPr>
        <w:t xml:space="preserve"> until the total number of micelles formed in the box converged to a constant value. There are two distinct self-assembly stages exhibited</w:t>
      </w:r>
      <w:r>
        <w:rPr>
          <w:rFonts w:cs="Times New Roman"/>
          <w:szCs w:val="26"/>
          <w:lang w:val="en-GB"/>
        </w:rPr>
        <w:t>, t</w:t>
      </w:r>
      <w:r w:rsidRPr="004C1D1A">
        <w:rPr>
          <w:rFonts w:cs="Times New Roman"/>
          <w:szCs w:val="26"/>
          <w:lang w:val="en-GB"/>
        </w:rPr>
        <w:t xml:space="preserve">he first stage is the </w:t>
      </w:r>
      <w:r>
        <w:rPr>
          <w:rFonts w:cs="Times New Roman"/>
          <w:szCs w:val="26"/>
          <w:lang w:val="en-GB"/>
        </w:rPr>
        <w:t>rapid</w:t>
      </w:r>
      <w:r w:rsidRPr="004C1D1A">
        <w:rPr>
          <w:rFonts w:cs="Times New Roman"/>
          <w:szCs w:val="26"/>
          <w:lang w:val="en-GB"/>
        </w:rPr>
        <w:t xml:space="preserve"> aggregation of surfactants into </w:t>
      </w:r>
      <w:r>
        <w:rPr>
          <w:rFonts w:cs="Times New Roman"/>
          <w:szCs w:val="26"/>
          <w:lang w:val="en-GB"/>
        </w:rPr>
        <w:t xml:space="preserve">small clusters or </w:t>
      </w:r>
      <w:r w:rsidRPr="004C1D1A">
        <w:rPr>
          <w:rFonts w:cs="Times New Roman"/>
          <w:szCs w:val="26"/>
          <w:lang w:val="en-GB"/>
        </w:rPr>
        <w:t xml:space="preserve">micelles after a few hundreds of timesteps. Once the first </w:t>
      </w:r>
      <w:r>
        <w:rPr>
          <w:rFonts w:cs="Times New Roman"/>
          <w:szCs w:val="26"/>
          <w:lang w:val="en-GB"/>
        </w:rPr>
        <w:t>stage</w:t>
      </w:r>
      <w:r w:rsidRPr="004C1D1A">
        <w:rPr>
          <w:rFonts w:cs="Times New Roman"/>
          <w:szCs w:val="26"/>
          <w:lang w:val="en-GB"/>
        </w:rPr>
        <w:t xml:space="preserve"> is achieved the micelles undergo </w:t>
      </w:r>
      <w:r>
        <w:rPr>
          <w:rFonts w:cs="Times New Roman"/>
          <w:szCs w:val="26"/>
          <w:lang w:val="en-GB"/>
        </w:rPr>
        <w:t>a</w:t>
      </w:r>
      <w:r w:rsidRPr="004C1D1A">
        <w:rPr>
          <w:rFonts w:cs="Times New Roman"/>
          <w:szCs w:val="26"/>
          <w:lang w:val="en-GB"/>
        </w:rPr>
        <w:t xml:space="preserve"> second</w:t>
      </w:r>
      <w:r>
        <w:rPr>
          <w:rFonts w:cs="Times New Roman"/>
          <w:szCs w:val="26"/>
          <w:lang w:val="en-GB"/>
        </w:rPr>
        <w:t xml:space="preserve"> slower</w:t>
      </w:r>
      <w:r w:rsidRPr="004C1D1A">
        <w:rPr>
          <w:rFonts w:cs="Times New Roman"/>
          <w:szCs w:val="26"/>
          <w:lang w:val="en-GB"/>
        </w:rPr>
        <w:t xml:space="preserve"> </w:t>
      </w:r>
      <w:r>
        <w:rPr>
          <w:rFonts w:cs="Times New Roman"/>
          <w:szCs w:val="26"/>
          <w:lang w:val="en-GB"/>
        </w:rPr>
        <w:t>stage</w:t>
      </w:r>
      <w:r w:rsidRPr="004C1D1A">
        <w:rPr>
          <w:rFonts w:cs="Times New Roman"/>
          <w:szCs w:val="26"/>
          <w:lang w:val="en-GB"/>
        </w:rPr>
        <w:t xml:space="preserve"> where the exchange of surfactants between them takes place. These two stages of self-assembly can be thought as equilibrium stages and the slowest one is taken into consideration when the thermodynamic equilibrium is checked. These two stages are visible in </w:t>
      </w:r>
      <w:r>
        <w:rPr>
          <w:rFonts w:cs="Times New Roman"/>
          <w:szCs w:val="26"/>
          <w:lang w:val="en-GB"/>
        </w:rPr>
        <w:t xml:space="preserve">the plot of average number of micelles </w:t>
      </w:r>
      <w:r w:rsidRPr="00794576">
        <w:rPr>
          <w:rFonts w:cs="Times New Roman"/>
          <w:i/>
          <w:szCs w:val="26"/>
          <w:lang w:val="en-GB"/>
        </w:rPr>
        <w:t>vs.</w:t>
      </w:r>
      <w:r>
        <w:rPr>
          <w:rFonts w:cs="Times New Roman"/>
          <w:szCs w:val="26"/>
          <w:lang w:val="en-GB"/>
        </w:rPr>
        <w:t xml:space="preserve"> time </w:t>
      </w:r>
      <w:r w:rsidRPr="004C1D1A">
        <w:rPr>
          <w:rFonts w:cs="Times New Roman"/>
          <w:szCs w:val="26"/>
          <w:lang w:val="en-GB"/>
        </w:rPr>
        <w:t xml:space="preserve">as in the first </w:t>
      </w:r>
      <m:oMath>
        <m:sSup>
          <m:sSupPr>
            <m:ctrlPr>
              <w:rPr>
                <w:rFonts w:ascii="Cambria Math" w:hAnsi="Cambria Math" w:cs="Times New Roman"/>
                <w:i/>
                <w:szCs w:val="26"/>
                <w:lang w:val="en-GB"/>
              </w:rPr>
            </m:ctrlPr>
          </m:sSupPr>
          <m:e>
            <m:r>
              <w:rPr>
                <w:rFonts w:ascii="Cambria Math" w:hAnsi="Cambria Math" w:cs="Times New Roman"/>
                <w:szCs w:val="26"/>
                <w:lang w:val="en-GB"/>
              </w:rPr>
              <m:t>10</m:t>
            </m:r>
          </m:e>
          <m:sup>
            <m:r>
              <w:rPr>
                <w:rFonts w:ascii="Cambria Math" w:hAnsi="Cambria Math" w:cs="Times New Roman"/>
                <w:szCs w:val="26"/>
                <w:lang w:val="en-GB"/>
              </w:rPr>
              <m:t>4</m:t>
            </m:r>
          </m:sup>
        </m:sSup>
      </m:oMath>
      <w:r w:rsidRPr="004C1D1A">
        <w:rPr>
          <w:rFonts w:cs="Times New Roman"/>
          <w:szCs w:val="26"/>
          <w:lang w:val="en-GB"/>
        </w:rPr>
        <w:t xml:space="preserve"> </w:t>
      </w:r>
      <w:r w:rsidRPr="004C1D1A">
        <w:rPr>
          <w:rFonts w:cs="Times New Roman"/>
          <w:i/>
          <w:szCs w:val="26"/>
          <w:lang w:val="en-GB"/>
        </w:rPr>
        <w:t xml:space="preserve">DPD time units </w:t>
      </w:r>
      <w:r w:rsidRPr="004C1D1A">
        <w:rPr>
          <w:rFonts w:cs="Times New Roman"/>
          <w:szCs w:val="26"/>
          <w:lang w:val="en-GB"/>
        </w:rPr>
        <w:t>the total number of micelles decreases because smaller</w:t>
      </w:r>
      <w:r w:rsidRPr="004C1D1A">
        <w:rPr>
          <w:rFonts w:cs="Times New Roman"/>
          <w:lang w:val="en-US"/>
        </w:rPr>
        <w:t xml:space="preserve"> aggregates gather into larger micelles</w:t>
      </w:r>
      <w:r w:rsidRPr="004C1D1A">
        <w:rPr>
          <w:rFonts w:cs="Times New Roman"/>
          <w:szCs w:val="26"/>
          <w:lang w:val="en-GB"/>
        </w:rPr>
        <w:t xml:space="preserve">. It is also evident that the system reaches equilibrium </w:t>
      </w:r>
      <w:r>
        <w:rPr>
          <w:rFonts w:cs="Times New Roman"/>
          <w:szCs w:val="26"/>
          <w:lang w:val="en-GB"/>
        </w:rPr>
        <w:t>more rapidly</w:t>
      </w:r>
      <w:r w:rsidRPr="004C1D1A">
        <w:rPr>
          <w:rFonts w:cs="Times New Roman"/>
          <w:szCs w:val="26"/>
          <w:lang w:val="en-GB"/>
        </w:rPr>
        <w:t xml:space="preserve"> at low salt concentrations</w:t>
      </w:r>
      <w:r>
        <w:rPr>
          <w:rFonts w:cs="Times New Roman"/>
          <w:szCs w:val="26"/>
          <w:lang w:val="en-GB"/>
        </w:rPr>
        <w:t xml:space="preserve"> (see Fig.S1 in supporting document)</w:t>
      </w:r>
      <w:r w:rsidRPr="004C1D1A">
        <w:rPr>
          <w:rFonts w:cs="Times New Roman"/>
          <w:szCs w:val="26"/>
          <w:lang w:val="en-GB"/>
        </w:rPr>
        <w:t>. Moreover, the total number of micelles in the system is smaller at higher salt concentrations indicating longer</w:t>
      </w:r>
      <w:r>
        <w:rPr>
          <w:rFonts w:cs="Times New Roman"/>
          <w:szCs w:val="26"/>
          <w:lang w:val="en-GB"/>
        </w:rPr>
        <w:t>/larger</w:t>
      </w:r>
      <w:r w:rsidRPr="004C1D1A">
        <w:rPr>
          <w:rFonts w:cs="Times New Roman"/>
          <w:szCs w:val="26"/>
          <w:lang w:val="en-GB"/>
        </w:rPr>
        <w:t xml:space="preserve"> aggregates. This happens </w:t>
      </w:r>
      <w:r>
        <w:rPr>
          <w:rFonts w:cs="Times New Roman"/>
          <w:szCs w:val="26"/>
          <w:lang w:val="en-GB"/>
        </w:rPr>
        <w:t>as the increased</w:t>
      </w:r>
      <w:r w:rsidRPr="004C1D1A">
        <w:rPr>
          <w:rFonts w:cs="Times New Roman"/>
          <w:szCs w:val="26"/>
          <w:lang w:val="en-GB"/>
        </w:rPr>
        <w:t xml:space="preserve"> salt in the system screens out the electrostatic interactions between the surfactants allowing them to pack closer.</w:t>
      </w:r>
    </w:p>
    <w:p w:rsidR="004833BB" w:rsidRPr="004C1D1A" w:rsidRDefault="004833BB" w:rsidP="004833BB">
      <w:pPr>
        <w:ind w:firstLine="576"/>
        <w:jc w:val="both"/>
        <w:rPr>
          <w:rFonts w:cs="Times New Roman"/>
          <w:szCs w:val="26"/>
          <w:lang w:val="en-GB"/>
        </w:rPr>
      </w:pPr>
      <w:r w:rsidRPr="004C1D1A">
        <w:rPr>
          <w:rFonts w:cs="Times New Roman"/>
          <w:szCs w:val="26"/>
          <w:lang w:val="en-GB"/>
        </w:rPr>
        <w:t xml:space="preserve">Once the system has reached equilibrium, the production run is started and </w:t>
      </w:r>
      <w:r>
        <w:rPr>
          <w:rFonts w:cs="Times New Roman"/>
          <w:szCs w:val="26"/>
          <w:lang w:val="en-GB"/>
        </w:rPr>
        <w:t>data collection commences</w:t>
      </w:r>
      <w:r w:rsidRPr="004C1D1A">
        <w:rPr>
          <w:rFonts w:cs="Times New Roman"/>
          <w:szCs w:val="26"/>
          <w:lang w:val="en-GB"/>
        </w:rPr>
        <w:t xml:space="preserve"> for further analysis. The production run</w:t>
      </w:r>
      <w:r>
        <w:rPr>
          <w:rFonts w:cs="Times New Roman"/>
          <w:szCs w:val="26"/>
          <w:lang w:val="en-GB"/>
        </w:rPr>
        <w:t>s</w:t>
      </w:r>
      <w:r w:rsidRPr="004C1D1A">
        <w:rPr>
          <w:rFonts w:cs="Times New Roman"/>
          <w:szCs w:val="26"/>
          <w:lang w:val="en-GB"/>
        </w:rPr>
        <w:t xml:space="preserve"> last </w:t>
      </w:r>
      <m:oMath>
        <m:r>
          <w:rPr>
            <w:rFonts w:ascii="Cambria Math" w:hAnsi="Cambria Math" w:cs="Times New Roman"/>
            <w:szCs w:val="26"/>
            <w:lang w:val="en-GB"/>
          </w:rPr>
          <m:t>4 ×</m:t>
        </m:r>
        <m:sSup>
          <m:sSupPr>
            <m:ctrlPr>
              <w:rPr>
                <w:rFonts w:ascii="Cambria Math" w:hAnsi="Cambria Math" w:cs="Times New Roman"/>
                <w:i/>
                <w:szCs w:val="26"/>
                <w:lang w:val="en-GB"/>
              </w:rPr>
            </m:ctrlPr>
          </m:sSupPr>
          <m:e>
            <m:r>
              <w:rPr>
                <w:rFonts w:ascii="Cambria Math" w:hAnsi="Cambria Math" w:cs="Times New Roman"/>
                <w:szCs w:val="26"/>
                <w:lang w:val="en-GB"/>
              </w:rPr>
              <m:t>10</m:t>
            </m:r>
          </m:e>
          <m:sup>
            <m:r>
              <w:rPr>
                <w:rFonts w:ascii="Cambria Math" w:hAnsi="Cambria Math" w:cs="Times New Roman"/>
                <w:szCs w:val="26"/>
                <w:lang w:val="en-GB"/>
              </w:rPr>
              <m:t>5</m:t>
            </m:r>
          </m:sup>
        </m:sSup>
      </m:oMath>
      <w:r w:rsidRPr="004C1D1A">
        <w:rPr>
          <w:rFonts w:cs="Times New Roman"/>
          <w:szCs w:val="26"/>
          <w:lang w:val="en-GB"/>
        </w:rPr>
        <w:t xml:space="preserve"> </w:t>
      </w:r>
      <w:r w:rsidRPr="004C1D1A">
        <w:rPr>
          <w:rFonts w:cs="Times New Roman"/>
          <w:i/>
          <w:szCs w:val="26"/>
          <w:lang w:val="en-GB"/>
        </w:rPr>
        <w:t>DPD time units</w:t>
      </w:r>
      <w:r w:rsidRPr="004C1D1A">
        <w:rPr>
          <w:rFonts w:cs="Times New Roman"/>
          <w:szCs w:val="26"/>
          <w:lang w:val="en-GB"/>
        </w:rPr>
        <w:t xml:space="preserve">, </w:t>
      </w:r>
      <w:r w:rsidRPr="004C1D1A">
        <w:rPr>
          <w:rFonts w:cs="Times New Roman"/>
          <w:i/>
          <w:szCs w:val="26"/>
          <w:lang w:val="en-GB"/>
        </w:rPr>
        <w:t>i.e.</w:t>
      </w:r>
      <w:r w:rsidRPr="004C1D1A">
        <w:rPr>
          <w:rFonts w:cs="Times New Roman"/>
          <w:szCs w:val="26"/>
          <w:lang w:val="en-GB"/>
        </w:rPr>
        <w:t xml:space="preserve"> 20 million timesteps</w:t>
      </w:r>
      <w:r w:rsidRPr="004C1D1A">
        <w:rPr>
          <w:rFonts w:cs="Times New Roman"/>
          <w:i/>
          <w:szCs w:val="26"/>
          <w:lang w:val="en-GB"/>
        </w:rPr>
        <w:t xml:space="preserve"> </w:t>
      </w:r>
      <w:r w:rsidRPr="004C1D1A">
        <w:rPr>
          <w:rFonts w:cs="Times New Roman"/>
          <w:szCs w:val="26"/>
          <w:lang w:val="en-GB"/>
        </w:rPr>
        <w:t xml:space="preserve">for the longest simulation time and </w:t>
      </w:r>
      <m:oMath>
        <m:sSup>
          <m:sSupPr>
            <m:ctrlPr>
              <w:rPr>
                <w:rFonts w:ascii="Cambria Math" w:hAnsi="Cambria Math" w:cs="Times New Roman"/>
                <w:i/>
                <w:szCs w:val="26"/>
                <w:lang w:val="en-GB"/>
              </w:rPr>
            </m:ctrlPr>
          </m:sSupPr>
          <m:e>
            <m:r>
              <w:rPr>
                <w:rFonts w:ascii="Cambria Math" w:hAnsi="Cambria Math" w:cs="Times New Roman"/>
                <w:szCs w:val="26"/>
                <w:lang w:val="en-GB"/>
              </w:rPr>
              <m:t>10</m:t>
            </m:r>
          </m:e>
          <m:sup>
            <m:r>
              <w:rPr>
                <w:rFonts w:ascii="Cambria Math" w:hAnsi="Cambria Math" w:cs="Times New Roman"/>
                <w:szCs w:val="26"/>
                <w:lang w:val="en-GB"/>
              </w:rPr>
              <m:t>5</m:t>
            </m:r>
          </m:sup>
        </m:sSup>
      </m:oMath>
      <w:r w:rsidRPr="004C1D1A">
        <w:rPr>
          <w:rFonts w:cs="Times New Roman"/>
          <w:szCs w:val="26"/>
          <w:lang w:val="en-GB"/>
        </w:rPr>
        <w:t xml:space="preserve"> </w:t>
      </w:r>
      <w:r w:rsidRPr="004C1D1A">
        <w:rPr>
          <w:rFonts w:cs="Times New Roman"/>
          <w:i/>
          <w:szCs w:val="26"/>
          <w:lang w:val="en-GB"/>
        </w:rPr>
        <w:t>DPD time units</w:t>
      </w:r>
      <w:r w:rsidRPr="004C1D1A">
        <w:rPr>
          <w:rFonts w:cs="Times New Roman"/>
          <w:szCs w:val="26"/>
          <w:lang w:val="en-GB"/>
        </w:rPr>
        <w:t xml:space="preserve">, </w:t>
      </w:r>
      <w:r w:rsidRPr="004C1D1A">
        <w:rPr>
          <w:rFonts w:cs="Times New Roman"/>
          <w:i/>
          <w:szCs w:val="26"/>
          <w:lang w:val="en-GB"/>
        </w:rPr>
        <w:t>i.e.</w:t>
      </w:r>
      <w:r w:rsidRPr="004C1D1A">
        <w:rPr>
          <w:rFonts w:cs="Times New Roman"/>
          <w:szCs w:val="26"/>
          <w:lang w:val="en-GB"/>
        </w:rPr>
        <w:t xml:space="preserve"> 5 million timesteps for the shortest analysis. The accumulation frequency in the trajectory runs is the same in both cases and is every 100 </w:t>
      </w:r>
      <w:r w:rsidRPr="004C1D1A">
        <w:rPr>
          <w:rFonts w:cs="Times New Roman"/>
          <w:i/>
          <w:szCs w:val="26"/>
          <w:lang w:val="en-GB"/>
        </w:rPr>
        <w:t>DPD time units</w:t>
      </w:r>
      <w:r w:rsidRPr="004C1D1A">
        <w:rPr>
          <w:rFonts w:cs="Times New Roman"/>
          <w:szCs w:val="26"/>
          <w:lang w:val="en-GB"/>
        </w:rPr>
        <w:t xml:space="preserve">. </w:t>
      </w:r>
    </w:p>
    <w:p w:rsidR="004833BB" w:rsidRPr="00042B1A" w:rsidRDefault="004833BB" w:rsidP="004833BB">
      <w:pPr>
        <w:jc w:val="both"/>
        <w:rPr>
          <w:rFonts w:cs="Times New Roman"/>
          <w:lang w:val="en-GB"/>
        </w:rPr>
      </w:pPr>
      <w:r w:rsidRPr="004C1D1A">
        <w:rPr>
          <w:rFonts w:cs="Times New Roman"/>
          <w:szCs w:val="26"/>
          <w:lang w:val="en-GB"/>
        </w:rPr>
        <w:t xml:space="preserve">At the end of the production period a cluster analysis that counted the total number of micelles per frame and provided details on the total number of surfactants </w:t>
      </w:r>
      <w:r>
        <w:rPr>
          <w:rFonts w:cs="Times New Roman"/>
          <w:szCs w:val="26"/>
          <w:lang w:val="en-GB"/>
        </w:rPr>
        <w:t>in</w:t>
      </w:r>
      <w:r w:rsidRPr="004C1D1A">
        <w:rPr>
          <w:rFonts w:cs="Times New Roman"/>
          <w:szCs w:val="26"/>
          <w:lang w:val="en-GB"/>
        </w:rPr>
        <w:t xml:space="preserve"> each micelle along with the position coordinates of them</w:t>
      </w:r>
      <w:r>
        <w:rPr>
          <w:rFonts w:cs="Times New Roman"/>
          <w:szCs w:val="26"/>
          <w:lang w:val="en-GB"/>
        </w:rPr>
        <w:t xml:space="preserve">, </w:t>
      </w:r>
      <w:r w:rsidRPr="004C1D1A">
        <w:rPr>
          <w:rFonts w:cs="Times New Roman"/>
          <w:szCs w:val="26"/>
          <w:lang w:val="en-GB"/>
        </w:rPr>
        <w:t>was performed over the whole trajectory. The cluster analysis was performed using UMMAP</w:t>
      </w:r>
      <w:r>
        <w:rPr>
          <w:rFonts w:cs="Times New Roman"/>
          <w:szCs w:val="26"/>
          <w:lang w:val="en-GB"/>
        </w:rPr>
        <w:t xml:space="preserve"> </w:t>
      </w:r>
      <w:r>
        <w:rPr>
          <w:rFonts w:cs="Times New Roman"/>
          <w:szCs w:val="26"/>
          <w:lang w:val="en-GB"/>
        </w:rPr>
        <w:fldChar w:fldCharType="begin" w:fldLock="1"/>
      </w:r>
      <w:r>
        <w:rPr>
          <w:rFonts w:cs="Times New Roman"/>
          <w:szCs w:val="26"/>
          <w:lang w:val="en-GB"/>
        </w:rPr>
        <w:instrText>ADDIN CSL_CITATION {"citationItems":[{"id":"ITEM-1","itemData":{"author":[{"dropping-particle":"","family":"Bray","given":"David J.","non-dropping-particle":"","parse-names":false,"suffix":""},{"dropping-particle":"","family":"Regno","given":"Annalaura","non-dropping-particle":"Del","parse-names":false,"suffix":""},{"dropping-particle":"","family":"Anderson","given":"Richard L.","non-dropping-particle":"","parse-names":false,"suffix":""}],"id":"ITEM-1","issued":{"date-parts":[["2019"]]},"title":"UMMAP- A statistical analysis software package for molecular modelling (in preparation)","type":"article-journal"},"uris":["http://www.mendeley.com/documents/?uuid=c9622df1-9247-4fab-b64f-33b9e2ff5b77"]}],"mendeley":{"formattedCitation":"[48]","plainTextFormattedCitation":"[48]","previouslyFormattedCitation":"[47]"},"properties":{"noteIndex":0},"schema":"https://github.com/citation-style-language/schema/raw/master/csl-citation.json"}</w:instrText>
      </w:r>
      <w:r>
        <w:rPr>
          <w:rFonts w:cs="Times New Roman"/>
          <w:szCs w:val="26"/>
          <w:lang w:val="en-GB"/>
        </w:rPr>
        <w:fldChar w:fldCharType="separate"/>
      </w:r>
      <w:r w:rsidRPr="00AE58EB">
        <w:rPr>
          <w:rFonts w:cs="Times New Roman"/>
          <w:noProof/>
          <w:szCs w:val="26"/>
          <w:lang w:val="en-GB"/>
        </w:rPr>
        <w:t>[48]</w:t>
      </w:r>
      <w:r>
        <w:rPr>
          <w:rFonts w:cs="Times New Roman"/>
          <w:szCs w:val="26"/>
          <w:lang w:val="en-GB"/>
        </w:rPr>
        <w:fldChar w:fldCharType="end"/>
      </w:r>
      <w:r w:rsidRPr="004C1D1A">
        <w:rPr>
          <w:rFonts w:cs="Times New Roman"/>
          <w:szCs w:val="26"/>
          <w:lang w:val="en-GB"/>
        </w:rPr>
        <w:t xml:space="preserve">, </w:t>
      </w:r>
      <w:r w:rsidRPr="004C1D1A">
        <w:rPr>
          <w:rFonts w:cs="Times New Roman"/>
          <w:lang w:val="en-GB"/>
        </w:rPr>
        <w:t>using neighbour lists for efficiency</w:t>
      </w:r>
      <w:r w:rsidRPr="004C1D1A">
        <w:rPr>
          <w:rFonts w:cs="Times New Roman"/>
          <w:szCs w:val="26"/>
          <w:lang w:val="en-GB"/>
        </w:rPr>
        <w:t xml:space="preserve">. The systems were inspected visually by creating images using the Visual Molecular Dynamics (VMD) package </w:t>
      </w:r>
      <w:r w:rsidRPr="004C1D1A">
        <w:rPr>
          <w:rFonts w:cs="Times New Roman"/>
          <w:szCs w:val="26"/>
          <w:lang w:val="en-GB"/>
        </w:rPr>
        <w:fldChar w:fldCharType="begin" w:fldLock="1"/>
      </w:r>
      <w:r>
        <w:rPr>
          <w:rFonts w:cs="Times New Roman"/>
          <w:szCs w:val="26"/>
          <w:lang w:val="en-GB"/>
        </w:rPr>
        <w:instrText>ADDIN CSL_CITATION {"citationItems":[{"id":"ITEM-1","itemData":{"DOI":"10.1016/0263-7855(96)00018-5","ISBN":"0263-7855","ISSN":"02637855","PMID":"8744570","abstract":"VMD is a mol. graphics program designed for the display and anal. of mol. assemblies, in particular, biopolymers such as proteins and nucleic acids. VMD can simultaneously display any no. of structures using a wide variety of rendering styles and coloring methods. Mols.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High-resoln. raster images of displayed mols. may be produced by generating input scripts for use by a no. of photorealistic image-rendering applications. VMD has also been expressly designed with the ability to animate mol. dynamics (MD) simulation trajectories, imported either from files or from a direct connection to a running MD simulation. VMD is the visualization component of MDScope, a set of tools for interactive problem solving in structural biol.,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 [on SciFinder(R)]","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Graphics","id":"ITEM-1","issue":"1","issued":{"date-parts":[["1996","2"]]},"page":"33-38","title":"VMD: Visual molecular dynamics","type":"article-journal","volume":"14"},"uris":["http://www.mendeley.com/documents/?uuid=8500dcc9-a7eb-4a26-8768-6955e4735e22"]}],"mendeley":{"formattedCitation":"[49]","plainTextFormattedCitation":"[49]","previouslyFormattedCitation":"[48]"},"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[49]</w:t>
      </w:r>
      <w:r w:rsidRPr="004C1D1A">
        <w:rPr>
          <w:rFonts w:cs="Times New Roman"/>
          <w:szCs w:val="26"/>
          <w:lang w:val="en-GB"/>
        </w:rPr>
        <w:fldChar w:fldCharType="end"/>
      </w:r>
      <w:r>
        <w:rPr>
          <w:rFonts w:cs="Times New Roman"/>
          <w:szCs w:val="26"/>
          <w:lang w:val="en-GB"/>
        </w:rPr>
        <w:t xml:space="preserve">. A list of all the simulations performed can be found in supporting document (Tables S1 – S3). </w:t>
      </w:r>
    </w:p>
    <w:p w:rsidR="004833BB" w:rsidRPr="004C1D1A" w:rsidRDefault="004833BB" w:rsidP="004833BB">
      <w:pPr>
        <w:ind w:firstLine="576"/>
        <w:jc w:val="center"/>
        <w:rPr>
          <w:rFonts w:cs="Times New Roman"/>
          <w:b/>
          <w:szCs w:val="26"/>
          <w:lang w:val="en-GB"/>
        </w:rPr>
      </w:pPr>
      <w:r w:rsidRPr="004C1D1A">
        <w:rPr>
          <w:rFonts w:cs="Times New Roman"/>
          <w:b/>
          <w:szCs w:val="26"/>
          <w:lang w:val="en-GB"/>
        </w:rPr>
        <w:t>2.3 Calculation of packing parameter</w:t>
      </w:r>
    </w:p>
    <w:p w:rsidR="004833BB" w:rsidRPr="004C1D1A" w:rsidRDefault="004833BB" w:rsidP="004833BB">
      <w:pPr>
        <w:ind w:firstLine="576"/>
        <w:jc w:val="center"/>
        <w:rPr>
          <w:rFonts w:cs="Times New Roman"/>
          <w:b/>
          <w:szCs w:val="26"/>
          <w:lang w:val="en-GB"/>
        </w:rPr>
      </w:pPr>
    </w:p>
    <w:p w:rsidR="004833BB" w:rsidRPr="004C1D1A" w:rsidRDefault="004833BB" w:rsidP="004833BB">
      <w:pPr>
        <w:ind w:firstLine="576"/>
        <w:jc w:val="both"/>
        <w:rPr>
          <w:rFonts w:cs="Times New Roman"/>
          <w:szCs w:val="26"/>
          <w:lang w:val="en-GB"/>
        </w:rPr>
      </w:pPr>
      <w:r w:rsidRPr="004C1D1A">
        <w:rPr>
          <w:rFonts w:cs="Times New Roman"/>
          <w:szCs w:val="26"/>
          <w:lang w:val="en-GB"/>
        </w:rPr>
        <w:t>One of the properties that are calculated in the post processing is the packing parameter (</w:t>
      </w:r>
      <w:r w:rsidRPr="007E5DC1">
        <w:rPr>
          <w:rFonts w:cs="Times New Roman"/>
          <w:i/>
          <w:szCs w:val="26"/>
          <w:lang w:val="en-GB"/>
        </w:rPr>
        <w:t>pp</w:t>
      </w:r>
      <w:r w:rsidRPr="004C1D1A">
        <w:rPr>
          <w:rFonts w:cs="Times New Roman"/>
          <w:szCs w:val="26"/>
          <w:lang w:val="en-GB"/>
        </w:rPr>
        <w:t>). In the current work we will follow the geometry-based approach introduced by Israelachvili that describes the aggregation of surfactants into different micell</w:t>
      </w:r>
      <w:r>
        <w:rPr>
          <w:rFonts w:cs="Times New Roman"/>
          <w:szCs w:val="26"/>
          <w:lang w:val="en-GB"/>
        </w:rPr>
        <w:t>ar geometries</w:t>
      </w:r>
      <w:r w:rsidRPr="004C1D1A">
        <w:rPr>
          <w:rFonts w:cs="Times New Roman"/>
          <w:szCs w:val="26"/>
          <w:lang w:val="en-GB"/>
        </w:rPr>
        <w:t xml:space="preserve"> </w:t>
      </w:r>
      <w:r w:rsidRPr="004C1D1A">
        <w:rPr>
          <w:rFonts w:cs="Times New Roman"/>
          <w:szCs w:val="26"/>
          <w:lang w:val="en-GB"/>
        </w:rPr>
        <w:fldChar w:fldCharType="begin" w:fldLock="1"/>
      </w:r>
      <w:r>
        <w:rPr>
          <w:rFonts w:cs="Times New Roman"/>
          <w:szCs w:val="26"/>
          <w:lang w:val="en-GB"/>
        </w:rPr>
        <w:instrText>ADDIN CSL_CITATION {"citationItems":[{"id":"ITEM-1","itemData":{"ISBN":"0-12-375181-0","author":[{"dropping-particle":"","family":"Jacob N. Israelachvili","given":"","non-dropping-particle":"","parse-names":false,"suffix":""}],"id":"ITEM-1","issued":{"date-parts":[["1991"]]},"publisher":"Academic press LTD","title":"Intermolecular and surface forces","type":"book"},"uris":["http://www.mendeley.com/documents/?uuid=3d6eba62-9619-46c3-8ac1-a559e22b82f8"]}],"mendeley":{"formattedCitation":"[50]","plainTextFormattedCitation":"[50]","previouslyFormattedCitation":"[49]"},"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[50]</w:t>
      </w:r>
      <w:r w:rsidRPr="004C1D1A">
        <w:rPr>
          <w:rFonts w:cs="Times New Roman"/>
          <w:szCs w:val="26"/>
          <w:lang w:val="en-GB"/>
        </w:rPr>
        <w:fldChar w:fldCharType="end"/>
      </w:r>
      <w:r w:rsidRPr="004C1D1A">
        <w:rPr>
          <w:rFonts w:cs="Times New Roman"/>
          <w:szCs w:val="26"/>
          <w:lang w:val="en-GB"/>
        </w:rPr>
        <w:t>. This dimensionless number is associated with the principal curvatures of the micell</w:t>
      </w:r>
      <w:r>
        <w:rPr>
          <w:rFonts w:cs="Times New Roman"/>
          <w:szCs w:val="26"/>
          <w:lang w:val="en-GB"/>
        </w:rPr>
        <w:t>ar surface and the alkyl chain</w:t>
      </w:r>
      <w:r w:rsidRPr="004C1D1A">
        <w:rPr>
          <w:rFonts w:cs="Times New Roman"/>
          <w:szCs w:val="26"/>
          <w:lang w:val="en-GB"/>
        </w:rPr>
        <w:t xml:space="preserve"> length of the surfactant.</w:t>
      </w:r>
    </w:p>
    <w:p w:rsidR="004833BB" w:rsidRPr="004C1D1A" w:rsidRDefault="004833BB" w:rsidP="004833BB">
      <w:pPr>
        <w:ind w:firstLine="720"/>
        <w:jc w:val="both"/>
        <w:rPr>
          <w:rFonts w:cs="Times New Roman"/>
          <w:szCs w:val="26"/>
          <w:lang w:val="en-GB"/>
        </w:rPr>
      </w:pPr>
      <w:r w:rsidRPr="004C1D1A">
        <w:rPr>
          <w:rFonts w:cs="Times New Roman"/>
          <w:szCs w:val="26"/>
          <w:lang w:val="en-GB"/>
        </w:rPr>
        <w:t xml:space="preserve">It is known from theory </w:t>
      </w:r>
      <w:r w:rsidRPr="004C1D1A">
        <w:rPr>
          <w:rFonts w:cs="Times New Roman"/>
          <w:szCs w:val="26"/>
          <w:lang w:val="en-GB"/>
        </w:rPr>
        <w:fldChar w:fldCharType="begin" w:fldLock="1"/>
      </w:r>
      <w:r>
        <w:rPr>
          <w:rFonts w:cs="Times New Roman"/>
          <w:szCs w:val="26"/>
          <w:lang w:val="en-GB"/>
        </w:rPr>
        <w:instrText>ADDIN CSL_CITATION {"citationItems":[{"id":"ITEM-1","itemData":{"ISBN":"0-12-375181-0","author":[{"dropping-particle":"","family":"Jacob N. Israelachvili","given":"","non-dropping-particle":"","parse-names":false,"suffix":""}],"id":"ITEM-1","issued":{"date-parts":[["1991"]]},"publisher":"Academic press LTD","title":"Intermolecular and surface forces","type":"book"},"uris":["http://www.mendeley.com/documents/?uuid=3d6eba62-9619-46c3-8ac1-a559e22b82f8"]}],"mendeley":{"formattedCitation":"[50]","plainTextFormattedCitation":"[50]","previouslyFormattedCitation":"[49]"},"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[50]</w:t>
      </w:r>
      <w:r w:rsidRPr="004C1D1A">
        <w:rPr>
          <w:rFonts w:cs="Times New Roman"/>
          <w:szCs w:val="26"/>
          <w:lang w:val="en-GB"/>
        </w:rPr>
        <w:fldChar w:fldCharType="end"/>
      </w:r>
      <w:r w:rsidRPr="004C1D1A">
        <w:rPr>
          <w:rFonts w:cs="Times New Roman"/>
          <w:szCs w:val="26"/>
          <w:lang w:val="en-GB"/>
        </w:rPr>
        <w:t xml:space="preserve"> that when 0 &lt; </w:t>
      </w:r>
      <w:r w:rsidRPr="007E5DC1">
        <w:rPr>
          <w:rFonts w:cs="Times New Roman"/>
          <w:i/>
          <w:szCs w:val="26"/>
          <w:lang w:val="en-GB"/>
        </w:rPr>
        <w:t>pp</w:t>
      </w:r>
      <w:r w:rsidRPr="004C1D1A">
        <w:rPr>
          <w:rFonts w:cs="Times New Roman"/>
          <w:szCs w:val="26"/>
          <w:lang w:val="en-GB"/>
        </w:rPr>
        <w:t xml:space="preserve"> &lt; 1/3 the geometry of the micelles is spherical, </w:t>
      </w:r>
      <w:r>
        <w:rPr>
          <w:rFonts w:cs="Times New Roman"/>
          <w:szCs w:val="26"/>
          <w:lang w:val="en-GB"/>
        </w:rPr>
        <w:t xml:space="preserve">whilst </w:t>
      </w:r>
      <w:r w:rsidRPr="004C1D1A">
        <w:rPr>
          <w:rFonts w:cs="Times New Roman"/>
          <w:szCs w:val="26"/>
          <w:lang w:val="en-GB"/>
        </w:rPr>
        <w:t xml:space="preserve">if 1/3 &lt; </w:t>
      </w:r>
      <w:r w:rsidRPr="007E5DC1">
        <w:rPr>
          <w:rFonts w:cs="Times New Roman"/>
          <w:i/>
          <w:szCs w:val="26"/>
          <w:lang w:val="en-GB"/>
        </w:rPr>
        <w:t>pp</w:t>
      </w:r>
      <w:r w:rsidRPr="004C1D1A">
        <w:rPr>
          <w:rFonts w:cs="Times New Roman"/>
          <w:szCs w:val="26"/>
          <w:lang w:val="en-GB"/>
        </w:rPr>
        <w:t xml:space="preserve"> &lt; 1/2 the mi</w:t>
      </w:r>
      <w:r>
        <w:rPr>
          <w:rFonts w:cs="Times New Roman"/>
          <w:szCs w:val="26"/>
          <w:lang w:val="en-GB"/>
        </w:rPr>
        <w:t>celles have rod or worm shape. A</w:t>
      </w:r>
      <w:r w:rsidRPr="004C1D1A">
        <w:rPr>
          <w:rFonts w:cs="Times New Roman"/>
          <w:szCs w:val="26"/>
          <w:lang w:val="en-GB"/>
        </w:rPr>
        <w:t xml:space="preserve">t </w:t>
      </w:r>
      <w:r w:rsidRPr="007E5DC1">
        <w:rPr>
          <w:rFonts w:cs="Times New Roman"/>
          <w:i/>
          <w:szCs w:val="26"/>
          <w:lang w:val="en-GB"/>
        </w:rPr>
        <w:t>pp</w:t>
      </w:r>
      <w:r w:rsidRPr="004C1D1A">
        <w:rPr>
          <w:rFonts w:cs="Times New Roman"/>
          <w:szCs w:val="26"/>
          <w:lang w:val="en-GB"/>
        </w:rPr>
        <w:t xml:space="preserve"> = 1/2 the shape is cylindrical and for values greater than 1/2 the observed structures have a vesicle shape, lamellar geometry or reverse micelle which are not observed in this work. </w:t>
      </w:r>
    </w:p>
    <w:p w:rsidR="004833BB" w:rsidRPr="004C1D1A" w:rsidRDefault="004833BB" w:rsidP="004833BB">
      <w:pPr>
        <w:ind w:firstLine="576"/>
        <w:jc w:val="both"/>
        <w:rPr>
          <w:rFonts w:cs="Times New Roman"/>
          <w:szCs w:val="26"/>
          <w:lang w:val="en-GB"/>
        </w:rPr>
      </w:pPr>
      <w:r w:rsidRPr="004C1D1A">
        <w:rPr>
          <w:rFonts w:cs="Times New Roman"/>
          <w:szCs w:val="26"/>
          <w:lang w:val="en-GB"/>
        </w:rPr>
        <w:t xml:space="preserve">For the purposes of this work the </w:t>
      </w:r>
      <w:r w:rsidRPr="007E5DC1">
        <w:rPr>
          <w:rFonts w:cs="Times New Roman"/>
          <w:i/>
          <w:szCs w:val="26"/>
          <w:lang w:val="en-GB"/>
        </w:rPr>
        <w:t>pp</w:t>
      </w:r>
      <w:r w:rsidRPr="004C1D1A">
        <w:rPr>
          <w:rFonts w:cs="Times New Roman"/>
          <w:szCs w:val="26"/>
          <w:lang w:val="en-GB"/>
        </w:rPr>
        <w:t xml:space="preserve"> is calculated in similar manner to ref. </w:t>
      </w:r>
      <w:r w:rsidRPr="004C1D1A">
        <w:rPr>
          <w:rFonts w:cs="Times New Roman"/>
          <w:szCs w:val="26"/>
          <w:lang w:val="en-GB"/>
        </w:rPr>
        <w:fldChar w:fldCharType="begin" w:fldLock="1"/>
      </w:r>
      <w:r>
        <w:rPr>
          <w:rFonts w:cs="Times New Roman"/>
          <w:szCs w:val="26"/>
          <w:lang w:val="en-GB"/>
        </w:rPr>
        <w:instrText>ADDIN CSL_CITATION {"citationItems":[{"id":"ITEM-1","itemData":{"DOI":"10.1063/1.4926422","ISSN":"00219606","PMID":"26178125","abstract":"We investigate the morphology and energetics of a self-associating model cationic surfactant in water using coarse-grained molecular dynamics simulations. We develop an algorithm to track micelles contours and quantify various microstructural features, such as contour length, persistence length, mesh size, and entanglement-length. We demonstrate that branched and multiconnected structures govern the anomalous dependence of zero-shear viscosity on salt concentration. We predict reliably the end-cap energy of micelles, for the first time, from simulations.","author":[{"dropping-particle":"","family":"Dhakal","given":"Subas","non-dropping-particle":"","parse-names":false,"suffix":""},{"dropping-particle":"","family":"Sureshkumar","given":"Radhakrishna","non-dropping-particle":"","parse-names":false,"suffix":""}],"container-title":"Journal of Chemical Physics","id":"ITEM-1","issue":"2","issued":{"date-parts":[["2015"]]},"page":"024905","title":"Topology, length scales, and energetics of surfactant micelles","type":"article-journal","volume":"143"},"uris":["http://www.mendeley.com/documents/?uuid=685adf38-ae8a-4def-8c57-0e2c20a47674"]}],"mendeley":{"formattedCitation":"[51]","plainTextFormattedCitation":"[51]","previouslyFormattedCitation":"[50]"},"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[51]</w:t>
      </w:r>
      <w:r w:rsidRPr="004C1D1A">
        <w:rPr>
          <w:rFonts w:cs="Times New Roman"/>
          <w:szCs w:val="26"/>
          <w:lang w:val="en-GB"/>
        </w:rPr>
        <w:fldChar w:fldCharType="end"/>
      </w:r>
      <w:r w:rsidRPr="004C1D1A">
        <w:rPr>
          <w:rFonts w:cs="Times New Roman"/>
          <w:szCs w:val="26"/>
          <w:lang w:val="en-GB"/>
        </w:rPr>
        <w:t xml:space="preserve">. Initially the micellar surface was defined by the head group </w:t>
      </w:r>
      <w:r>
        <w:rPr>
          <w:rFonts w:cs="Times New Roman"/>
          <w:szCs w:val="26"/>
          <w:lang w:val="en-GB"/>
        </w:rPr>
        <w:t>beads</w:t>
      </w:r>
      <w:r w:rsidRPr="004C1D1A">
        <w:rPr>
          <w:rFonts w:cs="Times New Roman"/>
          <w:szCs w:val="26"/>
          <w:lang w:val="en-GB"/>
        </w:rPr>
        <w:t xml:space="preserve">, </w:t>
      </w:r>
      <w:r w:rsidRPr="004C1D1A">
        <w:rPr>
          <w:rFonts w:cs="Times New Roman"/>
          <w:i/>
          <w:szCs w:val="26"/>
          <w:lang w:val="en-GB"/>
        </w:rPr>
        <w:t>i.e.</w:t>
      </w:r>
      <w:r w:rsidRPr="004C1D1A">
        <w:rPr>
          <w:rFonts w:cs="Times New Roman"/>
          <w:szCs w:val="26"/>
          <w:lang w:val="en-GB"/>
        </w:rPr>
        <w:t xml:space="preserve"> CH</w:t>
      </w:r>
      <w:r w:rsidRPr="004C1D1A">
        <w:rPr>
          <w:rFonts w:cs="Times New Roman"/>
          <w:szCs w:val="26"/>
          <w:vertAlign w:val="subscript"/>
          <w:lang w:val="en-GB"/>
        </w:rPr>
        <w:t>2</w:t>
      </w:r>
      <w:r w:rsidRPr="004C1D1A">
        <w:rPr>
          <w:rFonts w:cs="Times New Roman"/>
          <w:szCs w:val="26"/>
          <w:lang w:val="en-GB"/>
        </w:rPr>
        <w:t>OSO</w:t>
      </w:r>
      <w:r w:rsidRPr="004C1D1A">
        <w:rPr>
          <w:rFonts w:cs="Times New Roman"/>
          <w:szCs w:val="26"/>
          <w:vertAlign w:val="subscript"/>
          <w:lang w:val="en-GB"/>
        </w:rPr>
        <w:t>3</w:t>
      </w:r>
      <w:r w:rsidRPr="004C1D1A">
        <w:rPr>
          <w:rFonts w:cs="Times New Roman"/>
          <w:szCs w:val="26"/>
          <w:lang w:val="en-GB"/>
        </w:rPr>
        <w:t xml:space="preserve">. Around each head group </w:t>
      </w:r>
      <w:r>
        <w:rPr>
          <w:rFonts w:cs="Times New Roman"/>
          <w:szCs w:val="26"/>
          <w:lang w:val="en-GB"/>
        </w:rPr>
        <w:t>bead</w:t>
      </w:r>
      <w:r w:rsidRPr="004C1D1A">
        <w:rPr>
          <w:rFonts w:cs="Times New Roman"/>
          <w:szCs w:val="26"/>
          <w:lang w:val="en-GB"/>
        </w:rPr>
        <w:t xml:space="preserve"> the neighbours within the distance R</w:t>
      </w:r>
      <w:r w:rsidRPr="004C1D1A">
        <w:rPr>
          <w:rFonts w:cs="Times New Roman"/>
          <w:szCs w:val="26"/>
          <w:vertAlign w:val="subscript"/>
          <w:lang w:val="en-GB"/>
        </w:rPr>
        <w:t>c</w:t>
      </w:r>
      <w:r w:rsidRPr="004C1D1A">
        <w:rPr>
          <w:rFonts w:cs="Times New Roman"/>
          <w:szCs w:val="26"/>
          <w:lang w:val="en-GB"/>
        </w:rPr>
        <w:t xml:space="preserve"> = 1.7</w:t>
      </w:r>
      <w:r>
        <w:rPr>
          <w:rFonts w:cs="Times New Roman"/>
          <w:szCs w:val="26"/>
          <w:lang w:val="en-GB"/>
        </w:rPr>
        <w:t>50</w:t>
      </w:r>
      <w:r w:rsidRPr="004C1D1A">
        <w:rPr>
          <w:rFonts w:cs="Times New Roman"/>
          <w:szCs w:val="26"/>
          <w:lang w:val="en-GB"/>
        </w:rPr>
        <w:t xml:space="preserve"> DPD </w:t>
      </w:r>
      <w:r w:rsidRPr="004C1D1A">
        <w:rPr>
          <w:rFonts w:cs="Times New Roman"/>
          <w:i/>
          <w:szCs w:val="26"/>
          <w:lang w:val="en-GB"/>
        </w:rPr>
        <w:t>length units</w:t>
      </w:r>
      <w:r w:rsidRPr="004C1D1A">
        <w:rPr>
          <w:rFonts w:cs="Times New Roman"/>
          <w:szCs w:val="26"/>
          <w:lang w:val="en-GB"/>
        </w:rPr>
        <w:t xml:space="preserve"> were found. This le</w:t>
      </w:r>
      <w:r>
        <w:rPr>
          <w:rFonts w:cs="Times New Roman"/>
          <w:szCs w:val="26"/>
          <w:lang w:val="en-GB"/>
        </w:rPr>
        <w:t xml:space="preserve">d to a list of </w:t>
      </w:r>
      <w:r w:rsidRPr="004C1D1A">
        <w:rPr>
          <w:rFonts w:cs="Times New Roman"/>
          <w:szCs w:val="26"/>
          <w:lang w:val="en-GB"/>
        </w:rPr>
        <w:t xml:space="preserve">patches </w:t>
      </w:r>
      <w:r>
        <w:rPr>
          <w:rFonts w:cs="Times New Roman"/>
          <w:szCs w:val="26"/>
          <w:lang w:val="en-GB"/>
        </w:rPr>
        <w:t xml:space="preserve">of beads </w:t>
      </w:r>
      <w:r w:rsidRPr="004C1D1A">
        <w:rPr>
          <w:rFonts w:cs="Times New Roman"/>
          <w:szCs w:val="26"/>
          <w:lang w:val="en-GB"/>
        </w:rPr>
        <w:t>on the micelle surface. In order to decide R</w:t>
      </w:r>
      <w:r w:rsidRPr="004C1D1A">
        <w:rPr>
          <w:rFonts w:cs="Times New Roman"/>
          <w:szCs w:val="26"/>
          <w:vertAlign w:val="subscript"/>
          <w:lang w:val="en-GB"/>
        </w:rPr>
        <w:t>c</w:t>
      </w:r>
      <w:r w:rsidRPr="004C1D1A">
        <w:rPr>
          <w:rFonts w:cs="Times New Roman"/>
          <w:szCs w:val="26"/>
          <w:lang w:val="en-GB"/>
        </w:rPr>
        <w:t xml:space="preserve"> the radial distribution function (g(r)) </w:t>
      </w:r>
      <w:r>
        <w:rPr>
          <w:rFonts w:cs="Times New Roman"/>
          <w:szCs w:val="26"/>
          <w:lang w:val="en-GB"/>
        </w:rPr>
        <w:t>of the</w:t>
      </w:r>
      <w:r w:rsidRPr="004C1D1A">
        <w:rPr>
          <w:rFonts w:cs="Times New Roman"/>
          <w:szCs w:val="26"/>
          <w:lang w:val="en-GB"/>
        </w:rPr>
        <w:t xml:space="preserve"> head groups was </w:t>
      </w:r>
      <w:r>
        <w:rPr>
          <w:rFonts w:cs="Times New Roman"/>
          <w:szCs w:val="26"/>
          <w:lang w:val="en-GB"/>
        </w:rPr>
        <w:t>calculated with R</w:t>
      </w:r>
      <w:r>
        <w:rPr>
          <w:rFonts w:cs="Times New Roman"/>
          <w:szCs w:val="26"/>
          <w:vertAlign w:val="subscript"/>
          <w:lang w:val="en-GB"/>
        </w:rPr>
        <w:t>c</w:t>
      </w:r>
      <w:r>
        <w:rPr>
          <w:rFonts w:cs="Times New Roman"/>
          <w:szCs w:val="26"/>
          <w:lang w:val="en-GB"/>
        </w:rPr>
        <w:t xml:space="preserve"> taken as the first peak of g(r)</w:t>
      </w:r>
      <w:r w:rsidRPr="004C1D1A">
        <w:rPr>
          <w:rFonts w:cs="Times New Roman"/>
          <w:lang w:val="en-GB"/>
        </w:rPr>
        <w:t xml:space="preserve">. </w:t>
      </w:r>
      <w:r w:rsidRPr="004C1D1A">
        <w:rPr>
          <w:rFonts w:cs="Times New Roman"/>
          <w:szCs w:val="26"/>
          <w:lang w:val="en-GB"/>
        </w:rPr>
        <w:t>Then the surface function given in equation (2.</w:t>
      </w:r>
      <w:r>
        <w:rPr>
          <w:rFonts w:cs="Times New Roman"/>
          <w:szCs w:val="26"/>
          <w:lang w:val="en-GB"/>
        </w:rPr>
        <w:t>5</w:t>
      </w:r>
      <w:r w:rsidRPr="004C1D1A">
        <w:rPr>
          <w:rFonts w:cs="Times New Roman"/>
          <w:szCs w:val="26"/>
          <w:lang w:val="en-GB"/>
        </w:rPr>
        <w:t xml:space="preserve">) was fitted to the patches </w:t>
      </w:r>
      <w:r w:rsidRPr="004C1D1A">
        <w:rPr>
          <w:rFonts w:cs="Times New Roman"/>
          <w:szCs w:val="26"/>
          <w:lang w:val="en-GB"/>
        </w:rPr>
        <w:fldChar w:fldCharType="begin" w:fldLock="1"/>
      </w:r>
      <w:r>
        <w:rPr>
          <w:rFonts w:cs="Times New Roman"/>
          <w:szCs w:val="26"/>
          <w:lang w:val="en-GB"/>
        </w:rPr>
        <w:instrText>ADDIN CSL_CITATION {"citationItems":[{"id":"ITEM-1","itemData":{"DOI":"10.1063/1.4926422","ISSN":"00219606","PMID":"26178125","abstract":"We investigate the morphology and energetics of a self-associating model cationic surfactant in water using coarse-grained molecular dynamics simulations. We develop an algorithm to track micelles contours and quantify various microstructural features, such as contour length, persistence length, mesh size, and entanglement-length. We demonstrate that branched and multiconnected structures govern the anomalous dependence of zero-shear viscosity on salt concentration. We predict reliably the end-cap energy of micelles, for the first time, from simulations.","author":[{"dropping-particle":"","family":"Dhakal","given":"Subas","non-dropping-particle":"","parse-names":false,"suffix":""},{"dropping-particle":"","family":"Sureshkumar","given":"Radhakrishna","non-dropping-particle":"","parse-names":false,"suffix":""}],"container-title":"Journal of Chemical Physics","id":"ITEM-1","issue":"2","issued":{"date-parts":[["2015"]]},"page":"024905","title":"Topology, length scales, and energetics of surfactant micelles","type":"article-journal","volume":"143"},"uris":["http://www.mendeley.com/documents/?uuid=685adf38-ae8a-4def-8c57-0e2c20a47674"]}],"mendeley":{"formattedCitation":"[51]","plainTextFormattedCitation":"[51]","previouslyFormattedCitation":"[50]"},"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[51]</w:t>
      </w:r>
      <w:r w:rsidRPr="004C1D1A">
        <w:rPr>
          <w:rFonts w:cs="Times New Roman"/>
          <w:szCs w:val="26"/>
          <w:lang w:val="en-GB"/>
        </w:rPr>
        <w:fldChar w:fldCharType="end"/>
      </w:r>
    </w:p>
    <w:p w:rsidR="004833BB" w:rsidRPr="004C1D1A" w:rsidRDefault="004833BB" w:rsidP="004833BB">
      <w:pPr>
        <w:ind w:firstLine="576"/>
        <w:rPr>
          <w:rFonts w:cs="Times New Roman"/>
          <w:szCs w:val="26"/>
          <w:lang w:val="en-GB"/>
        </w:rPr>
      </w:pPr>
    </w:p>
    <w:p w:rsidR="004833BB" w:rsidRPr="004C1D1A" w:rsidRDefault="004833BB" w:rsidP="004833BB">
      <w:pPr>
        <w:ind w:firstLine="576"/>
        <w:jc w:val="right"/>
        <w:rPr>
          <w:rFonts w:cs="Times New Roman"/>
          <w:szCs w:val="26"/>
          <w:lang w:val="en-GB"/>
        </w:rPr>
      </w:pPr>
      <m:oMath>
        <m:r>
          <w:rPr>
            <w:rFonts w:ascii="Cambria Math" w:hAnsi="Cambria Math" w:cs="Times New Roman"/>
            <w:szCs w:val="26"/>
            <w:lang w:val="en-GB"/>
          </w:rPr>
          <m:t>f</m:t>
        </m:r>
        <m:d>
          <m:dPr>
            <m:ctrlPr>
              <w:rPr>
                <w:rFonts w:ascii="Cambria Math" w:hAnsi="Cambria Math" w:cs="Times New Roman"/>
                <w:i/>
                <w:szCs w:val="26"/>
                <w:lang w:val="en-GB"/>
              </w:rPr>
            </m:ctrlPr>
          </m:dPr>
          <m:e>
            <m:r>
              <w:rPr>
                <w:rFonts w:ascii="Cambria Math" w:hAnsi="Cambria Math" w:cs="Times New Roman"/>
                <w:szCs w:val="26"/>
                <w:lang w:val="en-GB"/>
              </w:rPr>
              <m:t>x,y</m:t>
            </m:r>
          </m:e>
        </m:d>
        <m:r>
          <w:rPr>
            <w:rFonts w:ascii="Cambria Math" w:hAnsi="Cambria Math" w:cs="Times New Roman"/>
            <w:szCs w:val="26"/>
            <w:lang w:val="en-GB"/>
          </w:rPr>
          <m:t>=A</m:t>
        </m:r>
        <m:sSup>
          <m:sSupPr>
            <m:ctrlPr>
              <w:rPr>
                <w:rFonts w:ascii="Cambria Math" w:hAnsi="Cambria Math" w:cs="Times New Roman"/>
                <w:i/>
                <w:szCs w:val="26"/>
                <w:lang w:val="en-GB"/>
              </w:rPr>
            </m:ctrlPr>
          </m:sSupPr>
          <m:e>
            <m:r>
              <w:rPr>
                <w:rFonts w:ascii="Cambria Math" w:hAnsi="Cambria Math" w:cs="Times New Roman"/>
                <w:szCs w:val="26"/>
                <w:lang w:val="en-GB"/>
              </w:rPr>
              <m:t>x</m:t>
            </m:r>
          </m:e>
          <m:sup>
            <m:r>
              <w:rPr>
                <w:rFonts w:ascii="Cambria Math" w:hAnsi="Cambria Math" w:cs="Times New Roman"/>
                <w:szCs w:val="26"/>
                <w:lang w:val="en-GB"/>
              </w:rPr>
              <m:t>2</m:t>
            </m:r>
          </m:sup>
        </m:sSup>
        <m:r>
          <w:rPr>
            <w:rFonts w:ascii="Cambria Math" w:hAnsi="Cambria Math" w:cs="Times New Roman"/>
            <w:szCs w:val="26"/>
            <w:lang w:val="en-GB"/>
          </w:rPr>
          <m:t>+B</m:t>
        </m:r>
        <m:sSup>
          <m:sSupPr>
            <m:ctrlPr>
              <w:rPr>
                <w:rFonts w:ascii="Cambria Math" w:hAnsi="Cambria Math" w:cs="Times New Roman"/>
                <w:i/>
                <w:szCs w:val="26"/>
                <w:lang w:val="en-GB"/>
              </w:rPr>
            </m:ctrlPr>
          </m:sSupPr>
          <m:e>
            <m:r>
              <w:rPr>
                <w:rFonts w:ascii="Cambria Math" w:hAnsi="Cambria Math" w:cs="Times New Roman"/>
                <w:szCs w:val="26"/>
                <w:lang w:val="en-GB"/>
              </w:rPr>
              <m:t>y</m:t>
            </m:r>
          </m:e>
          <m:sup>
            <m:r>
              <w:rPr>
                <w:rFonts w:ascii="Cambria Math" w:hAnsi="Cambria Math" w:cs="Times New Roman"/>
                <w:szCs w:val="26"/>
                <w:lang w:val="en-GB"/>
              </w:rPr>
              <m:t>2</m:t>
            </m:r>
          </m:sup>
        </m:sSup>
        <m:r>
          <w:rPr>
            <w:rFonts w:ascii="Cambria Math" w:hAnsi="Cambria Math" w:cs="Times New Roman"/>
            <w:szCs w:val="26"/>
            <w:lang w:val="en-GB"/>
          </w:rPr>
          <m:t>+Cxy+Dx+Ey+F</m:t>
        </m:r>
      </m:oMath>
      <w:r w:rsidRPr="004C1D1A">
        <w:rPr>
          <w:rFonts w:cs="Times New Roman"/>
          <w:szCs w:val="26"/>
          <w:lang w:val="en-GB"/>
        </w:rPr>
        <w:t xml:space="preserve"> </w:t>
      </w:r>
      <w:r w:rsidRPr="004C1D1A">
        <w:rPr>
          <w:rFonts w:cs="Times New Roman"/>
          <w:szCs w:val="26"/>
          <w:lang w:val="en-GB"/>
        </w:rPr>
        <w:tab/>
      </w:r>
      <w:r w:rsidRPr="004C1D1A">
        <w:rPr>
          <w:rFonts w:cs="Times New Roman"/>
          <w:szCs w:val="26"/>
          <w:lang w:val="en-GB"/>
        </w:rPr>
        <w:tab/>
        <w:t xml:space="preserve">   </w:t>
      </w:r>
      <w:r w:rsidRPr="004C1D1A">
        <w:rPr>
          <w:rFonts w:cs="Times New Roman"/>
          <w:i/>
          <w:szCs w:val="26"/>
          <w:lang w:val="en-GB"/>
        </w:rPr>
        <w:t>(2.</w:t>
      </w:r>
      <w:r>
        <w:rPr>
          <w:rFonts w:cs="Times New Roman"/>
          <w:i/>
          <w:szCs w:val="26"/>
          <w:lang w:val="en-GB"/>
        </w:rPr>
        <w:t>5</w:t>
      </w:r>
      <w:r w:rsidRPr="004C1D1A">
        <w:rPr>
          <w:rFonts w:cs="Times New Roman"/>
          <w:i/>
          <w:szCs w:val="26"/>
          <w:lang w:val="en-GB"/>
        </w:rPr>
        <w:t>)</w:t>
      </w:r>
    </w:p>
    <w:p w:rsidR="004833BB" w:rsidRPr="004C1D1A" w:rsidRDefault="004833BB" w:rsidP="004833BB">
      <w:pPr>
        <w:jc w:val="both"/>
        <w:rPr>
          <w:rFonts w:cs="Times New Roman"/>
          <w:szCs w:val="26"/>
          <w:lang w:val="en-GB"/>
        </w:rPr>
      </w:pPr>
    </w:p>
    <w:p w:rsidR="004833BB" w:rsidRPr="004C1D1A" w:rsidRDefault="004833BB" w:rsidP="004833BB">
      <w:pPr>
        <w:jc w:val="both"/>
        <w:rPr>
          <w:rFonts w:cs="Times New Roman"/>
          <w:szCs w:val="26"/>
          <w:lang w:val="en-GB"/>
        </w:rPr>
      </w:pPr>
      <w:r w:rsidRPr="004C1D1A">
        <w:rPr>
          <w:rFonts w:cs="Times New Roman"/>
          <w:szCs w:val="26"/>
          <w:lang w:val="en-GB"/>
        </w:rPr>
        <w:t>where the capital letters denote adjustable parameters</w:t>
      </w:r>
      <w:r>
        <w:rPr>
          <w:rFonts w:cs="Times New Roman"/>
          <w:szCs w:val="26"/>
          <w:lang w:val="en-GB"/>
        </w:rPr>
        <w:t xml:space="preserve"> and the coordinate of a point on the fitted patch is </w:t>
      </w:r>
      <m:oMath>
        <m:r>
          <w:rPr>
            <w:rFonts w:ascii="Cambria Math" w:hAnsi="Cambria Math" w:cs="Times New Roman"/>
            <w:szCs w:val="26"/>
            <w:lang w:val="en-GB"/>
          </w:rPr>
          <m:t>(x,y,f</m:t>
        </m:r>
        <m:d>
          <m:dPr>
            <m:ctrlPr>
              <w:rPr>
                <w:rFonts w:ascii="Cambria Math" w:hAnsi="Cambria Math" w:cs="Times New Roman"/>
                <w:i/>
                <w:szCs w:val="26"/>
                <w:lang w:val="en-GB"/>
              </w:rPr>
            </m:ctrlPr>
          </m:dPr>
          <m:e>
            <m:r>
              <w:rPr>
                <w:rFonts w:ascii="Cambria Math" w:hAnsi="Cambria Math" w:cs="Times New Roman"/>
                <w:szCs w:val="26"/>
                <w:lang w:val="en-GB"/>
              </w:rPr>
              <m:t>x,y</m:t>
            </m:r>
          </m:e>
        </m:d>
        <m:r>
          <w:rPr>
            <w:rFonts w:ascii="Cambria Math" w:hAnsi="Cambria Math" w:cs="Times New Roman"/>
            <w:szCs w:val="26"/>
            <w:lang w:val="en-GB"/>
          </w:rPr>
          <m:t>)</m:t>
        </m:r>
      </m:oMath>
      <w:r>
        <w:rPr>
          <w:rFonts w:cs="Times New Roman"/>
          <w:szCs w:val="26"/>
          <w:lang w:val="en-GB"/>
        </w:rPr>
        <w:t xml:space="preserve">. </w:t>
      </w:r>
      <w:r w:rsidRPr="004C1D1A">
        <w:rPr>
          <w:rFonts w:cs="Times New Roman"/>
          <w:szCs w:val="26"/>
          <w:lang w:val="en-GB"/>
        </w:rPr>
        <w:t xml:space="preserve">The packing parameters can then be found from the relation </w:t>
      </w:r>
      <w:r w:rsidRPr="004C1D1A">
        <w:rPr>
          <w:rFonts w:cs="Times New Roman"/>
          <w:szCs w:val="26"/>
          <w:lang w:val="en-GB"/>
        </w:rPr>
        <w:fldChar w:fldCharType="begin" w:fldLock="1"/>
      </w:r>
      <w:r>
        <w:rPr>
          <w:rFonts w:cs="Times New Roman"/>
          <w:szCs w:val="26"/>
          <w:lang w:val="en-GB"/>
        </w:rPr>
        <w:instrText>ADDIN CSL_CITATION {"citationItems":[{"id":"ITEM-1","itemData":{"ISBN":"0-12-375181-0","author":[{"dropping-particle":"","family":"Jacob N. Israelachvili","given":"","non-dropping-particle":"","parse-names":false,"suffix":""}],"id":"ITEM-1","issued":{"date-parts":[["1991"]]},"publisher":"Academic press LTD","title":"Intermolecular and surface forces","type":"book"},"uris":["http://www.mendeley.com/documents/?uuid=3d6eba62-9619-46c3-8ac1-a559e22b82f8"]}],"mendeley":{"formattedCitation":"[50]","plainTextFormattedCitation":"[50]","previouslyFormattedCitation":"[49]"},"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[50]</w:t>
      </w:r>
      <w:r w:rsidRPr="004C1D1A">
        <w:rPr>
          <w:rFonts w:cs="Times New Roman"/>
          <w:szCs w:val="26"/>
          <w:lang w:val="en-GB"/>
        </w:rPr>
        <w:fldChar w:fldCharType="end"/>
      </w:r>
      <w:r w:rsidRPr="004C1D1A">
        <w:rPr>
          <w:rFonts w:cs="Times New Roman"/>
          <w:szCs w:val="26"/>
          <w:lang w:val="en-GB"/>
        </w:rPr>
        <w:t>:</w:t>
      </w:r>
    </w:p>
    <w:p w:rsidR="004833BB" w:rsidRPr="004C1D1A" w:rsidRDefault="004833BB" w:rsidP="004833BB">
      <w:pPr>
        <w:jc w:val="both"/>
        <w:rPr>
          <w:rFonts w:cs="Times New Roman"/>
          <w:szCs w:val="26"/>
          <w:lang w:val="en-GB"/>
        </w:rPr>
      </w:pPr>
    </w:p>
    <w:p w:rsidR="004833BB" w:rsidRPr="004C1D1A" w:rsidRDefault="004833BB" w:rsidP="004833BB">
      <w:pPr>
        <w:jc w:val="right"/>
        <w:rPr>
          <w:rFonts w:cs="Times New Roman"/>
          <w:szCs w:val="26"/>
          <w:lang w:val="en-GB"/>
        </w:rPr>
      </w:pPr>
      <w:r w:rsidRPr="007E5DC1">
        <w:rPr>
          <w:rFonts w:cs="Times New Roman"/>
          <w:i/>
          <w:szCs w:val="26"/>
          <w:lang w:val="en-GB"/>
        </w:rPr>
        <w:lastRenderedPageBreak/>
        <w:t>pp</w:t>
      </w:r>
      <w:r w:rsidRPr="004C1D1A">
        <w:rPr>
          <w:rFonts w:cs="Times New Roman"/>
          <w:szCs w:val="26"/>
          <w:lang w:val="en-GB"/>
        </w:rPr>
        <w:t xml:space="preserve"> = </w:t>
      </w:r>
      <m:oMath>
        <m:f>
          <m:fPr>
            <m:ctrlPr>
              <w:rPr>
                <w:rFonts w:ascii="Cambria Math" w:hAnsi="Cambria Math" w:cs="Times New Roman"/>
                <w:i/>
                <w:szCs w:val="26"/>
                <w:lang w:val="en-GB"/>
              </w:rPr>
            </m:ctrlPr>
          </m:fPr>
          <m:num>
            <m:r>
              <w:rPr>
                <w:rFonts w:ascii="Cambria Math" w:hAnsi="Cambria Math" w:cs="Times New Roman"/>
                <w:szCs w:val="26"/>
                <w:lang w:val="en-GB"/>
              </w:rPr>
              <m:t>v</m:t>
            </m:r>
          </m:num>
          <m:den>
            <m:r>
              <w:rPr>
                <w:rFonts w:ascii="Cambria Math" w:hAnsi="Cambria Math" w:cs="Times New Roman"/>
                <w:szCs w:val="26"/>
                <w:lang w:val="en-GB"/>
              </w:rPr>
              <m:t>al</m:t>
            </m:r>
          </m:den>
        </m:f>
        <m:r>
          <w:rPr>
            <w:rFonts w:ascii="Cambria Math" w:hAnsi="Cambria Math" w:cs="Times New Roman"/>
            <w:szCs w:val="26"/>
            <w:lang w:val="en-GB"/>
          </w:rPr>
          <m:t>=1-lH+</m:t>
        </m:r>
        <m:f>
          <m:fPr>
            <m:ctrlPr>
              <w:rPr>
                <w:rFonts w:ascii="Cambria Math" w:hAnsi="Cambria Math" w:cs="Times New Roman"/>
                <w:i/>
                <w:szCs w:val="26"/>
                <w:lang w:val="en-GB"/>
              </w:rPr>
            </m:ctrlPr>
          </m:fPr>
          <m:num>
            <m:sSup>
              <m:sSupPr>
                <m:ctrlPr>
                  <w:rPr>
                    <w:rFonts w:ascii="Cambria Math" w:hAnsi="Cambria Math" w:cs="Times New Roman"/>
                    <w:i/>
                    <w:szCs w:val="26"/>
                    <w:lang w:val="en-GB"/>
                  </w:rPr>
                </m:ctrlPr>
              </m:sSupPr>
              <m:e>
                <m:r>
                  <w:rPr>
                    <w:rFonts w:ascii="Cambria Math" w:hAnsi="Cambria Math" w:cs="Times New Roman"/>
                    <w:szCs w:val="26"/>
                    <w:lang w:val="en-GB"/>
                  </w:rPr>
                  <m:t>l</m:t>
                </m:r>
              </m:e>
              <m:sup>
                <m:r>
                  <w:rPr>
                    <w:rFonts w:ascii="Cambria Math" w:hAnsi="Cambria Math" w:cs="Times New Roman"/>
                    <w:szCs w:val="26"/>
                    <w:lang w:val="en-GB"/>
                  </w:rPr>
                  <m:t>2</m:t>
                </m:r>
              </m:sup>
            </m:sSup>
          </m:num>
          <m:den>
            <m:r>
              <w:rPr>
                <w:rFonts w:ascii="Cambria Math" w:hAnsi="Cambria Math" w:cs="Times New Roman"/>
                <w:szCs w:val="26"/>
                <w:lang w:val="en-GB"/>
              </w:rPr>
              <m:t>3</m:t>
            </m:r>
          </m:den>
        </m:f>
        <m:r>
          <w:rPr>
            <w:rFonts w:ascii="Cambria Math" w:hAnsi="Cambria Math" w:cs="Times New Roman"/>
            <w:szCs w:val="26"/>
            <w:lang w:val="en-GB"/>
          </w:rPr>
          <m:t>K</m:t>
        </m:r>
      </m:oMath>
      <w:r>
        <w:rPr>
          <w:rFonts w:cs="Times New Roman"/>
          <w:szCs w:val="26"/>
          <w:lang w:val="en-GB"/>
        </w:rPr>
        <w:tab/>
      </w:r>
      <w:r>
        <w:rPr>
          <w:rFonts w:cs="Times New Roman"/>
          <w:szCs w:val="26"/>
          <w:lang w:val="en-GB"/>
        </w:rPr>
        <w:tab/>
      </w:r>
      <w:r>
        <w:rPr>
          <w:rFonts w:cs="Times New Roman"/>
          <w:szCs w:val="26"/>
          <w:lang w:val="en-GB"/>
        </w:rPr>
        <w:tab/>
      </w:r>
      <w:r>
        <w:rPr>
          <w:rFonts w:cs="Times New Roman"/>
          <w:szCs w:val="26"/>
          <w:lang w:val="en-GB"/>
        </w:rPr>
        <w:tab/>
      </w:r>
      <w:r>
        <w:rPr>
          <w:rFonts w:cs="Times New Roman"/>
          <w:i/>
          <w:szCs w:val="26"/>
          <w:lang w:val="en-GB"/>
        </w:rPr>
        <w:t>(2.6</w:t>
      </w:r>
      <w:r w:rsidRPr="004C1D1A">
        <w:rPr>
          <w:rFonts w:cs="Times New Roman"/>
          <w:i/>
          <w:szCs w:val="26"/>
          <w:lang w:val="en-GB"/>
        </w:rPr>
        <w:t>)</w:t>
      </w:r>
    </w:p>
    <w:p w:rsidR="004833BB" w:rsidRPr="004C1D1A" w:rsidRDefault="004833BB" w:rsidP="004833BB">
      <w:pPr>
        <w:jc w:val="right"/>
        <w:rPr>
          <w:rFonts w:cs="Times New Roman"/>
          <w:szCs w:val="26"/>
          <w:lang w:val="en-GB"/>
        </w:rPr>
      </w:pPr>
    </w:p>
    <w:p w:rsidR="004833BB" w:rsidRPr="004C1D1A" w:rsidRDefault="004833BB" w:rsidP="004833BB">
      <w:pPr>
        <w:jc w:val="both"/>
        <w:rPr>
          <w:rFonts w:cs="Times New Roman"/>
          <w:szCs w:val="26"/>
          <w:lang w:val="en-GB"/>
        </w:rPr>
      </w:pPr>
      <w:r w:rsidRPr="004C1D1A">
        <w:rPr>
          <w:rFonts w:cs="Times New Roman"/>
          <w:szCs w:val="26"/>
          <w:lang w:val="en-GB"/>
        </w:rPr>
        <w:t xml:space="preserve">where </w:t>
      </w:r>
      <m:oMath>
        <m:f>
          <m:fPr>
            <m:ctrlPr>
              <w:rPr>
                <w:rFonts w:ascii="Cambria Math" w:hAnsi="Cambria Math" w:cs="Times New Roman"/>
                <w:i/>
                <w:szCs w:val="26"/>
                <w:lang w:val="en-GB"/>
              </w:rPr>
            </m:ctrlPr>
          </m:fPr>
          <m:num>
            <m:r>
              <w:rPr>
                <w:rFonts w:ascii="Cambria Math" w:hAnsi="Cambria Math" w:cs="Times New Roman"/>
                <w:szCs w:val="26"/>
                <w:lang w:val="en-GB"/>
              </w:rPr>
              <m:t>v</m:t>
            </m:r>
          </m:num>
          <m:den>
            <m:r>
              <w:rPr>
                <w:rFonts w:ascii="Cambria Math" w:hAnsi="Cambria Math" w:cs="Times New Roman"/>
                <w:szCs w:val="26"/>
                <w:lang w:val="en-GB"/>
              </w:rPr>
              <m:t>al</m:t>
            </m:r>
          </m:den>
        </m:f>
      </m:oMath>
      <w:r w:rsidRPr="004C1D1A">
        <w:rPr>
          <w:rFonts w:cs="Times New Roman"/>
          <w:szCs w:val="26"/>
          <w:lang w:val="en-GB"/>
        </w:rPr>
        <w:t xml:space="preserve"> is the notation used for the packing parameter and relates the volume of the head group, </w:t>
      </w:r>
      <m:oMath>
        <m:r>
          <w:rPr>
            <w:rFonts w:ascii="Cambria Math" w:hAnsi="Cambria Math" w:cs="Times New Roman"/>
            <w:szCs w:val="26"/>
            <w:lang w:val="en-GB"/>
          </w:rPr>
          <m:t>v</m:t>
        </m:r>
      </m:oMath>
      <w:r w:rsidRPr="004C1D1A">
        <w:rPr>
          <w:rFonts w:cs="Times New Roman"/>
          <w:szCs w:val="26"/>
          <w:lang w:val="en-GB"/>
        </w:rPr>
        <w:t xml:space="preserve">, with the surface area </w:t>
      </w:r>
      <m:oMath>
        <m:r>
          <w:rPr>
            <w:rFonts w:ascii="Cambria Math" w:hAnsi="Cambria Math" w:cs="Times New Roman"/>
            <w:szCs w:val="26"/>
            <w:lang w:val="en-GB"/>
          </w:rPr>
          <m:t xml:space="preserve">a </m:t>
        </m:r>
      </m:oMath>
      <w:r w:rsidRPr="004C1D1A">
        <w:rPr>
          <w:rFonts w:cs="Times New Roman"/>
          <w:szCs w:val="26"/>
          <w:lang w:val="en-GB"/>
        </w:rPr>
        <w:t xml:space="preserve">of head group attached on the micelle’s surface and the length </w:t>
      </w:r>
      <m:oMath>
        <m:r>
          <w:rPr>
            <w:rFonts w:ascii="Cambria Math" w:hAnsi="Cambria Math" w:cs="Times New Roman"/>
            <w:szCs w:val="26"/>
            <w:lang w:val="en-GB"/>
          </w:rPr>
          <m:t>l</m:t>
        </m:r>
      </m:oMath>
      <w:r w:rsidRPr="004C1D1A">
        <w:rPr>
          <w:rFonts w:cs="Times New Roman"/>
          <w:szCs w:val="26"/>
          <w:lang w:val="en-GB"/>
        </w:rPr>
        <w:t xml:space="preserve"> of the alkyl chain. </w:t>
      </w:r>
    </w:p>
    <w:p w:rsidR="004833BB" w:rsidRPr="004C1D1A" w:rsidRDefault="004833BB" w:rsidP="004833BB">
      <w:pPr>
        <w:ind w:firstLine="576"/>
        <w:jc w:val="both"/>
        <w:rPr>
          <w:rFonts w:cs="Times New Roman"/>
          <w:szCs w:val="26"/>
          <w:lang w:val="en-GB"/>
        </w:rPr>
      </w:pPr>
      <w:r>
        <w:rPr>
          <w:rFonts w:cs="Times New Roman"/>
          <w:szCs w:val="26"/>
          <w:lang w:val="en-GB"/>
        </w:rPr>
        <w:t>In equation (2.6</w:t>
      </w:r>
      <w:r w:rsidRPr="004C1D1A">
        <w:rPr>
          <w:rFonts w:cs="Times New Roman"/>
          <w:szCs w:val="26"/>
          <w:lang w:val="en-GB"/>
        </w:rPr>
        <w:t xml:space="preserve">) the </w:t>
      </w:r>
      <w:r>
        <w:rPr>
          <w:rFonts w:cs="Times New Roman"/>
          <w:szCs w:val="26"/>
          <w:lang w:val="en-GB"/>
        </w:rPr>
        <w:t>parameter</w:t>
      </w:r>
      <w:r w:rsidRPr="004C1D1A">
        <w:rPr>
          <w:rFonts w:cs="Times New Roman"/>
          <w:szCs w:val="26"/>
          <w:lang w:val="en-GB"/>
        </w:rPr>
        <w:t xml:space="preserve"> </w:t>
      </w:r>
      <w:r w:rsidRPr="00FF0061">
        <w:rPr>
          <w:rFonts w:cs="Times New Roman"/>
          <w:i/>
          <w:szCs w:val="26"/>
          <w:lang w:val="en-GB"/>
        </w:rPr>
        <w:t>H</w:t>
      </w:r>
      <w:r w:rsidRPr="004C1D1A">
        <w:rPr>
          <w:rFonts w:cs="Times New Roman"/>
          <w:szCs w:val="26"/>
          <w:lang w:val="en-GB"/>
        </w:rPr>
        <w:t xml:space="preserve"> refer</w:t>
      </w:r>
      <w:r>
        <w:rPr>
          <w:rFonts w:cs="Times New Roman"/>
          <w:szCs w:val="26"/>
          <w:lang w:val="en-GB"/>
        </w:rPr>
        <w:t>s</w:t>
      </w:r>
      <w:r w:rsidRPr="004C1D1A">
        <w:rPr>
          <w:rFonts w:cs="Times New Roman"/>
          <w:szCs w:val="26"/>
          <w:lang w:val="en-GB"/>
        </w:rPr>
        <w:t xml:space="preserve"> to the mean curvature whilst </w:t>
      </w:r>
      <w:r w:rsidRPr="00FF0061">
        <w:rPr>
          <w:rFonts w:cs="Times New Roman"/>
          <w:i/>
          <w:szCs w:val="26"/>
          <w:lang w:val="en-GB"/>
        </w:rPr>
        <w:t>K</w:t>
      </w:r>
      <w:r w:rsidRPr="004C1D1A">
        <w:rPr>
          <w:rFonts w:cs="Times New Roman"/>
          <w:szCs w:val="26"/>
          <w:lang w:val="en-GB"/>
        </w:rPr>
        <w:t xml:space="preserve"> is the Gaussian curvature (see supporting document</w:t>
      </w:r>
      <w:r>
        <w:rPr>
          <w:rFonts w:cs="Times New Roman"/>
          <w:szCs w:val="26"/>
          <w:lang w:val="en-GB"/>
        </w:rPr>
        <w:t xml:space="preserve"> section s3</w:t>
      </w:r>
      <w:r w:rsidRPr="004C1D1A">
        <w:rPr>
          <w:rFonts w:cs="Times New Roman"/>
          <w:szCs w:val="26"/>
          <w:lang w:val="en-GB"/>
        </w:rPr>
        <w:t>). From the coeffic</w:t>
      </w:r>
      <w:r>
        <w:rPr>
          <w:rFonts w:cs="Times New Roman"/>
          <w:szCs w:val="26"/>
          <w:lang w:val="en-GB"/>
        </w:rPr>
        <w:t>ients of equation (2.5</w:t>
      </w:r>
      <w:r w:rsidRPr="004C1D1A">
        <w:rPr>
          <w:rFonts w:cs="Times New Roman"/>
          <w:szCs w:val="26"/>
          <w:lang w:val="en-GB"/>
        </w:rPr>
        <w:t xml:space="preserve">) it is straight forward to calculate the curvatures of the surface:  </w:t>
      </w:r>
    </w:p>
    <w:p w:rsidR="004833BB" w:rsidRPr="004C1D1A" w:rsidRDefault="004833BB" w:rsidP="004833BB">
      <w:pPr>
        <w:jc w:val="both"/>
        <w:rPr>
          <w:rFonts w:cs="Times New Roman"/>
          <w:i/>
          <w:szCs w:val="26"/>
          <w:lang w:val="en-GB"/>
        </w:rPr>
      </w:pPr>
    </w:p>
    <w:p w:rsidR="004833BB" w:rsidRPr="004C1D1A" w:rsidRDefault="004833BB" w:rsidP="004833BB">
      <w:pPr>
        <w:jc w:val="right"/>
        <w:rPr>
          <w:rFonts w:cs="Times New Roman"/>
          <w:szCs w:val="26"/>
          <w:lang w:val="en-GB"/>
        </w:rPr>
      </w:pPr>
      <m:oMath>
        <m:r>
          <w:rPr>
            <w:rFonts w:ascii="Cambria Math" w:hAnsi="Cambria Math" w:cs="Times New Roman"/>
            <w:szCs w:val="26"/>
            <w:lang w:val="en-GB"/>
          </w:rPr>
          <m:t>K=4AB-</m:t>
        </m:r>
        <m:sSup>
          <m:sSupPr>
            <m:ctrlPr>
              <w:rPr>
                <w:rFonts w:ascii="Cambria Math" w:hAnsi="Cambria Math" w:cs="Times New Roman"/>
                <w:i/>
                <w:szCs w:val="26"/>
                <w:lang w:val="en-GB"/>
              </w:rPr>
            </m:ctrlPr>
          </m:sSupPr>
          <m:e>
            <m:r>
              <w:rPr>
                <w:rFonts w:ascii="Cambria Math" w:hAnsi="Cambria Math" w:cs="Times New Roman"/>
                <w:szCs w:val="26"/>
                <w:lang w:val="en-GB"/>
              </w:rPr>
              <m:t>C</m:t>
            </m:r>
          </m:e>
          <m:sup>
            <m:r>
              <w:rPr>
                <w:rFonts w:ascii="Cambria Math" w:hAnsi="Cambria Math" w:cs="Times New Roman"/>
                <w:szCs w:val="26"/>
                <w:lang w:val="en-GB"/>
              </w:rPr>
              <m:t>2</m:t>
            </m:r>
          </m:sup>
        </m:sSup>
      </m:oMath>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i/>
          <w:szCs w:val="26"/>
          <w:lang w:val="en-GB"/>
        </w:rPr>
        <w:t>(2</w:t>
      </w:r>
      <w:r>
        <w:rPr>
          <w:rFonts w:cs="Times New Roman"/>
          <w:i/>
          <w:szCs w:val="26"/>
          <w:lang w:val="en-GB"/>
        </w:rPr>
        <w:t>.7</w:t>
      </w:r>
      <w:r w:rsidRPr="004C1D1A">
        <w:rPr>
          <w:rFonts w:cs="Times New Roman"/>
          <w:i/>
          <w:szCs w:val="26"/>
          <w:lang w:val="en-GB"/>
        </w:rPr>
        <w:t>)</w:t>
      </w:r>
    </w:p>
    <w:p w:rsidR="004833BB" w:rsidRPr="004C1D1A" w:rsidRDefault="004833BB" w:rsidP="004833BB">
      <w:pPr>
        <w:jc w:val="right"/>
        <w:rPr>
          <w:rFonts w:cs="Times New Roman"/>
          <w:szCs w:val="26"/>
          <w:lang w:val="en-GB"/>
        </w:rPr>
      </w:pPr>
      <m:oMath>
        <m:r>
          <w:rPr>
            <w:rFonts w:ascii="Cambria Math" w:hAnsi="Cambria Math" w:cs="Times New Roman"/>
            <w:szCs w:val="26"/>
            <w:lang w:val="en-GB"/>
          </w:rPr>
          <m:t xml:space="preserve">H=A+B </m:t>
        </m:r>
      </m:oMath>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sidRPr="004C1D1A">
        <w:rPr>
          <w:rFonts w:cs="Times New Roman"/>
          <w:szCs w:val="26"/>
          <w:lang w:val="en-GB"/>
        </w:rPr>
        <w:tab/>
      </w:r>
      <w:r>
        <w:rPr>
          <w:rFonts w:cs="Times New Roman"/>
          <w:i/>
          <w:szCs w:val="26"/>
          <w:lang w:val="en-GB"/>
        </w:rPr>
        <w:t>(2.8</w:t>
      </w:r>
      <w:r w:rsidRPr="004C1D1A">
        <w:rPr>
          <w:rFonts w:cs="Times New Roman"/>
          <w:i/>
          <w:szCs w:val="26"/>
          <w:lang w:val="en-GB"/>
        </w:rPr>
        <w:t>)</w:t>
      </w:r>
    </w:p>
    <w:p w:rsidR="004833BB" w:rsidRPr="004C1D1A" w:rsidRDefault="004833BB" w:rsidP="004833BB">
      <w:pPr>
        <w:jc w:val="both"/>
        <w:rPr>
          <w:rFonts w:cs="Times New Roman"/>
          <w:szCs w:val="26"/>
          <w:lang w:val="en-GB"/>
        </w:rPr>
      </w:pPr>
    </w:p>
    <w:p w:rsidR="004833BB" w:rsidRPr="004C1D1A" w:rsidRDefault="004833BB" w:rsidP="004833BB">
      <w:pPr>
        <w:ind w:firstLine="720"/>
        <w:jc w:val="both"/>
        <w:rPr>
          <w:rFonts w:cs="Times New Roman"/>
          <w:szCs w:val="26"/>
          <w:lang w:val="en-GB"/>
        </w:rPr>
      </w:pPr>
      <w:r w:rsidRPr="004C1D1A">
        <w:rPr>
          <w:rFonts w:cs="Times New Roman"/>
          <w:szCs w:val="26"/>
          <w:lang w:val="en-GB"/>
        </w:rPr>
        <w:t>Saddle points have a zero mean and negative Gaussian curvatures and for thes</w:t>
      </w:r>
      <w:r>
        <w:rPr>
          <w:rFonts w:cs="Times New Roman"/>
          <w:szCs w:val="26"/>
          <w:lang w:val="en-GB"/>
        </w:rPr>
        <w:t>e points equations (2.7) and (2.8</w:t>
      </w:r>
      <w:r w:rsidRPr="004C1D1A">
        <w:rPr>
          <w:rFonts w:cs="Times New Roman"/>
          <w:szCs w:val="26"/>
          <w:lang w:val="en-GB"/>
        </w:rPr>
        <w:t>) do</w:t>
      </w:r>
      <w:r>
        <w:rPr>
          <w:rFonts w:cs="Times New Roman"/>
          <w:szCs w:val="26"/>
          <w:lang w:val="en-GB"/>
        </w:rPr>
        <w:t xml:space="preserve"> not</w:t>
      </w:r>
      <w:r w:rsidRPr="004C1D1A">
        <w:rPr>
          <w:rFonts w:cs="Times New Roman"/>
          <w:szCs w:val="26"/>
          <w:lang w:val="en-GB"/>
        </w:rPr>
        <w:t xml:space="preserve"> give representative results of the micelle surface. In order to exclude the saddle points that could be fitted by the patches of particles described above, a constrained optimization was performed with the determinant of the optimization’s Hessian matrix to be strictly positive, </w:t>
      </w:r>
      <w:r w:rsidRPr="004C1D1A">
        <w:rPr>
          <w:rFonts w:cs="Times New Roman"/>
          <w:i/>
          <w:szCs w:val="26"/>
          <w:lang w:val="en-GB"/>
        </w:rPr>
        <w:t>i.e.</w:t>
      </w:r>
      <w:r w:rsidRPr="004C1D1A">
        <w:rPr>
          <w:rFonts w:cs="Times New Roman"/>
          <w:szCs w:val="26"/>
          <w:lang w:val="en-GB"/>
        </w:rPr>
        <w:t xml:space="preserve"> the Hessian should be positive definite. In this way spherical or </w:t>
      </w:r>
      <w:r>
        <w:rPr>
          <w:rFonts w:cs="Times New Roman"/>
          <w:szCs w:val="26"/>
          <w:lang w:val="en-GB"/>
        </w:rPr>
        <w:t>WLMs</w:t>
      </w:r>
      <w:r w:rsidRPr="004C1D1A">
        <w:rPr>
          <w:rFonts w:cs="Times New Roman"/>
          <w:szCs w:val="26"/>
          <w:lang w:val="en-GB"/>
        </w:rPr>
        <w:t xml:space="preserve"> are more accurately fitted while branched aggregates that contain saddle points were excluded from the calculations. Finally, the </w:t>
      </w:r>
      <w:r>
        <w:rPr>
          <w:rFonts w:cs="Times New Roman"/>
          <w:szCs w:val="26"/>
          <w:lang w:val="en-GB"/>
        </w:rPr>
        <w:t xml:space="preserve">time </w:t>
      </w:r>
      <w:r w:rsidRPr="004C1D1A">
        <w:rPr>
          <w:rFonts w:cs="Times New Roman"/>
          <w:szCs w:val="26"/>
          <w:lang w:val="en-GB"/>
        </w:rPr>
        <w:t xml:space="preserve">average of all </w:t>
      </w:r>
      <w:r w:rsidRPr="007E5DC1">
        <w:rPr>
          <w:rFonts w:cs="Times New Roman"/>
          <w:i/>
          <w:szCs w:val="26"/>
          <w:lang w:val="en-GB"/>
        </w:rPr>
        <w:t>pp</w:t>
      </w:r>
      <w:r>
        <w:rPr>
          <w:rFonts w:cs="Times New Roman"/>
          <w:szCs w:val="26"/>
          <w:lang w:val="en-GB"/>
        </w:rPr>
        <w:t xml:space="preserve"> </w:t>
      </w:r>
      <w:r w:rsidRPr="004C1D1A">
        <w:rPr>
          <w:rFonts w:cs="Times New Roman"/>
          <w:szCs w:val="26"/>
          <w:lang w:val="en-GB"/>
        </w:rPr>
        <w:t>is taken.</w:t>
      </w:r>
    </w:p>
    <w:p w:rsidR="004833BB" w:rsidRPr="004C1D1A" w:rsidRDefault="004833BB" w:rsidP="004833BB">
      <w:pPr>
        <w:ind w:firstLine="720"/>
        <w:jc w:val="both"/>
        <w:rPr>
          <w:rFonts w:cs="Times New Roman"/>
          <w:szCs w:val="26"/>
          <w:lang w:val="en-GB"/>
        </w:rPr>
      </w:pPr>
    </w:p>
    <w:p w:rsidR="004833BB" w:rsidRPr="004C1D1A" w:rsidRDefault="004833BB" w:rsidP="004833BB">
      <w:pPr>
        <w:jc w:val="center"/>
        <w:rPr>
          <w:rFonts w:cs="Times New Roman"/>
          <w:b/>
          <w:szCs w:val="26"/>
          <w:lang w:val="en-GB"/>
        </w:rPr>
      </w:pPr>
      <w:r w:rsidRPr="004C1D1A">
        <w:rPr>
          <w:rFonts w:cs="Times New Roman"/>
          <w:b/>
          <w:szCs w:val="26"/>
          <w:lang w:val="en-GB"/>
        </w:rPr>
        <w:t>2.4 Structure factor</w:t>
      </w:r>
    </w:p>
    <w:p w:rsidR="004833BB" w:rsidRPr="004C1D1A" w:rsidRDefault="004833BB" w:rsidP="004833BB">
      <w:pPr>
        <w:jc w:val="center"/>
        <w:rPr>
          <w:rFonts w:cs="Times New Roman"/>
          <w:b/>
          <w:szCs w:val="26"/>
          <w:lang w:val="en-GB"/>
        </w:rPr>
      </w:pPr>
    </w:p>
    <w:p w:rsidR="004833BB" w:rsidRPr="004C1D1A" w:rsidRDefault="004833BB" w:rsidP="004833BB">
      <w:pPr>
        <w:jc w:val="both"/>
        <w:rPr>
          <w:rFonts w:cs="Times New Roman"/>
          <w:szCs w:val="26"/>
          <w:lang w:val="en-GB"/>
        </w:rPr>
      </w:pPr>
      <w:r w:rsidRPr="004C1D1A">
        <w:rPr>
          <w:rFonts w:cs="Times New Roman"/>
          <w:b/>
          <w:szCs w:val="26"/>
          <w:lang w:val="en-GB"/>
        </w:rPr>
        <w:tab/>
      </w:r>
      <w:r w:rsidRPr="004C1D1A">
        <w:rPr>
          <w:rFonts w:cs="Times New Roman"/>
          <w:szCs w:val="26"/>
          <w:lang w:val="en-GB"/>
        </w:rPr>
        <w:t>The structure factor describes how a material scatters incident radiation and can be calculated from simulations in two ways. The calculation of the structure factor can be achieved by the Fourier transformation of the radial distribution function:</w:t>
      </w:r>
    </w:p>
    <w:p w:rsidR="004833BB" w:rsidRPr="004C1D1A" w:rsidRDefault="004833BB" w:rsidP="004833BB">
      <w:pPr>
        <w:jc w:val="both"/>
        <w:rPr>
          <w:rFonts w:cs="Times New Roman"/>
          <w:szCs w:val="26"/>
          <w:lang w:val="en-GB"/>
        </w:rPr>
      </w:pPr>
    </w:p>
    <w:p w:rsidR="004833BB" w:rsidRPr="004C1D1A" w:rsidRDefault="004833BB" w:rsidP="004833BB">
      <w:pPr>
        <w:jc w:val="right"/>
        <w:rPr>
          <w:rFonts w:cs="Times New Roman"/>
          <w:szCs w:val="26"/>
          <w:lang w:val="en-GB"/>
        </w:rPr>
      </w:pPr>
      <m:oMath>
        <m:r>
          <w:rPr>
            <w:rFonts w:ascii="Cambria Math" w:hAnsi="Cambria Math" w:cs="Times New Roman"/>
            <w:szCs w:val="26"/>
            <w:lang w:val="en-GB"/>
          </w:rPr>
          <m:t>S</m:t>
        </m:r>
        <m:d>
          <m:dPr>
            <m:ctrlPr>
              <w:rPr>
                <w:rFonts w:ascii="Cambria Math" w:hAnsi="Cambria Math" w:cs="Times New Roman"/>
                <w:i/>
                <w:szCs w:val="26"/>
                <w:lang w:val="en-GB"/>
              </w:rPr>
            </m:ctrlPr>
          </m:dPr>
          <m:e>
            <m:r>
              <w:rPr>
                <w:rFonts w:ascii="Cambria Math" w:hAnsi="Cambria Math" w:cs="Times New Roman"/>
                <w:szCs w:val="26"/>
                <w:lang w:val="en-GB"/>
              </w:rPr>
              <m:t>q</m:t>
            </m:r>
          </m:e>
        </m:d>
        <m:r>
          <w:rPr>
            <w:rFonts w:ascii="Cambria Math" w:hAnsi="Cambria Math" w:cs="Times New Roman"/>
            <w:szCs w:val="26"/>
            <w:lang w:val="en-GB"/>
          </w:rPr>
          <m:t>=1+4</m:t>
        </m:r>
        <m:r>
          <w:rPr>
            <w:rFonts w:ascii="Cambria Math" w:hAnsi="Cambria Math" w:cs="Times New Roman"/>
            <w:szCs w:val="26"/>
          </w:rPr>
          <m:t>πρ</m:t>
        </m:r>
        <m:nary>
          <m:naryPr>
            <m:limLoc m:val="subSup"/>
            <m:ctrlPr>
              <w:rPr>
                <w:rFonts w:ascii="Cambria Math" w:hAnsi="Cambria Math" w:cs="Times New Roman"/>
                <w:i/>
                <w:szCs w:val="26"/>
                <w:lang w:val="en-GB"/>
              </w:rPr>
            </m:ctrlPr>
          </m:naryPr>
          <m:sub>
            <m:r>
              <w:rPr>
                <w:rFonts w:ascii="Cambria Math" w:hAnsi="Cambria Math" w:cs="Times New Roman"/>
                <w:szCs w:val="26"/>
                <w:lang w:val="en-GB"/>
              </w:rPr>
              <m:t>0</m:t>
            </m:r>
          </m:sub>
          <m:sup>
            <m:r>
              <w:rPr>
                <w:rFonts w:ascii="Cambria Math" w:hAnsi="Cambria Math" w:cs="Times New Roman"/>
                <w:szCs w:val="26"/>
                <w:lang w:val="en-GB"/>
              </w:rPr>
              <m:t>∞</m:t>
            </m:r>
          </m:sup>
          <m:e>
            <m:sSup>
              <m:sSupPr>
                <m:ctrlPr>
                  <w:rPr>
                    <w:rFonts w:ascii="Cambria Math" w:hAnsi="Cambria Math" w:cs="Times New Roman"/>
                    <w:i/>
                    <w:szCs w:val="26"/>
                    <w:lang w:val="en-GB"/>
                  </w:rPr>
                </m:ctrlPr>
              </m:sSupPr>
              <m:e>
                <m:r>
                  <w:rPr>
                    <w:rFonts w:ascii="Cambria Math" w:hAnsi="Cambria Math" w:cs="Times New Roman"/>
                    <w:szCs w:val="26"/>
                    <w:lang w:val="en-GB"/>
                  </w:rPr>
                  <m:t>r</m:t>
                </m:r>
              </m:e>
              <m:sup>
                <m:r>
                  <w:rPr>
                    <w:rFonts w:ascii="Cambria Math" w:hAnsi="Cambria Math" w:cs="Times New Roman"/>
                    <w:szCs w:val="26"/>
                    <w:lang w:val="en-GB"/>
                  </w:rPr>
                  <m:t>2</m:t>
                </m:r>
              </m:sup>
            </m:sSup>
            <m:r>
              <w:rPr>
                <w:rFonts w:ascii="Cambria Math" w:hAnsi="Cambria Math" w:cs="Times New Roman"/>
                <w:szCs w:val="26"/>
                <w:lang w:val="en-GB"/>
              </w:rPr>
              <m:t>g</m:t>
            </m:r>
            <m:d>
              <m:dPr>
                <m:ctrlPr>
                  <w:rPr>
                    <w:rFonts w:ascii="Cambria Math" w:hAnsi="Cambria Math" w:cs="Times New Roman"/>
                    <w:i/>
                    <w:szCs w:val="26"/>
                    <w:lang w:val="en-GB"/>
                  </w:rPr>
                </m:ctrlPr>
              </m:dPr>
              <m:e>
                <m:r>
                  <w:rPr>
                    <w:rFonts w:ascii="Cambria Math" w:hAnsi="Cambria Math" w:cs="Times New Roman"/>
                    <w:szCs w:val="26"/>
                    <w:lang w:val="en-GB"/>
                  </w:rPr>
                  <m:t>r</m:t>
                </m:r>
              </m:e>
            </m:d>
            <m:f>
              <m:fPr>
                <m:ctrlPr>
                  <w:rPr>
                    <w:rFonts w:ascii="Cambria Math" w:hAnsi="Cambria Math" w:cs="Times New Roman"/>
                    <w:i/>
                    <w:szCs w:val="26"/>
                    <w:lang w:val="en-GB"/>
                  </w:rPr>
                </m:ctrlPr>
              </m:fPr>
              <m:num>
                <m:func>
                  <m:funcPr>
                    <m:ctrlPr>
                      <w:rPr>
                        <w:rFonts w:ascii="Cambria Math" w:hAnsi="Cambria Math" w:cs="Times New Roman"/>
                        <w:szCs w:val="26"/>
                        <w:lang w:val="en-GB"/>
                      </w:rPr>
                    </m:ctrlPr>
                  </m:funcPr>
                  <m:fName>
                    <m:r>
                      <m:rPr>
                        <m:sty m:val="p"/>
                      </m:rPr>
                      <w:rPr>
                        <w:rFonts w:ascii="Cambria Math" w:hAnsi="Cambria Math" w:cs="Times New Roman"/>
                        <w:szCs w:val="26"/>
                        <w:lang w:val="en-GB"/>
                      </w:rPr>
                      <m:t>sin</m:t>
                    </m:r>
                  </m:fName>
                  <m:e>
                    <m:d>
                      <m:dPr>
                        <m:ctrlPr>
                          <w:rPr>
                            <w:rFonts w:ascii="Cambria Math" w:hAnsi="Cambria Math" w:cs="Times New Roman"/>
                            <w:i/>
                            <w:szCs w:val="26"/>
                            <w:lang w:val="en-GB"/>
                          </w:rPr>
                        </m:ctrlPr>
                      </m:dPr>
                      <m:e>
                        <m:r>
                          <w:rPr>
                            <w:rFonts w:ascii="Cambria Math" w:hAnsi="Cambria Math" w:cs="Times New Roman"/>
                            <w:szCs w:val="26"/>
                            <w:lang w:val="en-GB"/>
                          </w:rPr>
                          <m:t>qr</m:t>
                        </m:r>
                      </m:e>
                    </m:d>
                  </m:e>
                </m:func>
              </m:num>
              <m:den>
                <m:r>
                  <w:rPr>
                    <w:rFonts w:ascii="Cambria Math" w:hAnsi="Cambria Math" w:cs="Times New Roman"/>
                    <w:szCs w:val="26"/>
                    <w:lang w:val="en-GB"/>
                  </w:rPr>
                  <m:t>qr</m:t>
                </m:r>
              </m:den>
            </m:f>
          </m:e>
        </m:nary>
        <m:r>
          <w:rPr>
            <w:rFonts w:ascii="Cambria Math" w:hAnsi="Cambria Math" w:cs="Times New Roman"/>
            <w:szCs w:val="26"/>
            <w:lang w:val="en-GB"/>
          </w:rPr>
          <m:t>dr</m:t>
        </m:r>
      </m:oMath>
      <w:r w:rsidRPr="004C1D1A">
        <w:rPr>
          <w:rFonts w:cs="Times New Roman"/>
          <w:i/>
          <w:szCs w:val="26"/>
          <w:lang w:val="en-GB"/>
        </w:rPr>
        <w:t xml:space="preserve">       </w:t>
      </w:r>
      <w:r w:rsidRPr="004C1D1A">
        <w:rPr>
          <w:rFonts w:cs="Times New Roman"/>
          <w:i/>
          <w:szCs w:val="26"/>
          <w:lang w:val="en-GB"/>
        </w:rPr>
        <w:tab/>
      </w:r>
      <w:r w:rsidRPr="004C1D1A">
        <w:rPr>
          <w:rFonts w:cs="Times New Roman"/>
          <w:i/>
          <w:szCs w:val="26"/>
          <w:lang w:val="en-GB"/>
        </w:rPr>
        <w:tab/>
      </w:r>
      <w:r w:rsidRPr="004C1D1A">
        <w:rPr>
          <w:rFonts w:cs="Times New Roman"/>
          <w:i/>
          <w:szCs w:val="26"/>
          <w:lang w:val="en-GB"/>
        </w:rPr>
        <w:tab/>
        <w:t xml:space="preserve">  </w:t>
      </w:r>
      <w:r>
        <w:rPr>
          <w:rFonts w:cs="Times New Roman"/>
          <w:i/>
          <w:szCs w:val="26"/>
          <w:lang w:val="en-GB"/>
        </w:rPr>
        <w:t>(2.9</w:t>
      </w:r>
      <w:r w:rsidRPr="004C1D1A">
        <w:rPr>
          <w:rFonts w:cs="Times New Roman"/>
          <w:i/>
          <w:szCs w:val="26"/>
          <w:lang w:val="en-GB"/>
        </w:rPr>
        <w:t>)</w:t>
      </w:r>
    </w:p>
    <w:p w:rsidR="004833BB" w:rsidRPr="004C1D1A" w:rsidRDefault="004833BB" w:rsidP="004833BB">
      <w:pPr>
        <w:jc w:val="both"/>
        <w:rPr>
          <w:rFonts w:cs="Times New Roman"/>
          <w:szCs w:val="26"/>
          <w:lang w:val="en-GB"/>
        </w:rPr>
      </w:pPr>
    </w:p>
    <w:p w:rsidR="004833BB" w:rsidRPr="004C1D1A" w:rsidRDefault="004833BB" w:rsidP="004833BB">
      <w:pPr>
        <w:jc w:val="both"/>
        <w:rPr>
          <w:rFonts w:cs="Times New Roman"/>
          <w:szCs w:val="26"/>
          <w:lang w:val="en-GB"/>
        </w:rPr>
      </w:pPr>
      <w:r w:rsidRPr="004C1D1A">
        <w:rPr>
          <w:rFonts w:cs="Times New Roman"/>
          <w:szCs w:val="26"/>
          <w:lang w:val="en-GB"/>
        </w:rPr>
        <w:t xml:space="preserve">where </w:t>
      </w:r>
      <m:oMath>
        <m:r>
          <w:rPr>
            <w:rFonts w:ascii="Cambria Math" w:hAnsi="Cambria Math" w:cs="Times New Roman"/>
            <w:szCs w:val="26"/>
            <w:lang w:val="en-GB"/>
          </w:rPr>
          <m:t>ρ</m:t>
        </m:r>
      </m:oMath>
      <w:r>
        <w:rPr>
          <w:rFonts w:cs="Times New Roman"/>
          <w:szCs w:val="26"/>
          <w:lang w:val="en-GB"/>
        </w:rPr>
        <w:t xml:space="preserve"> is the microscopic density </w:t>
      </w:r>
      <w:r w:rsidRPr="004C1D1A">
        <w:rPr>
          <w:rFonts w:cs="Times New Roman"/>
          <w:szCs w:val="26"/>
          <w:lang w:val="en-GB"/>
        </w:rPr>
        <w:t xml:space="preserve">and </w:t>
      </w:r>
      <m:oMath>
        <m:r>
          <w:rPr>
            <w:rFonts w:ascii="Cambria Math" w:hAnsi="Cambria Math" w:cs="Times New Roman"/>
            <w:szCs w:val="26"/>
            <w:lang w:val="en-GB"/>
          </w:rPr>
          <m:t>q</m:t>
        </m:r>
      </m:oMath>
      <w:r w:rsidRPr="004C1D1A">
        <w:rPr>
          <w:rFonts w:cs="Times New Roman"/>
          <w:szCs w:val="26"/>
          <w:lang w:val="en-GB"/>
        </w:rPr>
        <w:t xml:space="preserve"> the scattering vector. The minimum value of </w:t>
      </w:r>
      <w:r w:rsidRPr="004C1D1A">
        <w:rPr>
          <w:rFonts w:cs="Times New Roman"/>
          <w:i/>
          <w:szCs w:val="26"/>
          <w:lang w:val="en-GB"/>
        </w:rPr>
        <w:t>q</w:t>
      </w:r>
      <w:r w:rsidRPr="004C1D1A">
        <w:rPr>
          <w:rFonts w:cs="Times New Roman"/>
          <w:szCs w:val="26"/>
          <w:lang w:val="en-GB"/>
        </w:rPr>
        <w:t xml:space="preserve"> in the simulations is set by the dimension of the simulation box and it is equal to </w:t>
      </w:r>
      <m:oMath>
        <m:r>
          <w:rPr>
            <w:rFonts w:ascii="Cambria Math" w:hAnsi="Cambria Math" w:cs="Times New Roman"/>
            <w:szCs w:val="26"/>
            <w:lang w:val="en-GB"/>
          </w:rPr>
          <m:t xml:space="preserve"> q=</m:t>
        </m:r>
        <m:f>
          <m:fPr>
            <m:ctrlPr>
              <w:rPr>
                <w:rFonts w:ascii="Cambria Math" w:hAnsi="Cambria Math" w:cs="Times New Roman"/>
                <w:i/>
                <w:szCs w:val="26"/>
                <w:lang w:val="en-GB"/>
              </w:rPr>
            </m:ctrlPr>
          </m:fPr>
          <m:num>
            <m:r>
              <w:rPr>
                <w:rFonts w:ascii="Cambria Math" w:hAnsi="Cambria Math" w:cs="Times New Roman"/>
                <w:szCs w:val="26"/>
                <w:lang w:val="en-GB"/>
              </w:rPr>
              <m:t>2</m:t>
            </m:r>
            <m:r>
              <w:rPr>
                <w:rFonts w:ascii="Cambria Math" w:hAnsi="Cambria Math" w:cs="Times New Roman"/>
                <w:szCs w:val="26"/>
              </w:rPr>
              <m:t>π</m:t>
            </m:r>
            <m:ctrlPr>
              <w:rPr>
                <w:rFonts w:ascii="Cambria Math" w:hAnsi="Cambria Math" w:cs="Times New Roman"/>
                <w:i/>
                <w:szCs w:val="26"/>
              </w:rPr>
            </m:ctrlPr>
          </m:num>
          <m:den>
            <m:r>
              <w:rPr>
                <w:rFonts w:ascii="Cambria Math" w:hAnsi="Cambria Math" w:cs="Times New Roman"/>
                <w:szCs w:val="26"/>
                <w:lang w:val="en-GB"/>
              </w:rPr>
              <m:t>l</m:t>
            </m:r>
          </m:den>
        </m:f>
        <m:r>
          <w:rPr>
            <w:rFonts w:ascii="Cambria Math" w:hAnsi="Cambria Math" w:cs="Times New Roman"/>
            <w:szCs w:val="26"/>
            <w:lang w:val="en-GB"/>
          </w:rPr>
          <m:t>, 0&lt;l&lt;L</m:t>
        </m:r>
      </m:oMath>
      <w:r>
        <w:rPr>
          <w:rFonts w:cs="Times New Roman"/>
          <w:szCs w:val="26"/>
          <w:lang w:val="en-GB"/>
        </w:rPr>
        <w:t xml:space="preserve"> </w:t>
      </w:r>
      <w:r w:rsidRPr="004C1D1A">
        <w:rPr>
          <w:rFonts w:cs="Times New Roman"/>
          <w:szCs w:val="26"/>
          <w:lang w:val="en-GB"/>
        </w:rPr>
        <w:t xml:space="preserve">with </w:t>
      </w:r>
      <m:oMath>
        <m:r>
          <w:rPr>
            <w:rFonts w:ascii="Cambria Math" w:hAnsi="Cambria Math" w:cs="Times New Roman"/>
            <w:szCs w:val="26"/>
            <w:lang w:val="en-GB"/>
          </w:rPr>
          <m:t>l</m:t>
        </m:r>
      </m:oMath>
      <w:r w:rsidRPr="004C1D1A">
        <w:rPr>
          <w:rFonts w:cs="Times New Roman"/>
          <w:szCs w:val="26"/>
          <w:lang w:val="en-GB"/>
        </w:rPr>
        <w:t xml:space="preserve"> being in distance units. Alternatively the </w:t>
      </w:r>
      <w:r>
        <w:rPr>
          <w:rFonts w:cs="Times New Roman"/>
          <w:szCs w:val="26"/>
          <w:lang w:val="en-GB"/>
        </w:rPr>
        <w:t xml:space="preserve">partial </w:t>
      </w:r>
      <w:r w:rsidRPr="004C1D1A">
        <w:rPr>
          <w:rFonts w:cs="Times New Roman"/>
          <w:szCs w:val="26"/>
          <w:lang w:val="en-GB"/>
        </w:rPr>
        <w:t xml:space="preserve">structure factor </w:t>
      </w:r>
      <w:r>
        <w:rPr>
          <w:rFonts w:cs="Times New Roman"/>
          <w:szCs w:val="26"/>
          <w:lang w:val="en-GB"/>
        </w:rPr>
        <w:t xml:space="preserve">by bead type </w:t>
      </w:r>
      <w:r w:rsidRPr="004C1D1A">
        <w:rPr>
          <w:rFonts w:cs="Times New Roman"/>
          <w:szCs w:val="26"/>
          <w:lang w:val="en-GB"/>
        </w:rPr>
        <w:t xml:space="preserve">can be obtained by the Debye formula, </w:t>
      </w:r>
      <w:r w:rsidRPr="004C1D1A">
        <w:rPr>
          <w:rFonts w:cs="Times New Roman"/>
          <w:i/>
          <w:szCs w:val="26"/>
          <w:lang w:val="en-GB"/>
        </w:rPr>
        <w:t>i.e.</w:t>
      </w:r>
    </w:p>
    <w:p w:rsidR="004833BB" w:rsidRPr="004C1D1A" w:rsidRDefault="004833BB" w:rsidP="004833BB">
      <w:pPr>
        <w:jc w:val="both"/>
        <w:rPr>
          <w:rFonts w:cs="Times New Roman"/>
          <w:szCs w:val="26"/>
          <w:lang w:val="en-GB"/>
        </w:rPr>
      </w:pPr>
    </w:p>
    <w:p w:rsidR="004833BB" w:rsidRPr="004C1D1A" w:rsidRDefault="00A70B57" w:rsidP="004833BB">
      <w:pPr>
        <w:jc w:val="right"/>
        <w:rPr>
          <w:rFonts w:cs="Times New Roman"/>
          <w:szCs w:val="26"/>
          <w:lang w:val="en-GB"/>
        </w:rPr>
      </w:pPr>
      <m:oMath>
        <m:sSub>
          <m:sSubPr>
            <m:ctrlPr>
              <w:rPr>
                <w:rFonts w:ascii="Cambria Math" w:hAnsi="Cambria Math" w:cs="Times New Roman"/>
                <w:i/>
                <w:szCs w:val="26"/>
                <w:lang w:val="en-GB"/>
              </w:rPr>
            </m:ctrlPr>
          </m:sSubPr>
          <m:e>
            <m:r>
              <w:rPr>
                <w:rFonts w:ascii="Cambria Math" w:hAnsi="Cambria Math" w:cs="Times New Roman"/>
                <w:szCs w:val="26"/>
                <w:lang w:val="en-GB"/>
              </w:rPr>
              <m:t>S</m:t>
            </m:r>
          </m:e>
          <m:sub>
            <m:r>
              <w:rPr>
                <w:rFonts w:ascii="Cambria Math" w:hAnsi="Cambria Math" w:cs="Times New Roman"/>
                <w:szCs w:val="26"/>
                <w:lang w:val="en-GB"/>
              </w:rPr>
              <m:t>ab</m:t>
            </m:r>
          </m:sub>
        </m:sSub>
        <m:d>
          <m:dPr>
            <m:ctrlPr>
              <w:rPr>
                <w:rFonts w:ascii="Cambria Math" w:hAnsi="Cambria Math" w:cs="Times New Roman"/>
                <w:i/>
                <w:szCs w:val="26"/>
                <w:lang w:val="en-GB"/>
              </w:rPr>
            </m:ctrlPr>
          </m:dPr>
          <m:e>
            <m:r>
              <w:rPr>
                <w:rFonts w:ascii="Cambria Math" w:hAnsi="Cambria Math" w:cs="Times New Roman"/>
                <w:szCs w:val="26"/>
                <w:lang w:val="en-GB"/>
              </w:rPr>
              <m:t>q</m:t>
            </m:r>
          </m:e>
        </m:d>
        <m:r>
          <w:rPr>
            <w:rFonts w:ascii="Cambria Math" w:hAnsi="Cambria Math" w:cs="Times New Roman"/>
            <w:szCs w:val="26"/>
            <w:lang w:val="en-GB"/>
          </w:rPr>
          <m:t xml:space="preserve"> :=</m:t>
        </m:r>
        <m:f>
          <m:fPr>
            <m:ctrlPr>
              <w:rPr>
                <w:rFonts w:ascii="Cambria Math" w:hAnsi="Cambria Math" w:cs="Times New Roman"/>
                <w:i/>
                <w:szCs w:val="26"/>
                <w:lang w:val="en-GB"/>
              </w:rPr>
            </m:ctrlPr>
          </m:fPr>
          <m:num>
            <m:r>
              <w:rPr>
                <w:rFonts w:ascii="Cambria Math" w:hAnsi="Cambria Math" w:cs="Times New Roman"/>
                <w:szCs w:val="26"/>
                <w:lang w:val="en-GB"/>
              </w:rPr>
              <m:t>1</m:t>
            </m:r>
          </m:num>
          <m:den>
            <m:nary>
              <m:naryPr>
                <m:chr m:val="∑"/>
                <m:limLoc m:val="undOvr"/>
                <m:ctrlPr>
                  <w:rPr>
                    <w:rFonts w:ascii="Cambria Math" w:hAnsi="Cambria Math" w:cs="Times New Roman"/>
                    <w:i/>
                    <w:szCs w:val="26"/>
                    <w:lang w:val="en-GB"/>
                  </w:rPr>
                </m:ctrlPr>
              </m:naryPr>
              <m:sub>
                <m:r>
                  <w:rPr>
                    <w:rFonts w:ascii="Cambria Math" w:hAnsi="Cambria Math" w:cs="Times New Roman"/>
                    <w:szCs w:val="26"/>
                    <w:lang w:val="en-GB"/>
                  </w:rPr>
                  <m:t>i=1</m:t>
                </m:r>
              </m:sub>
              <m:sup>
                <m:r>
                  <w:rPr>
                    <w:rFonts w:ascii="Cambria Math" w:hAnsi="Cambria Math" w:cs="Times New Roman"/>
                    <w:szCs w:val="26"/>
                    <w:lang w:val="en-GB"/>
                  </w:rPr>
                  <m:t>N</m:t>
                </m:r>
              </m:sup>
              <m:e>
                <m:sSubSup>
                  <m:sSubSupPr>
                    <m:ctrlPr>
                      <w:rPr>
                        <w:rFonts w:ascii="Cambria Math" w:hAnsi="Cambria Math" w:cs="Times New Roman"/>
                        <w:i/>
                        <w:szCs w:val="26"/>
                        <w:lang w:val="en-GB"/>
                      </w:rPr>
                    </m:ctrlPr>
                  </m:sSubSupPr>
                  <m:e>
                    <m:r>
                      <w:rPr>
                        <w:rFonts w:ascii="Cambria Math" w:hAnsi="Cambria Math" w:cs="Times New Roman"/>
                        <w:szCs w:val="26"/>
                        <w:lang w:val="en-GB"/>
                      </w:rPr>
                      <m:t>f</m:t>
                    </m:r>
                  </m:e>
                  <m:sub>
                    <m:r>
                      <w:rPr>
                        <w:rFonts w:ascii="Cambria Math" w:hAnsi="Cambria Math" w:cs="Times New Roman"/>
                        <w:szCs w:val="26"/>
                        <w:lang w:val="en-GB"/>
                      </w:rPr>
                      <m:t>i</m:t>
                    </m:r>
                  </m:sub>
                  <m:sup>
                    <m:r>
                      <w:rPr>
                        <w:rFonts w:ascii="Cambria Math" w:hAnsi="Cambria Math" w:cs="Times New Roman"/>
                        <w:szCs w:val="26"/>
                        <w:lang w:val="en-GB"/>
                      </w:rPr>
                      <m:t>2</m:t>
                    </m:r>
                  </m:sup>
                </m:sSubSup>
              </m:e>
            </m:nary>
          </m:den>
        </m:f>
        <m:nary>
          <m:naryPr>
            <m:chr m:val="∑"/>
            <m:limLoc m:val="undOvr"/>
            <m:ctrlPr>
              <w:rPr>
                <w:rFonts w:ascii="Cambria Math" w:hAnsi="Cambria Math" w:cs="Times New Roman"/>
                <w:i/>
                <w:szCs w:val="26"/>
                <w:lang w:val="en-GB"/>
              </w:rPr>
            </m:ctrlPr>
          </m:naryPr>
          <m:sub>
            <m:r>
              <w:rPr>
                <w:rFonts w:ascii="Cambria Math" w:hAnsi="Cambria Math" w:cs="Times New Roman"/>
                <w:szCs w:val="26"/>
                <w:lang w:val="en-GB"/>
              </w:rPr>
              <m:t>j=1</m:t>
            </m:r>
          </m:sub>
          <m:sup>
            <m:r>
              <w:rPr>
                <w:rFonts w:ascii="Cambria Math" w:hAnsi="Cambria Math" w:cs="Times New Roman"/>
                <w:szCs w:val="26"/>
                <w:lang w:val="en-GB"/>
              </w:rPr>
              <m:t>N</m:t>
            </m:r>
          </m:sup>
          <m:e>
            <m:nary>
              <m:naryPr>
                <m:chr m:val="∑"/>
                <m:limLoc m:val="undOvr"/>
                <m:ctrlPr>
                  <w:rPr>
                    <w:rFonts w:ascii="Cambria Math" w:hAnsi="Cambria Math" w:cs="Times New Roman"/>
                    <w:i/>
                    <w:szCs w:val="26"/>
                    <w:lang w:val="en-GB"/>
                  </w:rPr>
                </m:ctrlPr>
              </m:naryPr>
              <m:sub>
                <m:r>
                  <w:rPr>
                    <w:rFonts w:ascii="Cambria Math" w:hAnsi="Cambria Math" w:cs="Times New Roman"/>
                    <w:szCs w:val="26"/>
                    <w:lang w:val="en-GB"/>
                  </w:rPr>
                  <m:t>k=1</m:t>
                </m:r>
              </m:sub>
              <m:sup>
                <m:r>
                  <w:rPr>
                    <w:rFonts w:ascii="Cambria Math" w:hAnsi="Cambria Math" w:cs="Times New Roman"/>
                    <w:szCs w:val="26"/>
                    <w:lang w:val="en-GB"/>
                  </w:rPr>
                  <m:t>N</m:t>
                </m:r>
              </m:sup>
              <m:e>
                <m:sSub>
                  <m:sSubPr>
                    <m:ctrlPr>
                      <w:rPr>
                        <w:rFonts w:ascii="Cambria Math" w:hAnsi="Cambria Math" w:cs="Times New Roman"/>
                        <w:i/>
                        <w:szCs w:val="26"/>
                        <w:lang w:val="en-GB"/>
                      </w:rPr>
                    </m:ctrlPr>
                  </m:sSubPr>
                  <m:e>
                    <m:r>
                      <w:rPr>
                        <w:rFonts w:ascii="Cambria Math" w:hAnsi="Cambria Math" w:cs="Times New Roman"/>
                        <w:szCs w:val="26"/>
                        <w:lang w:val="en-GB"/>
                      </w:rPr>
                      <m:t>f</m:t>
                    </m:r>
                  </m:e>
                  <m:sub>
                    <m:r>
                      <w:rPr>
                        <w:rFonts w:ascii="Cambria Math" w:hAnsi="Cambria Math" w:cs="Times New Roman"/>
                        <w:szCs w:val="26"/>
                        <w:lang w:val="en-GB"/>
                      </w:rPr>
                      <m:t>j</m:t>
                    </m:r>
                  </m:sub>
                </m:sSub>
                <m:sSub>
                  <m:sSubPr>
                    <m:ctrlPr>
                      <w:rPr>
                        <w:rFonts w:ascii="Cambria Math" w:hAnsi="Cambria Math" w:cs="Times New Roman"/>
                        <w:i/>
                        <w:szCs w:val="26"/>
                        <w:lang w:val="en-GB"/>
                      </w:rPr>
                    </m:ctrlPr>
                  </m:sSubPr>
                  <m:e>
                    <m:r>
                      <w:rPr>
                        <w:rFonts w:ascii="Cambria Math" w:hAnsi="Cambria Math" w:cs="Times New Roman"/>
                        <w:szCs w:val="26"/>
                        <w:lang w:val="en-GB"/>
                      </w:rPr>
                      <m:t>f</m:t>
                    </m:r>
                  </m:e>
                  <m:sub>
                    <m:r>
                      <w:rPr>
                        <w:rFonts w:ascii="Cambria Math" w:hAnsi="Cambria Math" w:cs="Times New Roman"/>
                        <w:szCs w:val="26"/>
                        <w:lang w:val="en-GB"/>
                      </w:rPr>
                      <m:t>k</m:t>
                    </m:r>
                  </m:sub>
                </m:sSub>
                <m:sSup>
                  <m:sSupPr>
                    <m:ctrlPr>
                      <w:rPr>
                        <w:rFonts w:ascii="Cambria Math" w:hAnsi="Cambria Math" w:cs="Times New Roman"/>
                        <w:i/>
                        <w:szCs w:val="26"/>
                        <w:lang w:val="en-GB"/>
                      </w:rPr>
                    </m:ctrlPr>
                  </m:sSupPr>
                  <m:e>
                    <m:r>
                      <w:rPr>
                        <w:rFonts w:ascii="Cambria Math" w:hAnsi="Cambria Math" w:cs="Times New Roman"/>
                        <w:szCs w:val="26"/>
                        <w:lang w:val="en-GB"/>
                      </w:rPr>
                      <m:t>e</m:t>
                    </m:r>
                  </m:e>
                  <m:sup>
                    <m:r>
                      <w:rPr>
                        <w:rFonts w:ascii="Cambria Math" w:hAnsi="Cambria Math" w:cs="Times New Roman"/>
                        <w:szCs w:val="26"/>
                        <w:lang w:val="en-GB"/>
                      </w:rPr>
                      <m:t>-i</m:t>
                    </m:r>
                    <m:r>
                      <m:rPr>
                        <m:sty m:val="bi"/>
                      </m:rPr>
                      <w:rPr>
                        <w:rFonts w:ascii="Cambria Math" w:hAnsi="Cambria Math" w:cs="Times New Roman"/>
                        <w:szCs w:val="26"/>
                        <w:lang w:val="en-GB"/>
                      </w:rPr>
                      <m:t>q</m:t>
                    </m:r>
                    <m:r>
                      <w:rPr>
                        <w:rFonts w:ascii="Cambria Math" w:hAnsi="Cambria Math" w:cs="Times New Roman"/>
                        <w:szCs w:val="26"/>
                        <w:lang w:val="en-GB"/>
                      </w:rPr>
                      <m:t>(</m:t>
                    </m:r>
                    <m:sSub>
                      <m:sSubPr>
                        <m:ctrlPr>
                          <w:rPr>
                            <w:rFonts w:ascii="Cambria Math" w:hAnsi="Cambria Math" w:cs="Times New Roman"/>
                            <w:i/>
                            <w:szCs w:val="26"/>
                            <w:lang w:val="en-GB"/>
                          </w:rPr>
                        </m:ctrlPr>
                      </m:sSubPr>
                      <m:e>
                        <m:r>
                          <m:rPr>
                            <m:sty m:val="bi"/>
                          </m:rPr>
                          <w:rPr>
                            <w:rFonts w:ascii="Cambria Math" w:hAnsi="Cambria Math" w:cs="Times New Roman"/>
                            <w:szCs w:val="26"/>
                            <w:lang w:val="en-GB"/>
                          </w:rPr>
                          <m:t>R</m:t>
                        </m:r>
                      </m:e>
                      <m:sub>
                        <m:r>
                          <w:rPr>
                            <w:rFonts w:ascii="Cambria Math" w:hAnsi="Cambria Math" w:cs="Times New Roman"/>
                            <w:szCs w:val="26"/>
                            <w:lang w:val="en-GB"/>
                          </w:rPr>
                          <m:t>j</m:t>
                        </m:r>
                      </m:sub>
                    </m:sSub>
                    <m:r>
                      <w:rPr>
                        <w:rFonts w:ascii="Cambria Math" w:hAnsi="Cambria Math" w:cs="Times New Roman"/>
                        <w:szCs w:val="26"/>
                        <w:lang w:val="en-GB"/>
                      </w:rPr>
                      <m:t>-</m:t>
                    </m:r>
                    <m:sSub>
                      <m:sSubPr>
                        <m:ctrlPr>
                          <w:rPr>
                            <w:rFonts w:ascii="Cambria Math" w:hAnsi="Cambria Math" w:cs="Times New Roman"/>
                            <w:i/>
                            <w:szCs w:val="26"/>
                            <w:lang w:val="en-GB"/>
                          </w:rPr>
                        </m:ctrlPr>
                      </m:sSubPr>
                      <m:e>
                        <m:r>
                          <m:rPr>
                            <m:sty m:val="bi"/>
                          </m:rPr>
                          <w:rPr>
                            <w:rFonts w:ascii="Cambria Math" w:hAnsi="Cambria Math" w:cs="Times New Roman"/>
                            <w:szCs w:val="26"/>
                            <w:lang w:val="en-GB"/>
                          </w:rPr>
                          <m:t>R</m:t>
                        </m:r>
                      </m:e>
                      <m:sub>
                        <m:r>
                          <w:rPr>
                            <w:rFonts w:ascii="Cambria Math" w:hAnsi="Cambria Math" w:cs="Times New Roman"/>
                            <w:szCs w:val="26"/>
                            <w:lang w:val="en-GB"/>
                          </w:rPr>
                          <m:t>k</m:t>
                        </m:r>
                      </m:sub>
                    </m:sSub>
                    <m:r>
                      <w:rPr>
                        <w:rFonts w:ascii="Cambria Math" w:hAnsi="Cambria Math" w:cs="Times New Roman"/>
                        <w:szCs w:val="26"/>
                        <w:lang w:val="en-GB"/>
                      </w:rPr>
                      <m:t>)</m:t>
                    </m:r>
                  </m:sup>
                </m:sSup>
              </m:e>
            </m:nary>
          </m:e>
        </m:nary>
      </m:oMath>
      <w:r w:rsidR="004833BB" w:rsidRPr="004C1D1A">
        <w:rPr>
          <w:rFonts w:cs="Times New Roman"/>
          <w:szCs w:val="26"/>
          <w:lang w:val="en-GB"/>
        </w:rPr>
        <w:t xml:space="preserve">    </w:t>
      </w:r>
      <w:r w:rsidR="004833BB" w:rsidRPr="004C1D1A">
        <w:rPr>
          <w:rFonts w:cs="Times New Roman"/>
          <w:szCs w:val="26"/>
          <w:lang w:val="en-GB"/>
        </w:rPr>
        <w:tab/>
      </w:r>
      <w:r w:rsidR="004833BB" w:rsidRPr="004C1D1A">
        <w:rPr>
          <w:rFonts w:cs="Times New Roman"/>
          <w:szCs w:val="26"/>
          <w:lang w:val="en-GB"/>
        </w:rPr>
        <w:tab/>
        <w:t xml:space="preserve">    </w:t>
      </w:r>
      <w:r w:rsidR="004833BB">
        <w:rPr>
          <w:rFonts w:cs="Times New Roman"/>
          <w:i/>
          <w:szCs w:val="26"/>
          <w:lang w:val="en-GB"/>
        </w:rPr>
        <w:t>(2.10</w:t>
      </w:r>
      <w:r w:rsidR="004833BB" w:rsidRPr="004C1D1A">
        <w:rPr>
          <w:rFonts w:cs="Times New Roman"/>
          <w:i/>
          <w:szCs w:val="26"/>
          <w:lang w:val="en-GB"/>
        </w:rPr>
        <w:t>)</w:t>
      </w:r>
    </w:p>
    <w:p w:rsidR="004833BB" w:rsidRPr="004C1D1A" w:rsidRDefault="004833BB" w:rsidP="004833BB">
      <w:pPr>
        <w:jc w:val="right"/>
        <w:rPr>
          <w:rFonts w:cs="Times New Roman"/>
          <w:szCs w:val="26"/>
          <w:lang w:val="en-GB"/>
        </w:rPr>
      </w:pPr>
    </w:p>
    <w:p w:rsidR="004833BB" w:rsidRPr="004C1D1A" w:rsidRDefault="004833BB" w:rsidP="004833BB">
      <w:pPr>
        <w:jc w:val="both"/>
        <w:rPr>
          <w:rFonts w:cs="Times New Roman"/>
          <w:szCs w:val="26"/>
          <w:lang w:val="en-GB"/>
        </w:rPr>
      </w:pPr>
      <w:r w:rsidRPr="004C1D1A">
        <w:rPr>
          <w:rFonts w:cs="Times New Roman"/>
          <w:szCs w:val="26"/>
          <w:lang w:val="en-GB"/>
        </w:rPr>
        <w:t xml:space="preserve">with </w:t>
      </w:r>
      <w:r w:rsidRPr="00FF0061">
        <w:rPr>
          <w:rFonts w:cs="Times New Roman"/>
          <w:i/>
          <w:szCs w:val="26"/>
          <w:lang w:val="en-GB"/>
        </w:rPr>
        <w:t>f</w:t>
      </w:r>
      <w:r w:rsidRPr="004C1D1A">
        <w:rPr>
          <w:rFonts w:cs="Times New Roman"/>
          <w:szCs w:val="26"/>
          <w:vertAlign w:val="subscript"/>
          <w:lang w:val="en-GB"/>
        </w:rPr>
        <w:t xml:space="preserve"> </w:t>
      </w:r>
      <w:r w:rsidRPr="004C1D1A">
        <w:rPr>
          <w:rFonts w:cs="Times New Roman"/>
          <w:szCs w:val="26"/>
          <w:lang w:val="en-GB"/>
        </w:rPr>
        <w:t xml:space="preserve">is the atomic form factor and </w:t>
      </w:r>
      <w:r w:rsidRPr="00FF0061">
        <w:rPr>
          <w:rFonts w:cs="Times New Roman"/>
          <w:b/>
          <w:i/>
          <w:szCs w:val="26"/>
          <w:lang w:val="en-GB"/>
        </w:rPr>
        <w:t>R</w:t>
      </w:r>
      <w:r w:rsidRPr="004C1D1A">
        <w:rPr>
          <w:rFonts w:cs="Times New Roman"/>
          <w:b/>
          <w:szCs w:val="26"/>
          <w:vertAlign w:val="subscript"/>
          <w:lang w:val="en-GB"/>
        </w:rPr>
        <w:t xml:space="preserve"> </w:t>
      </w:r>
      <w:r w:rsidRPr="004C1D1A">
        <w:rPr>
          <w:rFonts w:cs="Times New Roman"/>
          <w:szCs w:val="26"/>
          <w:lang w:val="en-GB"/>
        </w:rPr>
        <w:t xml:space="preserve">the positions of atoms (in our case the position of beads). In the present study the </w:t>
      </w:r>
      <w:r w:rsidRPr="004C1D1A">
        <w:rPr>
          <w:rFonts w:cs="Times New Roman"/>
          <w:lang w:val="en-GB"/>
        </w:rPr>
        <w:t xml:space="preserve">structure factor </w:t>
      </w:r>
      <w:r w:rsidRPr="004C1D1A">
        <w:rPr>
          <w:rFonts w:cs="Times New Roman"/>
          <w:szCs w:val="26"/>
          <w:lang w:val="en-GB"/>
        </w:rPr>
        <w:t xml:space="preserve">is calculated </w:t>
      </w:r>
      <w:r w:rsidRPr="004C1D1A">
        <w:rPr>
          <w:rFonts w:cs="Times New Roman"/>
          <w:lang w:val="en-GB"/>
        </w:rPr>
        <w:t xml:space="preserve">using the Debye formula </w:t>
      </w:r>
      <w:r>
        <w:rPr>
          <w:rFonts w:cs="Times New Roman"/>
          <w:szCs w:val="26"/>
          <w:lang w:val="en-GB"/>
        </w:rPr>
        <w:t xml:space="preserve">(2.10) and the form factors are all assumed to be the same and equal to one </w:t>
      </w:r>
      <w:r w:rsidRPr="004C1D1A">
        <w:rPr>
          <w:rFonts w:cs="Times New Roman"/>
          <w:szCs w:val="26"/>
          <w:lang w:val="en-GB"/>
        </w:rPr>
        <w:fldChar w:fldCharType="begin" w:fldLock="1"/>
      </w:r>
      <w:r>
        <w:rPr>
          <w:rFonts w:cs="Times New Roman"/>
          <w:szCs w:val="26"/>
          <w:lang w:val="en-GB"/>
        </w:rPr>
        <w:instrText>ADDIN CSL_CITATION {"citationItems":[{"id":"ITEM-1","itemData":{"DOI":"10.1039/b710801j","ISBN":"1744-683X","ISSN":"1744683X","PMID":"250174200009","abstract":"A model to perform coarse grained molecular dynamics simulations of room temperature ionic liquids of the family 1-n-alkyl-3-methylimidazolium hexafluorophosphate has been developed. Large scale simulations of ionic liquids with butyl, heptyl, and decyl side chains have been carried out. Calculated structure factors demonstrate intermediate range ordering in these liquids. The spatial correlations between anions are shown to dominate the neutron or X-ray scattering at low wave vectors. Ionic liquids with long side chains exhibit a bicontinuous morphology, one region consisting of polar moieties and the other of non-polar, alkyl tails.","author":[{"dropping-particle":"","family":"Bhargava","given":"B. Lokegowda","non-dropping-particle":"","parse-names":false,"suffix":""},{"dropping-particle":"","family":"Devane","given":"Russell","non-dropping-particle":"","parse-names":false,"suffix":""},{"dropping-particle":"","family":"Klein","given":"Michael L.","non-dropping-particle":"","parse-names":false,"suffix":""},{"dropping-particle":"","family":"Balasubramanian","given":"Sundaram","non-dropping-particle":"","parse-names":false,"suffix":""}],"container-title":"Soft Matter","id":"ITEM-1","issue":"11","issued":{"date-parts":[["2007"]]},"page":"1395-1400","title":"Nanoscale organization in room temperature ionic liquids: A coarse grained molecular dynamics simulation study","type":"article-journal","volume":"3"},"uris":["http://www.mendeley.com/documents/?uuid=16085b2f-f724-495e-94e3-b42d07713b5a"]},{"id":"ITEM-2","itemData":{"DOI":"10.1039/b925780b","ISBN":"1463-9076","ISSN":"14639076","PMID":"20428551","abstract":"A coarse-grained ionic liquid model has been developed to investigate the structure and dynamic properties of 1-n-alkyl-3-methylimidazolium hexafluorophosphate [C(n)mim][PF(6)] ionic liquids with alkyl chains up to ten carbon atoms. Two mapping schemes are compared, showing that different ways of grouping the atoms into coarse-grained beads affect differently the structure and dynamics of the liquid. The simulations predict that upon increasing the length of the alkyl tail the diffusion coefficients of the cations expectedly decrease while the anion diffusion becomes slightly faster. Moreover, the reduced dynamic heterogeneity of the liquids at low temperature is due to a decrease in the number of the slow particles only. At the timescale where the models show their highest dynamic heterogeneity, the cross-over displacement, after which part of the anions show fast dynamics, is consistently higher in C(10) than in C(4) and it is higher than the one found for the cations. This suggests that the cages in which the anions are trapped (at this time scale) are larger in [C(10)mim][PF(6)] than in [C(4)mim][PF(6)]. For the cations, the cross-over displacement has almost the same value for [C(4)mim][PF(6)] and [C(10)mim][PF(6)].","author":[{"dropping-particle":"","family":"Karimi-Varzaneh","given":"Hossein Ali","non-dropping-particle":"","parse-names":false,"suffix":""},{"dropping-particle":"","family":"Müller-Plathe","given":"Florian","non-dropping-particle":"","parse-names":false,"suffix":""},{"dropping-particle":"","family":"Balasubramanian","given":"Sundaram","non-dropping-particle":"","parse-names":false,"suffix":""},{"dropping-particle":"","family":"Carbone","given":"Paola","non-dropping-particle":"","parse-names":false,"suffix":""}],"container-title":"Physical Chemistry Chemical Physics","id":"ITEM-2","issue":"18","issued":{"date-parts":[["2010"]]},"page":"4714-4724","title":"Studying long-time dynamics of imidazolium-based ionic liquids with a systematically coarse-grained model","type":"article-journal","volume":"12"},"uris":["http://www.mendeley.com/documents/?uuid=e676c0c3-e10d-40e1-b54a-f31f95664416"]},{"id":"ITEM-3","itemData":{"DOI":"10.1016/j.cplett.2008.06.054","author":[{"dropping-particle":"","family":"Khokhlov","given":"Alexei R","non-dropping-particle":"","parse-names":false,"suffix":""},{"dropping-particle":"","family":"Khalatur","given":"Pavel G","non-dropping-particle":"","parse-names":false,"suffix":""}],"id":"ITEM-3","issued":{"date-parts":[["2008"]]},"page":"58-63","title":"Microphase separation in diblock copolymers with amphiphilic block : Local chemical structure can dictate global morphology","type":"article-journal","volume":"461"},"uris":["http://www.mendeley.com/documents/?uuid=01b5bd47-6394-47b5-a6d1-01d0545efbed"]}],"mendeley":{"formattedCitation":"[52–54]","plainTextFormattedCitation":"[52–54]","previouslyFormattedCitation":"[51–53]"},"properties":{"noteIndex":0},"schema":"https://github.com/citation-style-language/schema/raw/master/csl-citation.json"}</w:instrText>
      </w:r>
      <w:r w:rsidRPr="004C1D1A">
        <w:rPr>
          <w:rFonts w:cs="Times New Roman"/>
          <w:szCs w:val="26"/>
          <w:lang w:val="en-GB"/>
        </w:rPr>
        <w:fldChar w:fldCharType="separate"/>
      </w:r>
      <w:r w:rsidRPr="00AE58EB">
        <w:rPr>
          <w:rFonts w:cs="Times New Roman"/>
          <w:noProof/>
          <w:szCs w:val="26"/>
          <w:lang w:val="en-GB"/>
        </w:rPr>
        <w:t>[52–54]</w:t>
      </w:r>
      <w:r w:rsidRPr="004C1D1A">
        <w:rPr>
          <w:rFonts w:cs="Times New Roman"/>
          <w:szCs w:val="26"/>
          <w:lang w:val="en-GB"/>
        </w:rPr>
        <w:fldChar w:fldCharType="end"/>
      </w:r>
      <w:r w:rsidRPr="004C1D1A">
        <w:rPr>
          <w:rFonts w:cs="Times New Roman"/>
          <w:szCs w:val="26"/>
          <w:lang w:val="en-GB"/>
        </w:rPr>
        <w:t xml:space="preserve">. </w:t>
      </w:r>
    </w:p>
    <w:p w:rsidR="004833BB" w:rsidRPr="004C1D1A" w:rsidRDefault="004833BB" w:rsidP="004833BB">
      <w:pPr>
        <w:jc w:val="both"/>
        <w:rPr>
          <w:rFonts w:cs="Times New Roman"/>
          <w:szCs w:val="26"/>
          <w:lang w:val="en-GB"/>
        </w:rPr>
      </w:pPr>
    </w:p>
    <w:p w:rsidR="004833BB" w:rsidRPr="004C1D1A" w:rsidRDefault="004833BB" w:rsidP="004833BB">
      <w:pPr>
        <w:jc w:val="center"/>
        <w:rPr>
          <w:rFonts w:cs="Times New Roman"/>
          <w:b/>
          <w:szCs w:val="26"/>
          <w:lang w:val="en-GB"/>
        </w:rPr>
      </w:pPr>
      <w:r w:rsidRPr="004C1D1A">
        <w:rPr>
          <w:rFonts w:cs="Times New Roman"/>
          <w:b/>
          <w:szCs w:val="26"/>
          <w:lang w:val="en-GB"/>
        </w:rPr>
        <w:t>2.5 Aspect ratio and contour length</w:t>
      </w:r>
    </w:p>
    <w:p w:rsidR="004833BB" w:rsidRPr="004C1D1A" w:rsidRDefault="004833BB" w:rsidP="004833BB">
      <w:pPr>
        <w:jc w:val="center"/>
        <w:rPr>
          <w:rFonts w:cs="Times New Roman"/>
          <w:b/>
          <w:szCs w:val="26"/>
          <w:lang w:val="en-GB"/>
        </w:rPr>
      </w:pPr>
    </w:p>
    <w:p w:rsidR="004833BB" w:rsidRPr="004C1D1A" w:rsidRDefault="004833BB" w:rsidP="004833BB">
      <w:pPr>
        <w:ind w:firstLine="720"/>
        <w:jc w:val="both"/>
        <w:rPr>
          <w:rFonts w:cs="Times New Roman"/>
          <w:lang w:val="en-GB"/>
        </w:rPr>
      </w:pPr>
      <w:r w:rsidRPr="004C1D1A">
        <w:rPr>
          <w:rFonts w:cs="Times New Roman"/>
          <w:lang w:val="en-GB"/>
        </w:rPr>
        <w:t xml:space="preserve">The aspect ratio of a micelle is the ratio of its </w:t>
      </w:r>
      <w:r>
        <w:rPr>
          <w:rFonts w:cs="Times New Roman"/>
          <w:lang w:val="en-GB"/>
        </w:rPr>
        <w:t>lengths</w:t>
      </w:r>
      <w:r w:rsidRPr="004C1D1A">
        <w:rPr>
          <w:rFonts w:cs="Times New Roman"/>
          <w:lang w:val="en-GB"/>
        </w:rPr>
        <w:t xml:space="preserve"> in different </w:t>
      </w:r>
      <w:r>
        <w:rPr>
          <w:rFonts w:cs="Times New Roman"/>
          <w:lang w:val="en-GB"/>
        </w:rPr>
        <w:t xml:space="preserve">orthogonal </w:t>
      </w:r>
      <w:r w:rsidRPr="004C1D1A">
        <w:rPr>
          <w:rFonts w:cs="Times New Roman"/>
          <w:lang w:val="en-GB"/>
        </w:rPr>
        <w:t xml:space="preserve">dimensions. The closer this fraction is to 1 the more spherical the shape is, thus for perfect spheres it is exactly 1. </w:t>
      </w:r>
    </w:p>
    <w:p w:rsidR="004833BB" w:rsidRPr="004C1D1A" w:rsidRDefault="004833BB" w:rsidP="004833BB">
      <w:pPr>
        <w:ind w:firstLine="720"/>
        <w:jc w:val="both"/>
        <w:rPr>
          <w:rFonts w:cs="Times New Roman"/>
          <w:lang w:val="en-GB"/>
        </w:rPr>
      </w:pPr>
      <w:r w:rsidRPr="004C1D1A">
        <w:rPr>
          <w:rFonts w:cs="Times New Roman"/>
          <w:lang w:val="en-GB"/>
        </w:rPr>
        <w:t xml:space="preserve">In order to find the aspect ratio a micelle based axes coordinate system is defined. The centre of mass (COM) of each micelle is taken as the origin and the furthest point from the COM is found by calculating the greatest distance,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m</m:t>
            </m:r>
          </m:sub>
        </m:sSub>
      </m:oMath>
      <w:r w:rsidRPr="004C1D1A">
        <w:rPr>
          <w:rFonts w:cs="Times New Roman"/>
          <w:lang w:val="en-GB"/>
        </w:rPr>
        <w:t xml:space="preserve">, of a point on the surface from it. These two points define one axis and from this axis two more orthogonal axes are defined so that an orthonormal system of coordinates is formed. In case of spherical micelles the choice of x-axis is arbitrary and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m</m:t>
            </m:r>
          </m:sub>
        </m:sSub>
      </m:oMath>
      <w:r w:rsidRPr="004C1D1A">
        <w:rPr>
          <w:rFonts w:cs="Times New Roman"/>
          <w:lang w:val="en-GB"/>
        </w:rPr>
        <w:t xml:space="preserve"> will give the radius of the micelle. </w:t>
      </w:r>
    </w:p>
    <w:p w:rsidR="004833BB" w:rsidRPr="00BC39F9" w:rsidRDefault="004833BB" w:rsidP="004833BB">
      <w:pPr>
        <w:jc w:val="both"/>
        <w:rPr>
          <w:rFonts w:cs="Times New Roman"/>
          <w:i/>
          <w:vertAlign w:val="superscript"/>
          <w:lang w:val="en-GB"/>
        </w:rPr>
      </w:pPr>
      <w:r w:rsidRPr="004C1D1A">
        <w:rPr>
          <w:rFonts w:cs="Times New Roman"/>
          <w:lang w:val="en-GB"/>
        </w:rPr>
        <w:tab/>
        <w:t xml:space="preserve">For spherical and rod-like micelles </w:t>
      </w:r>
      <w:r>
        <w:rPr>
          <w:rFonts w:cs="Times New Roman"/>
          <w:lang w:val="en-GB"/>
        </w:rPr>
        <w:t>the aspect ratio</w:t>
      </w:r>
      <w:r w:rsidRPr="004C1D1A">
        <w:rPr>
          <w:rFonts w:cs="Times New Roman"/>
          <w:lang w:val="en-GB"/>
        </w:rPr>
        <w:t xml:space="preserve"> will be meani</w:t>
      </w:r>
      <w:r>
        <w:rPr>
          <w:rFonts w:cs="Times New Roman"/>
          <w:lang w:val="en-GB"/>
        </w:rPr>
        <w:t>ngful, however in the case</w:t>
      </w:r>
      <w:r w:rsidRPr="004C1D1A">
        <w:rPr>
          <w:rFonts w:cs="Times New Roman"/>
          <w:lang w:val="en-GB"/>
        </w:rPr>
        <w:t xml:space="preserve"> of </w:t>
      </w:r>
      <w:r>
        <w:rPr>
          <w:rFonts w:cs="Times New Roman"/>
          <w:lang w:val="en-GB"/>
        </w:rPr>
        <w:t xml:space="preserve">WLMs </w:t>
      </w:r>
      <w:r w:rsidRPr="004C1D1A">
        <w:rPr>
          <w:rFonts w:cs="Times New Roman"/>
          <w:lang w:val="en-GB"/>
        </w:rPr>
        <w:t>the aspect ratio cannot be calculated as these structures are flexible and so do not span linearly in space</w:t>
      </w:r>
      <w:r>
        <w:rPr>
          <w:rFonts w:cs="Times New Roman"/>
          <w:lang w:val="en-GB"/>
        </w:rPr>
        <w:t>. Instead,</w:t>
      </w:r>
      <w:r w:rsidRPr="004C1D1A">
        <w:rPr>
          <w:rFonts w:cs="Times New Roman"/>
          <w:lang w:val="en-GB"/>
        </w:rPr>
        <w:t xml:space="preserve"> </w:t>
      </w:r>
      <w:r>
        <w:rPr>
          <w:rFonts w:cs="Times New Roman"/>
          <w:lang w:val="en-GB"/>
        </w:rPr>
        <w:t>f</w:t>
      </w:r>
      <w:r w:rsidRPr="004C1D1A">
        <w:rPr>
          <w:rFonts w:cs="Times New Roman"/>
          <w:lang w:val="en-GB"/>
        </w:rPr>
        <w:t xml:space="preserve">or these micelles the contour length will be calculated in similar manner to ref. </w:t>
      </w:r>
      <w:r w:rsidRPr="004C1D1A">
        <w:rPr>
          <w:rFonts w:cs="Times New Roman"/>
          <w:lang w:val="en-GB"/>
        </w:rPr>
        <w:fldChar w:fldCharType="begin" w:fldLock="1"/>
      </w:r>
      <w:r>
        <w:rPr>
          <w:rFonts w:cs="Times New Roman"/>
          <w:lang w:val="en-GB"/>
        </w:rPr>
        <w:instrText>ADDIN CSL_CITATION {"citationItems":[{"id":"ITEM-1","itemData":{"DOI":"10.1063/1.4926422","ISSN":"00219606","PMID":"26178125","abstract":"We investigate the morphology and energetics of a self-associating model cationic surfactant in water using coarse-grained molecular dynamics simulations. We develop an algorithm to track micelles contours and quantify various microstructural features, such as contour length, persistence length, mesh size, and entanglement-length. We demonstrate that branched and multiconnected structures govern the anomalous dependence of zero-shear viscosity on salt concentration. We predict reliably the end-cap energy of micelles, for the first time, from simulations.","author":[{"dropping-particle":"","family":"Dhakal","given":"Subas","non-dropping-particle":"","parse-names":false,"suffix":""},{"dropping-particle":"","family":"Sureshkumar","given":"Radhakrishna","non-dropping-particle":"","parse-names":false,"suffix":""}],"container-title":"Journal of Chemical Physics","id":"ITEM-1","issue":"2","issued":{"date-parts":[["2015"]]},"page":"024905","title":"Topology, length scales, and energetics of surfactant micelles","type":"article-journal","volume":"143"},"uris":["http://www.mendeley.com/documents/?uuid=685adf38-ae8a-4def-8c57-0e2c20a47674"]}],"mendeley":{"formattedCitation":"[51]","plainTextFormattedCitation":"[51]","previouslyFormattedCitation":"[50]"},"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[51]</w:t>
      </w:r>
      <w:r w:rsidRPr="004C1D1A">
        <w:rPr>
          <w:rFonts w:cs="Times New Roman"/>
          <w:lang w:val="en-GB"/>
        </w:rPr>
        <w:fldChar w:fldCharType="end"/>
      </w:r>
      <w:r w:rsidRPr="004C1D1A">
        <w:rPr>
          <w:rFonts w:cs="Times New Roman"/>
          <w:lang w:val="en-GB"/>
        </w:rPr>
        <w:t>. Initially the micelles will be further coarse</w:t>
      </w:r>
      <w:r>
        <w:rPr>
          <w:rFonts w:cs="Times New Roman"/>
          <w:lang w:val="en-GB"/>
        </w:rPr>
        <w:t xml:space="preserve">- </w:t>
      </w:r>
      <w:r w:rsidRPr="004C1D1A">
        <w:rPr>
          <w:rFonts w:cs="Times New Roman"/>
          <w:lang w:val="en-GB"/>
        </w:rPr>
        <w:t xml:space="preserve">grained by grouping </w:t>
      </w:r>
      <w:r>
        <w:rPr>
          <w:rFonts w:cs="Times New Roman"/>
          <w:lang w:val="en-GB"/>
        </w:rPr>
        <w:t xml:space="preserve">the </w:t>
      </w:r>
      <w:r w:rsidRPr="004C1D1A">
        <w:rPr>
          <w:rFonts w:cs="Times New Roman"/>
          <w:lang w:val="en-GB"/>
        </w:rPr>
        <w:t xml:space="preserve">surfactants into larger superbeads. </w:t>
      </w:r>
      <w:r>
        <w:rPr>
          <w:rFonts w:cs="Times New Roman"/>
          <w:lang w:val="en-GB"/>
        </w:rPr>
        <w:t xml:space="preserve">In order to do this a sphere of radius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sb</m:t>
            </m:r>
          </m:sub>
        </m:sSub>
      </m:oMath>
      <w:r>
        <w:rPr>
          <w:rFonts w:cs="Times New Roman"/>
          <w:lang w:val="en-GB"/>
        </w:rPr>
        <w:t xml:space="preserve"> is drawn around each head group with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sb</m:t>
            </m:r>
          </m:sub>
        </m:sSub>
      </m:oMath>
      <w:r>
        <w:rPr>
          <w:rFonts w:cs="Times New Roman"/>
          <w:lang w:val="en-GB"/>
        </w:rPr>
        <w:t xml:space="preserve"> taken to be the radius of a spherical micelle,</w:t>
      </w:r>
      <w:r w:rsidRPr="004C1D1A">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m</m:t>
            </m:r>
          </m:sub>
        </m:sSub>
      </m:oMath>
      <w:r>
        <w:rPr>
          <w:rFonts w:cs="Times New Roman"/>
          <w:lang w:val="en-GB"/>
        </w:rPr>
        <w:t xml:space="preserve">. The number density </w:t>
      </w:r>
      <m:oMath>
        <m:sSup>
          <m:sSupPr>
            <m:ctrlPr>
              <w:rPr>
                <w:rFonts w:ascii="Cambria Math" w:hAnsi="Cambria Math" w:cs="Times New Roman"/>
                <w:i/>
                <w:lang w:val="en-GB"/>
              </w:rPr>
            </m:ctrlPr>
          </m:sSupPr>
          <m:e>
            <m:r>
              <w:rPr>
                <w:rFonts w:ascii="Cambria Math" w:hAnsi="Cambria Math" w:cs="Times New Roman"/>
                <w:lang w:val="en-GB"/>
              </w:rPr>
              <m:t>ρ</m:t>
            </m:r>
          </m:e>
          <m:sup>
            <m:r>
              <w:rPr>
                <w:rFonts w:ascii="Cambria Math" w:hAnsi="Cambria Math" w:cs="Times New Roman"/>
                <w:lang w:val="en-GB"/>
              </w:rPr>
              <m:t>*</m:t>
            </m:r>
          </m:sup>
        </m:sSup>
      </m:oMath>
      <w:r>
        <w:rPr>
          <w:rFonts w:cs="Times New Roman"/>
          <w:lang w:val="en-GB"/>
        </w:rPr>
        <w:t xml:space="preserve"> of each sphere was calculated and the sphere with the highest </w:t>
      </w:r>
      <m:oMath>
        <m:sSup>
          <m:sSupPr>
            <m:ctrlPr>
              <w:rPr>
                <w:rFonts w:ascii="Cambria Math" w:hAnsi="Cambria Math" w:cs="Times New Roman"/>
                <w:i/>
                <w:lang w:val="en-GB"/>
              </w:rPr>
            </m:ctrlPr>
          </m:sSupPr>
          <m:e>
            <m:r>
              <w:rPr>
                <w:rFonts w:ascii="Cambria Math" w:hAnsi="Cambria Math" w:cs="Times New Roman"/>
                <w:lang w:val="en-GB"/>
              </w:rPr>
              <m:t>ρ</m:t>
            </m:r>
          </m:e>
          <m:sup>
            <m:r>
              <w:rPr>
                <w:rFonts w:ascii="Cambria Math" w:hAnsi="Cambria Math" w:cs="Times New Roman"/>
                <w:lang w:val="en-GB"/>
              </w:rPr>
              <m:t>*</m:t>
            </m:r>
          </m:sup>
        </m:sSup>
      </m:oMath>
      <w:r>
        <w:rPr>
          <w:rFonts w:cs="Times New Roman"/>
          <w:lang w:val="en-GB"/>
        </w:rPr>
        <w:t xml:space="preserve"> was picked as a starting superbead. Around this initial superbead, </w:t>
      </w:r>
      <w:r>
        <w:rPr>
          <w:rFonts w:cs="Times New Roman"/>
          <w:i/>
          <w:lang w:val="en-GB"/>
        </w:rPr>
        <w:t>n</w:t>
      </w:r>
      <w:r>
        <w:rPr>
          <w:rFonts w:cs="Times New Roman"/>
          <w:i/>
          <w:vertAlign w:val="superscript"/>
          <w:lang w:val="en-GB"/>
        </w:rPr>
        <w:t>*</w:t>
      </w:r>
      <w:r>
        <w:rPr>
          <w:rFonts w:cs="Times New Roman"/>
          <w:lang w:val="en-GB"/>
        </w:rPr>
        <w:t xml:space="preserve"> new trial spheres are randomly generated at a distance of </w:t>
      </w:r>
      <m:oMath>
        <m:r>
          <w:rPr>
            <w:rFonts w:ascii="Cambria Math" w:hAnsi="Cambria Math" w:cs="Times New Roman"/>
            <w:lang w:val="en-GB"/>
          </w:rPr>
          <m:t>2</m:t>
        </m:r>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sb</m:t>
            </m:r>
          </m:sub>
        </m:sSub>
      </m:oMath>
      <w:r>
        <w:rPr>
          <w:rFonts w:cs="Times New Roman"/>
          <w:lang w:val="en-GB"/>
        </w:rPr>
        <w:t xml:space="preserve"> from the initial superbead. Again </w:t>
      </w:r>
      <m:oMath>
        <m:sSup>
          <m:sSupPr>
            <m:ctrlPr>
              <w:rPr>
                <w:rFonts w:ascii="Cambria Math" w:hAnsi="Cambria Math" w:cs="Times New Roman"/>
                <w:i/>
                <w:lang w:val="en-GB"/>
              </w:rPr>
            </m:ctrlPr>
          </m:sSupPr>
          <m:e>
            <m:r>
              <w:rPr>
                <w:rFonts w:ascii="Cambria Math" w:hAnsi="Cambria Math" w:cs="Times New Roman"/>
                <w:lang w:val="en-GB"/>
              </w:rPr>
              <m:t>ρ</m:t>
            </m:r>
          </m:e>
          <m:sup>
            <m:r>
              <w:rPr>
                <w:rFonts w:ascii="Cambria Math" w:hAnsi="Cambria Math" w:cs="Times New Roman"/>
                <w:lang w:val="en-GB"/>
              </w:rPr>
              <m:t>*</m:t>
            </m:r>
          </m:sup>
        </m:sSup>
        <m:r>
          <w:rPr>
            <w:rFonts w:ascii="Cambria Math" w:hAnsi="Cambria Math" w:cs="Times New Roman"/>
            <w:lang w:val="en-GB"/>
          </w:rPr>
          <m:t xml:space="preserve"> </m:t>
        </m:r>
      </m:oMath>
      <w:r>
        <w:rPr>
          <w:rFonts w:cs="Times New Roman"/>
          <w:lang w:val="en-GB"/>
        </w:rPr>
        <w:t xml:space="preserve">was calculated for the trial sphere and the trial sphere with the highest value is selected, unless it is overlapping with a previously accepted superbead. This procedure is repeated until an end is reached, where the end is defined as having no trial spheres with </w:t>
      </w:r>
      <m:oMath>
        <m:sSup>
          <m:sSupPr>
            <m:ctrlPr>
              <w:rPr>
                <w:rFonts w:ascii="Cambria Math" w:hAnsi="Cambria Math" w:cs="Times New Roman"/>
                <w:i/>
                <w:lang w:val="en-GB"/>
              </w:rPr>
            </m:ctrlPr>
          </m:sSupPr>
          <m:e>
            <m:r>
              <w:rPr>
                <w:rFonts w:ascii="Cambria Math" w:hAnsi="Cambria Math" w:cs="Times New Roman"/>
                <w:lang w:val="en-GB"/>
              </w:rPr>
              <m:t>ρ</m:t>
            </m:r>
          </m:e>
          <m:sup>
            <m:r>
              <w:rPr>
                <w:rFonts w:ascii="Cambria Math" w:hAnsi="Cambria Math" w:cs="Times New Roman"/>
                <w:lang w:val="en-GB"/>
              </w:rPr>
              <m:t>*</m:t>
            </m:r>
          </m:sup>
        </m:sSup>
        <m:r>
          <w:rPr>
            <w:rFonts w:ascii="Cambria Math" w:hAnsi="Cambria Math" w:cs="Times New Roman"/>
            <w:lang w:val="en-GB"/>
          </w:rPr>
          <m:t>&gt;</m:t>
        </m:r>
        <m:sSub>
          <m:sSubPr>
            <m:ctrlPr>
              <w:rPr>
                <w:rFonts w:ascii="Cambria Math" w:hAnsi="Cambria Math" w:cs="Times New Roman"/>
                <w:i/>
                <w:lang w:val="en-GB"/>
              </w:rPr>
            </m:ctrlPr>
          </m:sSubPr>
          <m:e>
            <m:r>
              <w:rPr>
                <w:rFonts w:ascii="Cambria Math" w:hAnsi="Cambria Math" w:cs="Times New Roman"/>
                <w:lang w:val="en-GB"/>
              </w:rPr>
              <m:t>ρ</m:t>
            </m:r>
          </m:e>
          <m:sub>
            <m:r>
              <w:rPr>
                <w:rFonts w:ascii="Cambria Math" w:hAnsi="Cambria Math" w:cs="Times New Roman"/>
                <w:lang w:val="en-GB"/>
              </w:rPr>
              <m:t>Τ</m:t>
            </m:r>
          </m:sub>
        </m:sSub>
      </m:oMath>
      <w:r w:rsidRPr="00292067">
        <w:rPr>
          <w:rFonts w:cs="Times New Roman"/>
          <w:lang w:val="en-GB"/>
        </w:rPr>
        <w:t xml:space="preserve">, </w:t>
      </w:r>
      <w:r>
        <w:rPr>
          <w:rFonts w:cs="Times New Roman"/>
          <w:lang w:val="en-GB"/>
        </w:rPr>
        <w:t xml:space="preserve">where </w:t>
      </w:r>
      <m:oMath>
        <m:sSub>
          <m:sSubPr>
            <m:ctrlPr>
              <w:rPr>
                <w:rFonts w:ascii="Cambria Math" w:hAnsi="Cambria Math" w:cs="Times New Roman"/>
                <w:i/>
                <w:lang w:val="en-GB"/>
              </w:rPr>
            </m:ctrlPr>
          </m:sSubPr>
          <m:e>
            <m:r>
              <w:rPr>
                <w:rFonts w:ascii="Cambria Math" w:hAnsi="Cambria Math" w:cs="Times New Roman"/>
                <w:lang w:val="en-GB"/>
              </w:rPr>
              <m:t>ρ</m:t>
            </m:r>
          </m:e>
          <m:sub>
            <m:r>
              <w:rPr>
                <w:rFonts w:ascii="Cambria Math" w:hAnsi="Cambria Math" w:cs="Times New Roman"/>
                <w:lang w:val="en-GB"/>
              </w:rPr>
              <m:t>Τ</m:t>
            </m:r>
          </m:sub>
        </m:sSub>
      </m:oMath>
      <w:r>
        <w:rPr>
          <w:rFonts w:cs="Times New Roman"/>
          <w:lang w:val="en-GB"/>
        </w:rPr>
        <w:t xml:space="preserve"> is threshold value</w:t>
      </w:r>
      <w:r w:rsidRPr="00292067">
        <w:rPr>
          <w:rFonts w:cs="Times New Roman"/>
          <w:lang w:val="en-GB"/>
        </w:rPr>
        <w:t xml:space="preserve">. </w:t>
      </w:r>
      <w:r>
        <w:rPr>
          <w:rFonts w:cs="Times New Roman"/>
          <w:lang w:val="en-GB"/>
        </w:rPr>
        <w:t xml:space="preserve">The accepted superbeads are then rechecked for trial spheres with </w:t>
      </w:r>
      <m:oMath>
        <m:sSup>
          <m:sSupPr>
            <m:ctrlPr>
              <w:rPr>
                <w:rFonts w:ascii="Cambria Math" w:hAnsi="Cambria Math" w:cs="Times New Roman"/>
                <w:i/>
                <w:lang w:val="en-GB"/>
              </w:rPr>
            </m:ctrlPr>
          </m:sSupPr>
          <m:e>
            <m:r>
              <w:rPr>
                <w:rFonts w:ascii="Cambria Math" w:hAnsi="Cambria Math" w:cs="Times New Roman"/>
                <w:lang w:val="en-GB"/>
              </w:rPr>
              <m:t>ρ</m:t>
            </m:r>
          </m:e>
          <m:sup>
            <m:r>
              <w:rPr>
                <w:rFonts w:ascii="Cambria Math" w:hAnsi="Cambria Math" w:cs="Times New Roman"/>
                <w:lang w:val="en-GB"/>
              </w:rPr>
              <m:t>*</m:t>
            </m:r>
          </m:sup>
        </m:sSup>
        <m:r>
          <w:rPr>
            <w:rFonts w:ascii="Cambria Math" w:hAnsi="Cambria Math" w:cs="Times New Roman"/>
            <w:lang w:val="en-GB"/>
          </w:rPr>
          <m:t>&gt;</m:t>
        </m:r>
        <m:sSub>
          <m:sSubPr>
            <m:ctrlPr>
              <w:rPr>
                <w:rFonts w:ascii="Cambria Math" w:hAnsi="Cambria Math" w:cs="Times New Roman"/>
                <w:i/>
                <w:lang w:val="en-GB"/>
              </w:rPr>
            </m:ctrlPr>
          </m:sSubPr>
          <m:e>
            <m:r>
              <w:rPr>
                <w:rFonts w:ascii="Cambria Math" w:hAnsi="Cambria Math" w:cs="Times New Roman"/>
                <w:lang w:val="en-GB"/>
              </w:rPr>
              <m:t>ρ</m:t>
            </m:r>
          </m:e>
          <m:sub>
            <m:r>
              <w:rPr>
                <w:rFonts w:ascii="Cambria Math" w:hAnsi="Cambria Math" w:cs="Times New Roman"/>
                <w:lang w:val="en-GB"/>
              </w:rPr>
              <m:t>Τ</m:t>
            </m:r>
          </m:sub>
        </m:sSub>
      </m:oMath>
      <w:r w:rsidRPr="00292067">
        <w:rPr>
          <w:rFonts w:cs="Times New Roman"/>
          <w:lang w:val="en-GB"/>
        </w:rPr>
        <w:t xml:space="preserve"> </w:t>
      </w:r>
      <w:r>
        <w:rPr>
          <w:rFonts w:cs="Times New Roman"/>
          <w:lang w:val="en-GB"/>
        </w:rPr>
        <w:t xml:space="preserve">to fully capture the surfactants in the micelle. </w:t>
      </w:r>
      <w:r w:rsidRPr="004C1D1A">
        <w:rPr>
          <w:rFonts w:cs="Times New Roman"/>
          <w:lang w:val="en-GB"/>
        </w:rPr>
        <w:t xml:space="preserve">By the end of this process the length of the superbeads gives the contour length of a micelle and this procedure was followed for all the micelles in the system. </w:t>
      </w:r>
      <w:r w:rsidRPr="004C1D1A" w:rsidDel="00565E54">
        <w:rPr>
          <w:rFonts w:cs="Times New Roman"/>
          <w:lang w:val="en-GB"/>
        </w:rPr>
        <w:t xml:space="preserve"> </w:t>
      </w:r>
    </w:p>
    <w:p w:rsidR="004833BB" w:rsidRPr="004C1D1A" w:rsidRDefault="004833BB" w:rsidP="004833BB">
      <w:pPr>
        <w:pStyle w:val="Heading2"/>
        <w:numPr>
          <w:ilvl w:val="1"/>
          <w:numId w:val="1"/>
        </w:numPr>
        <w:rPr>
          <w:rFonts w:cs="Times New Roman"/>
          <w:lang w:val="en-GB"/>
        </w:rPr>
      </w:pPr>
      <w:bookmarkStart w:id="7" w:name="_Ref6499697"/>
      <w:r w:rsidRPr="004C1D1A">
        <w:rPr>
          <w:rFonts w:cs="Times New Roman"/>
          <w:lang w:val="en-GB"/>
        </w:rPr>
        <w:t>3. RESULTS AND DISCUSSION</w:t>
      </w:r>
      <w:bookmarkEnd w:id="7"/>
    </w:p>
    <w:p w:rsidR="004833BB" w:rsidRPr="004C1D1A" w:rsidRDefault="004833BB" w:rsidP="004833BB">
      <w:pPr>
        <w:jc w:val="center"/>
        <w:rPr>
          <w:rFonts w:cs="Times New Roman"/>
          <w:b/>
          <w:lang w:val="en-GB"/>
        </w:rPr>
      </w:pPr>
      <w:r w:rsidRPr="004C1D1A">
        <w:rPr>
          <w:rFonts w:cs="Times New Roman"/>
          <w:b/>
          <w:lang w:val="en-GB"/>
        </w:rPr>
        <w:t>3.1 Phase diagram of SLES</w:t>
      </w:r>
      <w:r w:rsidRPr="004C1D1A">
        <w:rPr>
          <w:rFonts w:cs="Times New Roman"/>
          <w:b/>
          <w:vertAlign w:val="subscript"/>
          <w:lang w:val="en-GB"/>
        </w:rPr>
        <w:t>1</w:t>
      </w:r>
      <w:r w:rsidRPr="004C1D1A">
        <w:rPr>
          <w:rFonts w:cs="Times New Roman"/>
          <w:b/>
          <w:vertAlign w:val="subscript"/>
          <w:lang w:val="en-GB"/>
        </w:rPr>
        <w:softHyphen/>
      </w:r>
      <w:r w:rsidRPr="004C1D1A">
        <w:rPr>
          <w:rFonts w:cs="Times New Roman"/>
          <w:b/>
          <w:lang w:val="en-GB"/>
        </w:rPr>
        <w:t>EO</w:t>
      </w:r>
    </w:p>
    <w:p w:rsidR="004833BB" w:rsidRPr="004C1D1A" w:rsidRDefault="004833BB" w:rsidP="004833BB">
      <w:pPr>
        <w:jc w:val="center"/>
        <w:rPr>
          <w:rFonts w:cs="Times New Roman"/>
          <w:b/>
          <w:lang w:val="en-GB"/>
        </w:rPr>
      </w:pPr>
    </w:p>
    <w:p w:rsidR="004833BB" w:rsidRPr="004C1D1A" w:rsidRDefault="004833BB" w:rsidP="004833BB">
      <w:pPr>
        <w:jc w:val="both"/>
        <w:rPr>
          <w:rFonts w:cs="Times New Roman"/>
          <w:lang w:val="en-GB"/>
        </w:rPr>
      </w:pPr>
      <w:r w:rsidRPr="004C1D1A">
        <w:rPr>
          <w:rFonts w:cs="Times New Roman"/>
          <w:b/>
          <w:lang w:val="en-GB"/>
        </w:rPr>
        <w:tab/>
      </w:r>
      <w:r w:rsidRPr="004C1D1A">
        <w:rPr>
          <w:rFonts w:cs="Times New Roman"/>
          <w:lang w:val="en-GB"/>
        </w:rPr>
        <w:t xml:space="preserve">In this section the results for a concentration of </w:t>
      </w:r>
      <m:oMath>
        <m:r>
          <w:rPr>
            <w:rFonts w:ascii="Cambria Math" w:hAnsi="Cambria Math" w:cs="Times New Roman"/>
            <w:lang w:val="en-GB"/>
          </w:rPr>
          <m:t>c=0.10</m:t>
        </m:r>
      </m:oMath>
      <w:r>
        <w:rPr>
          <w:rFonts w:cs="Times New Roman"/>
          <w:lang w:val="en-GB"/>
        </w:rPr>
        <w:t>0</w:t>
      </w:r>
      <w:r w:rsidRPr="004C1D1A">
        <w:rPr>
          <w:rFonts w:cs="Times New Roman"/>
          <w:lang w:val="en-GB"/>
        </w:rPr>
        <w:t xml:space="preserve"> SLES</w:t>
      </w:r>
      <w:r w:rsidRPr="004C1D1A">
        <w:rPr>
          <w:rFonts w:cs="Times New Roman"/>
          <w:vertAlign w:val="subscript"/>
          <w:lang w:val="en-GB"/>
        </w:rPr>
        <w:t>1</w:t>
      </w:r>
      <w:r w:rsidRPr="004C1D1A">
        <w:rPr>
          <w:rFonts w:cs="Times New Roman"/>
          <w:lang w:val="en-GB"/>
        </w:rPr>
        <w:t xml:space="preserve">EO </w:t>
      </w:r>
      <w:r>
        <w:rPr>
          <w:rFonts w:cs="Times New Roman"/>
          <w:lang w:val="en-GB"/>
        </w:rPr>
        <w:t>with</w:t>
      </w:r>
      <w:r w:rsidRPr="004C1D1A">
        <w:rPr>
          <w:rFonts w:cs="Times New Roman"/>
          <w:lang w:val="en-GB"/>
        </w:rPr>
        <w:t xml:space="preserve"> various salt concentrations are </w:t>
      </w:r>
      <w:r>
        <w:rPr>
          <w:rFonts w:cs="Times New Roman"/>
          <w:lang w:val="en-GB"/>
        </w:rPr>
        <w:t>discussed</w:t>
      </w:r>
      <w:r w:rsidRPr="004C1D1A">
        <w:rPr>
          <w:rFonts w:cs="Times New Roman"/>
          <w:lang w:val="en-GB"/>
        </w:rPr>
        <w:t xml:space="preserve">. The addition of salt in the mixture is expected from literature to accelerate the aggregation of surfactants into micelles leading to longer aggregates. When the salt concentration reaches a certain value then branches can appear in the system </w:t>
      </w:r>
      <w:r w:rsidRPr="004C1D1A">
        <w:rPr>
          <w:rFonts w:cs="Times New Roman"/>
          <w:lang w:val="en-GB"/>
        </w:rPr>
        <w:fldChar w:fldCharType="begin" w:fldLock="1"/>
      </w:r>
      <w:r>
        <w:rPr>
          <w:rFonts w:cs="Times New Roman"/>
          <w:lang w:val="en-GB"/>
        </w:rPr>
        <w:instrText>ADDIN CSL_CITATION {"citationItems":[{"id":"ITEM-1","itemData":{"DOI":"10.1002/0470856424","ISBN":"0471498831","ISSN":"0883-7554","PMID":"978","author":[{"dropping-particle":"","family":"Holmberg","given":"Krister","non-dropping-particle":"","parse-names":false,"suffix":""},{"dropping-particle":"","family":"Bo","given":"J","non-dropping-particle":"","parse-names":false,"suffix":""},{"dropping-particle":"","family":"Kronberg","given":"Bengt","non-dropping-particle":"","parse-names":false,"suffix":""}],"id":"ITEM-1","issued":{"date-parts":[["2002"]]},"number-of-pages":"0-471","publisher":"John Wiley &amp; Sons, Ltd.","title":"Surfactants and Polymers in Aqueous solution","type":"book"},"uris":["http://www.mendeley.com/documents/?uuid=839d7770-bbe4-4a78-a637-539aba5ebc54"]}],"mendeley":{"formattedCitation":"[1]","plainTextFormattedCitation":"[1]","previouslyFormattedCitation":"[1]"},"properties":{"noteIndex":0},"schema":"https://github.com/citation-style-language/schema/raw/master/csl-citation.json"}</w:instrText>
      </w:r>
      <w:r w:rsidRPr="004C1D1A">
        <w:rPr>
          <w:rFonts w:cs="Times New Roman"/>
          <w:lang w:val="en-GB"/>
        </w:rPr>
        <w:fldChar w:fldCharType="separate"/>
      </w:r>
      <w:r w:rsidRPr="004C1D1A">
        <w:rPr>
          <w:rFonts w:cs="Times New Roman"/>
          <w:noProof/>
          <w:lang w:val="en-GB"/>
        </w:rPr>
        <w:t>[1]</w:t>
      </w:r>
      <w:r w:rsidRPr="004C1D1A">
        <w:rPr>
          <w:rFonts w:cs="Times New Roman"/>
          <w:lang w:val="en-GB"/>
        </w:rPr>
        <w:fldChar w:fldCharType="end"/>
      </w:r>
      <w:r w:rsidRPr="004C1D1A">
        <w:rPr>
          <w:rFonts w:cs="Times New Roman"/>
          <w:lang w:val="en-GB"/>
        </w:rPr>
        <w:t xml:space="preserve">. The chosen DPD model was able to reproduce this behaviour and the most representative microstructures are shown in </w:t>
      </w:r>
      <w:r w:rsidRPr="004C1D1A">
        <w:rPr>
          <w:rFonts w:cs="Times New Roman"/>
          <w:lang w:val="en-GB"/>
        </w:rPr>
        <w:fldChar w:fldCharType="begin"/>
      </w:r>
      <w:r w:rsidRPr="004C1D1A">
        <w:rPr>
          <w:rFonts w:cs="Times New Roman"/>
          <w:lang w:val="en-GB"/>
        </w:rPr>
        <w:instrText xml:space="preserve"> REF _Ref528709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2</w:t>
      </w:r>
      <w:r w:rsidRPr="004C1D1A">
        <w:rPr>
          <w:rFonts w:cs="Times New Roman"/>
          <w:lang w:val="en-GB"/>
        </w:rPr>
        <w:fldChar w:fldCharType="end"/>
      </w:r>
      <w:r w:rsidRPr="004C1D1A">
        <w:rPr>
          <w:rFonts w:cs="Times New Roman"/>
          <w:lang w:val="en-GB"/>
        </w:rPr>
        <w:t xml:space="preserve">. More specifically, the trend that is observed is an evident </w:t>
      </w:r>
      <w:r>
        <w:rPr>
          <w:rFonts w:cs="Times New Roman"/>
          <w:lang w:val="en-GB"/>
        </w:rPr>
        <w:t xml:space="preserve">micelle </w:t>
      </w:r>
      <w:r w:rsidRPr="004C1D1A">
        <w:rPr>
          <w:rFonts w:cs="Times New Roman"/>
          <w:lang w:val="en-GB"/>
        </w:rPr>
        <w:t xml:space="preserve">growth with increasing salt concentration up to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=0.100</m:t>
        </m:r>
      </m:oMath>
      <w:r w:rsidRPr="004C1D1A">
        <w:rPr>
          <w:rFonts w:cs="Times New Roman"/>
          <w:lang w:val="en-GB"/>
        </w:rPr>
        <w:t xml:space="preserve"> where the first branches appear. </w:t>
      </w:r>
    </w:p>
    <w:p w:rsidR="004833BB" w:rsidRPr="004C1D1A" w:rsidRDefault="004833BB" w:rsidP="004833BB">
      <w:pPr>
        <w:keepNext/>
        <w:ind w:firstLine="576"/>
        <w:rPr>
          <w:rFonts w:cs="Times New Roman"/>
        </w:rPr>
      </w:pPr>
      <w:r>
        <w:rPr>
          <w:rFonts w:cs="Times New Roman"/>
          <w:noProof/>
          <w:lang w:val="en-GB" w:eastAsia="en-GB" w:bidi="ar-SA"/>
        </w:rPr>
        <w:drawing>
          <wp:inline distT="0" distB="0" distL="0" distR="0" wp14:anchorId="77A33E56" wp14:editId="4C9B664C">
            <wp:extent cx="5480623" cy="2288805"/>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4166" cy="2290284"/>
                    </a:xfrm>
                    <a:prstGeom prst="rect">
                      <a:avLst/>
                    </a:prstGeom>
                  </pic:spPr>
                </pic:pic>
              </a:graphicData>
            </a:graphic>
          </wp:inline>
        </w:drawing>
      </w:r>
    </w:p>
    <w:p w:rsidR="004833BB" w:rsidRPr="004C1D1A" w:rsidRDefault="004833BB" w:rsidP="004833BB">
      <w:pPr>
        <w:pStyle w:val="Caption"/>
        <w:rPr>
          <w:rFonts w:cs="Times New Roman"/>
        </w:rPr>
      </w:pPr>
      <w:bookmarkStart w:id="8" w:name="_Ref528709"/>
      <w:bookmarkStart w:id="9" w:name="_Toc12449929"/>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2</w:t>
      </w:r>
      <w:r w:rsidRPr="004C1D1A">
        <w:rPr>
          <w:rFonts w:cs="Times New Roman"/>
          <w:noProof/>
        </w:rPr>
        <w:fldChar w:fldCharType="end"/>
      </w:r>
      <w:bookmarkEnd w:id="8"/>
      <w:r w:rsidRPr="004C1D1A">
        <w:rPr>
          <w:rFonts w:cs="Times New Roman"/>
        </w:rPr>
        <w:t xml:space="preserve">: Final snapshot of </w:t>
      </w:r>
      <m:oMath>
        <m:r>
          <m:rPr>
            <m:sty m:val="bi"/>
          </m:rPr>
          <w:rPr>
            <w:rFonts w:ascii="Cambria Math" w:hAnsi="Cambria Math" w:cs="Times New Roman"/>
          </w:rPr>
          <m:t>c=0.100</m:t>
        </m:r>
      </m:oMath>
      <w:r w:rsidRPr="004C1D1A">
        <w:rPr>
          <w:rFonts w:cs="Times New Roman"/>
        </w:rPr>
        <w:t xml:space="preserve"> SLES</w:t>
      </w:r>
      <w:r w:rsidRPr="004C1D1A">
        <w:rPr>
          <w:rFonts w:cs="Times New Roman"/>
          <w:vertAlign w:val="subscript"/>
        </w:rPr>
        <w:t>1</w:t>
      </w:r>
      <w:r w:rsidRPr="004C1D1A">
        <w:rPr>
          <w:rFonts w:cs="Times New Roman"/>
        </w:rPr>
        <w:t xml:space="preserve">EO with varying salt concentration at (a)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=0.010</m:t>
        </m:r>
      </m:oMath>
      <w:r w:rsidRPr="004C1D1A">
        <w:rPr>
          <w:rFonts w:cs="Times New Roman"/>
        </w:rPr>
        <w:t xml:space="preserve"> (b)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=0.040</m:t>
        </m:r>
      </m:oMath>
      <w:r w:rsidRPr="004C1D1A">
        <w:rPr>
          <w:rFonts w:cs="Times New Roman"/>
        </w:rPr>
        <w:t xml:space="preserve"> (c)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=0.060</m:t>
        </m:r>
      </m:oMath>
      <w:r w:rsidRPr="004C1D1A">
        <w:rPr>
          <w:rFonts w:cs="Times New Roman"/>
        </w:rPr>
        <w:t xml:space="preserve"> (d)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=0.120</m:t>
        </m:r>
      </m:oMath>
      <w:r w:rsidRPr="004C1D1A">
        <w:rPr>
          <w:rFonts w:cs="Times New Roman"/>
        </w:rPr>
        <w:t xml:space="preserve"> NaCl.</w:t>
      </w:r>
      <w:bookmarkEnd w:id="9"/>
      <w:r w:rsidRPr="004C1D1A">
        <w:rPr>
          <w:rFonts w:cs="Times New Roman"/>
        </w:rPr>
        <w:t xml:space="preserve">  </w:t>
      </w:r>
    </w:p>
    <w:p w:rsidR="004833BB" w:rsidRPr="004C1D1A" w:rsidRDefault="004833BB" w:rsidP="004833BB">
      <w:pPr>
        <w:ind w:firstLine="576"/>
        <w:jc w:val="both"/>
        <w:rPr>
          <w:rFonts w:cs="Times New Roman"/>
          <w:lang w:val="en-GB"/>
        </w:rPr>
      </w:pPr>
      <w:r w:rsidRPr="004C1D1A">
        <w:rPr>
          <w:rFonts w:cs="Times New Roman"/>
          <w:lang w:val="en-GB"/>
        </w:rPr>
        <w:tab/>
        <w:t xml:space="preserve">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m:t>
        </m:r>
      </m:oMath>
      <w:r w:rsidRPr="004C1D1A">
        <w:rPr>
          <w:rFonts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m:t>
        </m:r>
      </m:oMath>
      <w:r>
        <w:rPr>
          <w:rFonts w:cs="Times New Roman"/>
          <w:lang w:val="en-GB"/>
        </w:rPr>
        <w:t xml:space="preserve"> </w:t>
      </w:r>
      <w:r w:rsidRPr="004C1D1A">
        <w:rPr>
          <w:rFonts w:cs="Times New Roman"/>
          <w:lang w:val="en-GB"/>
        </w:rPr>
        <w:t>the micelles are spherical with the mean number of micelles decreasing from approximately 35 to 30 (</w:t>
      </w:r>
      <w:r>
        <w:rPr>
          <w:rFonts w:cs="Times New Roman"/>
          <w:lang w:val="en-GB"/>
        </w:rPr>
        <w:fldChar w:fldCharType="begin"/>
      </w:r>
      <w:r>
        <w:rPr>
          <w:rFonts w:cs="Times New Roman"/>
          <w:lang w:val="en-GB"/>
        </w:rPr>
        <w:instrText xml:space="preserve"> REF _Ref12453328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1</w:t>
      </w:r>
      <w:r>
        <w:rPr>
          <w:rFonts w:cs="Times New Roman"/>
          <w:lang w:val="en-GB"/>
        </w:rPr>
        <w:fldChar w:fldCharType="end"/>
      </w:r>
      <w:r>
        <w:rPr>
          <w:rFonts w:cs="Times New Roman"/>
          <w:lang w:val="en-GB"/>
        </w:rPr>
        <w:t>)</w:t>
      </w:r>
      <w:r w:rsidRPr="00773970">
        <w:rPr>
          <w:rFonts w:cs="Times New Roman"/>
          <w:lang w:val="en-GB"/>
        </w:rPr>
        <w:t xml:space="preserve">. </w:t>
      </w:r>
      <w:r w:rsidRPr="004C1D1A">
        <w:rPr>
          <w:rFonts w:cs="Times New Roman"/>
          <w:lang w:val="en-GB"/>
        </w:rPr>
        <w:t xml:space="preserve">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m:t>
        </m:r>
      </m:oMath>
      <w:r>
        <w:rPr>
          <w:rFonts w:cs="Times New Roman"/>
          <w:lang w:val="en-GB"/>
        </w:rPr>
        <w:t>0,</w:t>
      </w:r>
      <w:r w:rsidRPr="004C1D1A">
        <w:rPr>
          <w:rFonts w:cs="Times New Roman"/>
          <w:lang w:val="en-GB"/>
        </w:rPr>
        <w:t xml:space="preserve"> rods appear in the system while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m:t>
        </m:r>
      </m:oMath>
      <w:r>
        <w:rPr>
          <w:rFonts w:cs="Times New Roman"/>
          <w:lang w:val="en-GB"/>
        </w:rPr>
        <w:t>0</w:t>
      </w:r>
      <w:r w:rsidRPr="004C1D1A">
        <w:rPr>
          <w:rFonts w:cs="Times New Roman"/>
          <w:lang w:val="en-GB"/>
        </w:rPr>
        <w:t xml:space="preserve"> </w:t>
      </w:r>
      <w:r>
        <w:rPr>
          <w:rFonts w:cs="Times New Roman"/>
          <w:lang w:val="en-GB"/>
        </w:rPr>
        <w:t>to 0.090 WLM</w:t>
      </w:r>
      <w:r w:rsidRPr="004C1D1A">
        <w:rPr>
          <w:rFonts w:cs="Times New Roman"/>
          <w:lang w:val="en-GB"/>
        </w:rPr>
        <w:t xml:space="preserve">, whose length increases with increasing salt concentration, </w:t>
      </w:r>
      <w:r>
        <w:rPr>
          <w:rFonts w:cs="Times New Roman"/>
          <w:lang w:val="en-GB"/>
        </w:rPr>
        <w:t>develop</w:t>
      </w:r>
      <w:r w:rsidRPr="004C1D1A">
        <w:rPr>
          <w:rFonts w:cs="Times New Roman"/>
          <w:lang w:val="en-GB"/>
        </w:rPr>
        <w:t xml:space="preserve">. Some spherical micelles are observed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=0.050, 0.060 </m:t>
        </m:r>
      </m:oMath>
      <w:r>
        <w:rPr>
          <w:rFonts w:cs="Times New Roman"/>
          <w:lang w:val="en-GB"/>
        </w:rPr>
        <w:t xml:space="preserve">and </w:t>
      </w:r>
      <m:oMath>
        <m:r>
          <w:rPr>
            <w:rFonts w:ascii="Cambria Math" w:hAnsi="Cambria Math" w:cs="Times New Roman"/>
            <w:lang w:val="en-GB"/>
          </w:rPr>
          <m:t>0.075</m:t>
        </m:r>
      </m:oMath>
      <w:r w:rsidRPr="004C1D1A">
        <w:rPr>
          <w:rFonts w:cs="Times New Roman"/>
          <w:lang w:val="en-GB"/>
        </w:rPr>
        <w:t xml:space="preserve"> but their population reduces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=0.080 </m:t>
        </m:r>
      </m:oMath>
      <w:r w:rsidRPr="004C1D1A">
        <w:rPr>
          <w:rFonts w:cs="Times New Roman"/>
          <w:lang w:val="en-GB"/>
        </w:rPr>
        <w:t xml:space="preserve">and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=0.090</m:t>
        </m:r>
      </m:oMath>
      <w:r w:rsidRPr="004C1D1A">
        <w:rPr>
          <w:rFonts w:cs="Times New Roman"/>
          <w:lang w:val="en-GB"/>
        </w:rPr>
        <w:t xml:space="preserve">. </w:t>
      </w:r>
      <w:r>
        <w:rPr>
          <w:rFonts w:cs="Times New Roman"/>
          <w:lang w:val="en-GB"/>
        </w:rPr>
        <w:t xml:space="preserve">The full phase diagram is reported in </w:t>
      </w:r>
      <w:r>
        <w:rPr>
          <w:rFonts w:cs="Times New Roman"/>
          <w:lang w:val="en-GB"/>
        </w:rPr>
        <w:fldChar w:fldCharType="begin"/>
      </w:r>
      <w:r>
        <w:rPr>
          <w:rFonts w:cs="Times New Roman"/>
          <w:lang w:val="en-GB"/>
        </w:rPr>
        <w:instrText xml:space="preserve"> REF _Ref529896 \h </w:instrText>
      </w:r>
      <w:r>
        <w:rPr>
          <w:rFonts w:cs="Times New Roman"/>
          <w:lang w:val="en-GB"/>
        </w:rPr>
      </w:r>
      <w:r>
        <w:rPr>
          <w:rFonts w:cs="Times New Roman"/>
          <w:lang w:val="en-GB"/>
        </w:rPr>
        <w:fldChar w:fldCharType="separate"/>
      </w:r>
      <w:r w:rsidRPr="00042B1A">
        <w:rPr>
          <w:rFonts w:cs="Times New Roman"/>
          <w:lang w:val="en-GB"/>
        </w:rPr>
        <w:t>Fig.</w:t>
      </w:r>
      <w:r w:rsidRPr="00042B1A">
        <w:rPr>
          <w:rFonts w:cs="Times New Roman"/>
          <w:noProof/>
          <w:lang w:val="en-GB"/>
        </w:rPr>
        <w:t>3</w:t>
      </w:r>
      <w:r>
        <w:rPr>
          <w:rFonts w:cs="Times New Roman"/>
          <w:lang w:val="en-GB"/>
        </w:rPr>
        <w:fldChar w:fldCharType="end"/>
      </w:r>
      <w:r>
        <w:rPr>
          <w:rFonts w:cs="Times New Roman"/>
          <w:lang w:val="en-GB"/>
        </w:rPr>
        <w:t xml:space="preserve">. </w:t>
      </w:r>
      <w:r w:rsidRPr="004C1D1A">
        <w:rPr>
          <w:rFonts w:cs="Times New Roman"/>
          <w:lang w:val="en-GB"/>
        </w:rPr>
        <w:t>The points (geometrical shapes) on the plot resulted from extensive simulations while the do</w:t>
      </w:r>
      <w:r>
        <w:rPr>
          <w:rFonts w:cs="Times New Roman"/>
          <w:lang w:val="en-GB"/>
        </w:rPr>
        <w:t>t</w:t>
      </w:r>
      <w:r w:rsidRPr="004C1D1A">
        <w:rPr>
          <w:rFonts w:cs="Times New Roman"/>
          <w:lang w:val="en-GB"/>
        </w:rPr>
        <w:t>ted coloured areas are based on a machine learning technique, the quadratic discriminant analysis algorithm (QDA</w:t>
      </w:r>
      <w:r>
        <w:rPr>
          <w:rFonts w:cs="Times New Roman"/>
          <w:lang w:val="en-GB"/>
        </w:rPr>
        <w:t>).</w:t>
      </w:r>
      <w:r w:rsidRPr="004C1D1A">
        <w:rPr>
          <w:rFonts w:cs="Times New Roman"/>
          <w:lang w:val="en-GB"/>
        </w:rPr>
        <w:t xml:space="preserve"> QDA is a classification method that separates the points by quadratic hyperplanes finding the optimal plane that fulfils two criteria: the distance between the centres of each class should be as close as possible </w:t>
      </w:r>
      <w:r w:rsidRPr="004C1D1A">
        <w:rPr>
          <w:rFonts w:cs="Times New Roman"/>
          <w:lang w:val="en-GB"/>
        </w:rPr>
        <w:lastRenderedPageBreak/>
        <w:t xml:space="preserve">and the variance within each class should be the minimum possible </w:t>
      </w:r>
      <w:r w:rsidRPr="004C1D1A">
        <w:rPr>
          <w:rFonts w:cs="Times New Roman"/>
          <w:lang w:val="en-GB"/>
        </w:rPr>
        <w:fldChar w:fldCharType="begin" w:fldLock="1"/>
      </w:r>
      <w:r>
        <w:rPr>
          <w:rFonts w:cs="Times New Roman"/>
          <w:lang w:val="en-GB"/>
        </w:rPr>
        <w:instrText>ADDIN CSL_CITATION {"citationItems":[{"id":"ITEM-1","itemData":{"ISBN":"9780471881049","author":[{"dropping-particle":"","family":"Seber","given":"George A. F.","non-dropping-particle":"","parse-names":false,"suffix":""}],"container-title":"Multivariate observations","id":"ITEM-1","issued":{"date-parts":[["1984"]]},"page":"279-343","publisher":"John Wiley &amp; Sons, Inc.","title":"Discriminant Analysis","type":"chapter"},"uris":["http://www.mendeley.com/documents/?uuid=5d678fce-e824-4aea-8a82-1ec65b80f885"]}],"mendeley":{"formattedCitation":"[55]","plainTextFormattedCitation":"[55]","previouslyFormattedCitation":"[54]"},"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[55]</w:t>
      </w:r>
      <w:r w:rsidRPr="004C1D1A">
        <w:rPr>
          <w:rFonts w:cs="Times New Roman"/>
          <w:lang w:val="en-GB"/>
        </w:rPr>
        <w:fldChar w:fldCharType="end"/>
      </w:r>
      <w:r w:rsidRPr="004C1D1A">
        <w:rPr>
          <w:rFonts w:cs="Times New Roman"/>
          <w:lang w:val="en-GB"/>
        </w:rPr>
        <w:t xml:space="preserve">. </w:t>
      </w:r>
    </w:p>
    <w:p w:rsidR="004833BB" w:rsidRPr="004C1D1A" w:rsidRDefault="004833BB" w:rsidP="004833BB">
      <w:pPr>
        <w:ind w:firstLine="576"/>
        <w:jc w:val="both"/>
        <w:rPr>
          <w:rFonts w:cs="Times New Roman"/>
          <w:lang w:val="en-GB"/>
        </w:rPr>
      </w:pPr>
      <w:r>
        <w:rPr>
          <w:rFonts w:cs="Times New Roman"/>
          <w:lang w:val="en-GB"/>
        </w:rPr>
        <w:t xml:space="preserve">The concentration of surfactant is expected to shift the phase diagram towards the formation of larger aggregates even at relative small salt concentration. </w:t>
      </w:r>
      <w:r w:rsidRPr="004C1D1A">
        <w:rPr>
          <w:rFonts w:cs="Times New Roman"/>
          <w:lang w:val="en-GB"/>
        </w:rPr>
        <w:t>This is a result of the mass action law applied on micelles formation</w:t>
      </w:r>
      <w:r>
        <w:rPr>
          <w:rFonts w:cs="Times New Roman"/>
          <w:lang w:val="en-GB"/>
        </w:rPr>
        <w:t xml:space="preserve"> for which</w:t>
      </w:r>
      <w:r w:rsidRPr="004C1D1A">
        <w:rPr>
          <w:rFonts w:cs="Times New Roman"/>
          <w:lang w:val="en-GB"/>
        </w:rPr>
        <w:t xml:space="preserve"> </w:t>
      </w:r>
      <w:r>
        <w:rPr>
          <w:rFonts w:cs="Times New Roman"/>
          <w:lang w:val="en-GB"/>
        </w:rPr>
        <w:t>t</w:t>
      </w:r>
      <w:r w:rsidRPr="004C1D1A">
        <w:rPr>
          <w:rFonts w:cs="Times New Roman"/>
          <w:lang w:val="en-GB"/>
        </w:rPr>
        <w:t xml:space="preserve">he excess amount of surfactants </w:t>
      </w:r>
      <w:r>
        <w:rPr>
          <w:rFonts w:cs="Times New Roman"/>
          <w:lang w:val="en-GB"/>
        </w:rPr>
        <w:t xml:space="preserve">will increase the size of the existing micelles </w:t>
      </w:r>
      <w:r w:rsidRPr="004C1D1A">
        <w:rPr>
          <w:rFonts w:cs="Times New Roman"/>
          <w:lang w:val="en-GB"/>
        </w:rPr>
        <w:fldChar w:fldCharType="begin" w:fldLock="1"/>
      </w:r>
      <w:r>
        <w:rPr>
          <w:rFonts w:cs="Times New Roman"/>
          <w:lang w:val="en-GB"/>
        </w:rPr>
        <w:instrText>ADDIN CSL_CITATION {"citationItems":[{"id":"ITEM-1","itemData":{"DOI":"10.1016/0021-9797(88)90366-9","ISSN":"00219797","abstract":"The mass action model was applied to micelle formation of an ionic surfactant in aqueous solution. A method was developed to evaluate the micellization constant, the micelle aggregation number, and the number of counterions per micelle from the bulk concentrations of surfactant ion and/or counterion at definite surfactant concentrations, where the monodispersity of micelles was assumed. Application of the method to the micellization of sodium dodecyl sulfate demonstrated excellent agreement between the calculated and the reported values of the bulk concentrations from the CMC up to a concentration of 10 times the CMC. The slope of the logarithm of CMC against the logarithm of total counterion concentration turned out to be approximately equal to the degree of counterion association with the micelle. © 1988.","author":[{"dropping-particle":"","family":"Moroi","given":"Yoshikiyo","non-dropping-particle":"","parse-names":false,"suffix":""}],"container-title":"Journal of Colloid And Interface Science","id":"ITEM-1","issue":"2","issued":{"date-parts":[["1988"]]},"page":"308-314","title":"Mass action model of micelle formation: Its application to sodium dodecyl sulfate solution","type":"article-journal","volume":"122"},"uris":["http://www.mendeley.com/documents/?uuid=0e77031e-90f9-4334-a191-8be256018f58"]}],"mendeley":{"formattedCitation":"[56]","plainTextFormattedCitation":"[56]","previouslyFormattedCitation":"[55]"},"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[56]</w:t>
      </w:r>
      <w:r w:rsidRPr="004C1D1A">
        <w:rPr>
          <w:rFonts w:cs="Times New Roman"/>
          <w:lang w:val="en-GB"/>
        </w:rPr>
        <w:fldChar w:fldCharType="end"/>
      </w:r>
      <w:r w:rsidRPr="004C1D1A">
        <w:rPr>
          <w:rFonts w:cs="Times New Roman"/>
          <w:lang w:val="en-GB"/>
        </w:rPr>
        <w:t xml:space="preserve">. </w:t>
      </w:r>
      <w:r>
        <w:rPr>
          <w:rFonts w:cs="Times New Roman"/>
          <w:lang w:val="en-GB"/>
        </w:rPr>
        <w:t xml:space="preserve">In accordance with the theory, </w:t>
      </w:r>
      <w:r>
        <w:rPr>
          <w:rFonts w:cs="Times New Roman"/>
          <w:lang w:val="en-GB"/>
        </w:rPr>
        <w:fldChar w:fldCharType="begin"/>
      </w:r>
      <w:r>
        <w:rPr>
          <w:rFonts w:cs="Times New Roman"/>
          <w:lang w:val="en-GB"/>
        </w:rPr>
        <w:instrText xml:space="preserve"> REF _Ref9412870 \h </w:instrText>
      </w:r>
      <w:r>
        <w:rPr>
          <w:rFonts w:cs="Times New Roman"/>
          <w:lang w:val="en-GB"/>
        </w:rPr>
      </w:r>
      <w:r>
        <w:rPr>
          <w:rFonts w:cs="Times New Roman"/>
          <w:lang w:val="en-GB"/>
        </w:rPr>
        <w:fldChar w:fldCharType="separate"/>
      </w:r>
      <w:r w:rsidRPr="00042B1A">
        <w:rPr>
          <w:lang w:val="en-GB"/>
        </w:rPr>
        <w:t>Fig.</w:t>
      </w:r>
      <w:r w:rsidRPr="00042B1A">
        <w:rPr>
          <w:noProof/>
          <w:lang w:val="en-GB"/>
        </w:rPr>
        <w:t>4</w:t>
      </w:r>
      <w:r>
        <w:rPr>
          <w:rFonts w:cs="Times New Roman"/>
          <w:lang w:val="en-GB"/>
        </w:rPr>
        <w:fldChar w:fldCharType="end"/>
      </w:r>
      <w:r>
        <w:rPr>
          <w:rFonts w:cs="Times New Roman"/>
          <w:lang w:val="en-GB"/>
        </w:rPr>
        <w:t xml:space="preserve"> shows that </w:t>
      </w:r>
      <w:r w:rsidRPr="004C1D1A">
        <w:rPr>
          <w:rFonts w:cs="Times New Roman"/>
          <w:lang w:val="en-GB"/>
        </w:rPr>
        <w:t>for</w:t>
      </w:r>
      <w:r>
        <w:rPr>
          <w:rFonts w:cs="Times New Roman"/>
          <w:lang w:val="en-GB"/>
        </w:rPr>
        <w:t xml:space="preserve"> surfactant concentration</w:t>
      </w:r>
      <w:r w:rsidRPr="004C1D1A">
        <w:rPr>
          <w:rFonts w:cs="Times New Roman"/>
          <w:lang w:val="en-GB"/>
        </w:rPr>
        <w:t xml:space="preserve"> </w:t>
      </w:r>
      <m:oMath>
        <m:r>
          <w:rPr>
            <w:rFonts w:ascii="Cambria Math" w:hAnsi="Cambria Math" w:cs="Times New Roman"/>
            <w:lang w:val="en-GB"/>
          </w:rPr>
          <m:t>c=0.100</m:t>
        </m:r>
      </m:oMath>
      <w:r w:rsidRPr="004C1D1A">
        <w:rPr>
          <w:rFonts w:cs="Times New Roman"/>
          <w:lang w:val="en-GB"/>
        </w:rPr>
        <w:t xml:space="preserve"> </w:t>
      </w:r>
      <w:r>
        <w:rPr>
          <w:rFonts w:cs="Times New Roman"/>
          <w:lang w:val="en-GB"/>
        </w:rPr>
        <w:t>WLMs</w:t>
      </w:r>
      <w:r w:rsidRPr="004C1D1A">
        <w:rPr>
          <w:rFonts w:cs="Times New Roman"/>
          <w:lang w:val="en-GB"/>
        </w:rPr>
        <w:t xml:space="preserve"> appear </w:t>
      </w:r>
      <w:r>
        <w:rPr>
          <w:rFonts w:cs="Times New Roman"/>
          <w:lang w:val="en-GB"/>
        </w:rPr>
        <w:t xml:space="preserve">only when the salt concentration reached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=0.050</m:t>
        </m:r>
      </m:oMath>
      <w:r w:rsidRPr="004C1D1A">
        <w:rPr>
          <w:rFonts w:cs="Times New Roman"/>
          <w:lang w:val="en-GB"/>
        </w:rPr>
        <w:t xml:space="preserve"> while for </w:t>
      </w:r>
      <m:oMath>
        <m:r>
          <w:rPr>
            <w:rFonts w:ascii="Cambria Math" w:hAnsi="Cambria Math" w:cs="Times New Roman"/>
            <w:lang w:val="en-GB"/>
          </w:rPr>
          <m:t>c=0.13</m:t>
        </m:r>
      </m:oMath>
      <w:r>
        <w:rPr>
          <w:rFonts w:cs="Times New Roman"/>
          <w:lang w:val="en-GB"/>
        </w:rPr>
        <w:t>0</w:t>
      </w:r>
      <w:r w:rsidRPr="004C1D1A">
        <w:rPr>
          <w:rFonts w:cs="Times New Roman"/>
          <w:lang w:val="en-GB"/>
        </w:rPr>
        <w:t xml:space="preserve"> SLES</w:t>
      </w:r>
      <w:r w:rsidRPr="004C1D1A">
        <w:rPr>
          <w:rFonts w:cs="Times New Roman"/>
          <w:vertAlign w:val="subscript"/>
          <w:lang w:val="en-GB"/>
        </w:rPr>
        <w:t>1</w:t>
      </w:r>
      <w:r w:rsidRPr="004C1D1A">
        <w:rPr>
          <w:rFonts w:cs="Times New Roman"/>
          <w:lang w:val="en-GB"/>
        </w:rPr>
        <w:t xml:space="preserve">EO </w:t>
      </w:r>
      <w:r>
        <w:rPr>
          <w:rFonts w:cs="Times New Roman"/>
          <w:lang w:val="en-GB"/>
        </w:rPr>
        <w:t>these</w:t>
      </w:r>
      <w:r w:rsidRPr="004C1D1A">
        <w:rPr>
          <w:rFonts w:cs="Times New Roman"/>
          <w:lang w:val="en-GB"/>
        </w:rPr>
        <w:t xml:space="preserve"> can be observed</w:t>
      </w:r>
      <w:r w:rsidRPr="00C2061B">
        <w:rPr>
          <w:rFonts w:cs="Times New Roman"/>
          <w:lang w:val="en-GB"/>
        </w:rPr>
        <w:t xml:space="preserve"> </w:t>
      </w:r>
      <w:r>
        <w:rPr>
          <w:rFonts w:cs="Times New Roman"/>
          <w:lang w:val="en-GB"/>
        </w:rPr>
        <w:t>already</w:t>
      </w:r>
      <w:r w:rsidRPr="004C1D1A">
        <w:rPr>
          <w:rFonts w:cs="Times New Roman"/>
          <w:lang w:val="en-GB"/>
        </w:rPr>
        <w:t xml:space="preserv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4C1D1A">
        <w:rPr>
          <w:rFonts w:cs="Times New Roman"/>
          <w:lang w:val="en-GB"/>
        </w:rPr>
        <w:t>.</w:t>
      </w:r>
    </w:p>
    <w:p w:rsidR="004833BB" w:rsidRDefault="004833BB" w:rsidP="004833BB">
      <w:pPr>
        <w:ind w:firstLine="576"/>
        <w:jc w:val="both"/>
        <w:rPr>
          <w:rFonts w:cs="Times New Roman"/>
          <w:lang w:val="en-GB"/>
        </w:rPr>
      </w:pPr>
      <w:r w:rsidRPr="004C1D1A">
        <w:rPr>
          <w:rFonts w:cs="Times New Roman"/>
          <w:lang w:val="en-GB"/>
        </w:rPr>
        <w:t xml:space="preserve">The distribution of </w:t>
      </w:r>
      <w:r>
        <w:rPr>
          <w:rFonts w:cs="Times New Roman"/>
          <w:lang w:val="en-GB"/>
        </w:rPr>
        <w:t xml:space="preserve">micelles </w:t>
      </w:r>
      <w:r w:rsidRPr="004C1D1A">
        <w:rPr>
          <w:rFonts w:cs="Times New Roman"/>
          <w:lang w:val="en-GB"/>
        </w:rPr>
        <w:t xml:space="preserve">sizes shown in </w:t>
      </w:r>
      <w:r>
        <w:rPr>
          <w:rFonts w:cs="Times New Roman"/>
          <w:lang w:val="en-GB"/>
        </w:rPr>
        <w:fldChar w:fldCharType="begin"/>
      </w:r>
      <w:r>
        <w:rPr>
          <w:rFonts w:cs="Times New Roman"/>
          <w:lang w:val="en-GB"/>
        </w:rPr>
        <w:instrText xml:space="preserve"> REF _Ref9412870 \h </w:instrText>
      </w:r>
      <w:r>
        <w:rPr>
          <w:rFonts w:cs="Times New Roman"/>
          <w:lang w:val="en-GB"/>
        </w:rPr>
      </w:r>
      <w:r>
        <w:rPr>
          <w:rFonts w:cs="Times New Roman"/>
          <w:lang w:val="en-GB"/>
        </w:rPr>
        <w:fldChar w:fldCharType="separate"/>
      </w:r>
      <w:r w:rsidRPr="00042B1A">
        <w:rPr>
          <w:lang w:val="en-GB"/>
        </w:rPr>
        <w:t>Fig.</w:t>
      </w:r>
      <w:r w:rsidRPr="00042B1A">
        <w:rPr>
          <w:noProof/>
          <w:lang w:val="en-GB"/>
        </w:rPr>
        <w:t>4</w:t>
      </w:r>
      <w:r>
        <w:rPr>
          <w:rFonts w:cs="Times New Roman"/>
          <w:lang w:val="en-GB"/>
        </w:rPr>
        <w:fldChar w:fldCharType="end"/>
      </w:r>
      <w:r>
        <w:rPr>
          <w:rFonts w:cs="Times New Roman"/>
          <w:lang w:val="en-GB"/>
        </w:rPr>
        <w:t xml:space="preserve"> </w:t>
      </w:r>
      <w:r w:rsidRPr="004C1D1A">
        <w:rPr>
          <w:rFonts w:cs="Times New Roman"/>
          <w:lang w:val="en-GB"/>
        </w:rPr>
        <w:t xml:space="preserve">can give a better insight into the </w:t>
      </w:r>
      <w:r>
        <w:rPr>
          <w:rFonts w:cs="Times New Roman"/>
          <w:lang w:val="en-GB"/>
        </w:rPr>
        <w:t xml:space="preserve">increased aggregation </w:t>
      </w:r>
      <w:r w:rsidRPr="004C1D1A">
        <w:rPr>
          <w:rFonts w:cs="Times New Roman"/>
          <w:lang w:val="en-GB"/>
        </w:rPr>
        <w:t xml:space="preserve">polydispersity observed </w:t>
      </w:r>
      <w:r>
        <w:rPr>
          <w:rFonts w:cs="Times New Roman"/>
          <w:lang w:val="en-GB"/>
        </w:rPr>
        <w:t xml:space="preserve">with increasing </w:t>
      </w:r>
      <w:r w:rsidRPr="004C1D1A">
        <w:rPr>
          <w:rFonts w:cs="Times New Roman"/>
          <w:lang w:val="en-GB"/>
        </w:rPr>
        <w:t xml:space="preserve">salt concentration. Single surfactants, </w:t>
      </w:r>
      <w:r w:rsidRPr="004C1D1A">
        <w:rPr>
          <w:rFonts w:cs="Times New Roman"/>
          <w:i/>
          <w:lang w:val="en-GB"/>
        </w:rPr>
        <w:t xml:space="preserve">i.e. </w:t>
      </w:r>
      <w:r w:rsidRPr="004C1D1A">
        <w:rPr>
          <w:rFonts w:cs="Times New Roman"/>
          <w:lang w:val="en-GB"/>
        </w:rPr>
        <w:t xml:space="preserve">unimers, were excluded from the calculation of the aggregation number distributions. At high salt concentrations where only one structure was present in the simulation box as well as for the branched aggregates, no distribution of sizes was calculated. For the spherical micelles the distribution has a bell shape </w:t>
      </w:r>
      <w:r>
        <w:rPr>
          <w:rFonts w:cs="Times New Roman"/>
          <w:lang w:val="en-GB"/>
        </w:rPr>
        <w:t xml:space="preserve">which </w:t>
      </w:r>
      <w:r w:rsidRPr="004C1D1A">
        <w:rPr>
          <w:rFonts w:cs="Times New Roman"/>
          <w:lang w:val="en-GB"/>
        </w:rPr>
        <w:t xml:space="preserve">however becomes broader and skewed </w:t>
      </w:r>
      <w:r>
        <w:rPr>
          <w:rFonts w:cs="Times New Roman"/>
          <w:lang w:val="en-GB"/>
        </w:rPr>
        <w:t xml:space="preserve">towards longer aggregates </w:t>
      </w:r>
      <w:r w:rsidRPr="004C1D1A">
        <w:rPr>
          <w:rFonts w:cs="Times New Roman"/>
          <w:lang w:val="en-GB"/>
        </w:rPr>
        <w:t xml:space="preserve">as the salt </w:t>
      </w:r>
      <w:r>
        <w:rPr>
          <w:rFonts w:cs="Times New Roman"/>
          <w:lang w:val="en-GB"/>
        </w:rPr>
        <w:t xml:space="preserve">level </w:t>
      </w:r>
      <w:r w:rsidRPr="004C1D1A">
        <w:rPr>
          <w:rFonts w:cs="Times New Roman"/>
          <w:lang w:val="en-GB"/>
        </w:rPr>
        <w:t>increases (</w:t>
      </w:r>
      <w:r>
        <w:rPr>
          <w:rFonts w:cs="Times New Roman"/>
          <w:lang w:val="en-GB"/>
        </w:rPr>
        <w:fldChar w:fldCharType="begin"/>
      </w:r>
      <w:r>
        <w:rPr>
          <w:rFonts w:cs="Times New Roman"/>
          <w:lang w:val="en-GB"/>
        </w:rPr>
        <w:instrText xml:space="preserve"> REF _Ref9412870 \h </w:instrText>
      </w:r>
      <w:r>
        <w:rPr>
          <w:rFonts w:cs="Times New Roman"/>
          <w:lang w:val="en-GB"/>
        </w:rPr>
      </w:r>
      <w:r>
        <w:rPr>
          <w:rFonts w:cs="Times New Roman"/>
          <w:lang w:val="en-GB"/>
        </w:rPr>
        <w:fldChar w:fldCharType="separate"/>
      </w:r>
      <w:r w:rsidRPr="00042B1A">
        <w:rPr>
          <w:lang w:val="en-GB"/>
        </w:rPr>
        <w:t>Fig.</w:t>
      </w:r>
      <w:r w:rsidRPr="00042B1A">
        <w:rPr>
          <w:noProof/>
          <w:lang w:val="en-GB"/>
        </w:rPr>
        <w:t>4</w:t>
      </w:r>
      <w:r>
        <w:rPr>
          <w:rFonts w:cs="Times New Roman"/>
          <w:lang w:val="en-GB"/>
        </w:rPr>
        <w:fldChar w:fldCharType="end"/>
      </w:r>
      <w:r w:rsidRPr="004C1D1A">
        <w:rPr>
          <w:rFonts w:cs="Times New Roman"/>
          <w:lang w:val="en-GB"/>
        </w:rPr>
        <w:t xml:space="preserve">). The overlapping distributions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m:t>
        </m:r>
      </m:oMath>
      <w:r>
        <w:rPr>
          <w:rFonts w:cs="Times New Roman"/>
          <w:lang w:val="en-GB"/>
        </w:rPr>
        <w:t>0</w:t>
      </w:r>
      <w:r w:rsidRPr="004C1D1A">
        <w:rPr>
          <w:rFonts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=0.060</m:t>
        </m:r>
      </m:oMath>
      <w:r w:rsidRPr="004C1D1A">
        <w:rPr>
          <w:rFonts w:cs="Times New Roman"/>
          <w:lang w:val="en-GB"/>
        </w:rPr>
        <w:t xml:space="preserve"> is remarkable compared with the boost </w:t>
      </w:r>
      <w:r>
        <w:rPr>
          <w:rFonts w:cs="Times New Roman"/>
          <w:lang w:val="en-GB"/>
        </w:rPr>
        <w:t>in</w:t>
      </w:r>
      <w:r w:rsidRPr="004C1D1A">
        <w:rPr>
          <w:rFonts w:cs="Times New Roman"/>
          <w:lang w:val="en-GB"/>
        </w:rPr>
        <w:t xml:space="preserve"> micellar length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=0.075</m:t>
        </m:r>
      </m:oMath>
      <w:r w:rsidRPr="004C1D1A">
        <w:rPr>
          <w:rFonts w:cs="Times New Roman"/>
          <w:lang w:val="en-GB"/>
        </w:rPr>
        <w:t>. This indicates that the extra amount of salt added to the system was not sufficient to favour further assembly of the micelles into longer structures and that this barrier is overcome only by reaching</w:t>
      </w:r>
      <m:oMath>
        <m: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=0.075</m:t>
        </m:r>
      </m:oMath>
      <w:r w:rsidRPr="004C1D1A">
        <w:rPr>
          <w:rFonts w:cs="Times New Roman"/>
          <w:lang w:val="en-GB"/>
        </w:rPr>
        <w:t>.</w:t>
      </w:r>
      <w:r w:rsidRPr="004C1D1A" w:rsidDel="00565E54">
        <w:rPr>
          <w:rFonts w:cs="Times New Roman"/>
          <w:lang w:val="en-GB"/>
        </w:rPr>
        <w:t xml:space="preserve"> </w:t>
      </w:r>
    </w:p>
    <w:p w:rsidR="004833BB" w:rsidRPr="006A068C" w:rsidRDefault="004833BB" w:rsidP="004833BB">
      <w:pPr>
        <w:ind w:firstLine="576"/>
        <w:jc w:val="both"/>
        <w:rPr>
          <w:rFonts w:cs="Times New Roman"/>
          <w:lang w:val="en-GB"/>
        </w:rPr>
      </w:pPr>
      <w:r>
        <w:rPr>
          <w:rFonts w:cs="Times New Roman"/>
          <w:lang w:val="en-GB"/>
        </w:rPr>
        <w:t xml:space="preserve">At low salt concentrations,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 0.02</m:t>
        </m:r>
      </m:oMath>
      <w:r>
        <w:rPr>
          <w:rFonts w:cs="Times New Roman"/>
          <w:lang w:val="en-GB"/>
        </w:rPr>
        <w:t>0, the distribution of aggregation number</w:t>
      </w:r>
      <w:r w:rsidRPr="00082A7A">
        <w:rPr>
          <w:rFonts w:cs="Times New Roman"/>
          <w:lang w:val="en-GB"/>
        </w:rPr>
        <w:t xml:space="preserve"> behaves like a normal distribution and a mean and </w:t>
      </w:r>
      <w:r>
        <w:rPr>
          <w:rFonts w:cs="Times New Roman"/>
          <w:lang w:val="en-GB"/>
        </w:rPr>
        <w:t>standard deviation (</w:t>
      </w:r>
      <w:r w:rsidRPr="00082A7A">
        <w:rPr>
          <w:rFonts w:cs="Times New Roman"/>
          <w:lang w:val="en-GB"/>
        </w:rPr>
        <w:t>std</w:t>
      </w:r>
      <w:r>
        <w:rPr>
          <w:rFonts w:cs="Times New Roman"/>
          <w:lang w:val="en-GB"/>
        </w:rPr>
        <w:t>) value can be</w:t>
      </w:r>
      <w:r w:rsidRPr="00082A7A">
        <w:rPr>
          <w:rFonts w:cs="Times New Roman"/>
          <w:lang w:val="en-GB"/>
        </w:rPr>
        <w:t xml:space="preserve"> extracted under this observation</w:t>
      </w:r>
      <w:r>
        <w:rPr>
          <w:rFonts w:cs="Times New Roman"/>
          <w:lang w:val="en-GB"/>
        </w:rPr>
        <w:t xml:space="preserve"> (</w:t>
      </w:r>
      <w:r>
        <w:rPr>
          <w:rFonts w:cs="Times New Roman"/>
          <w:lang w:val="en-GB"/>
        </w:rPr>
        <w:fldChar w:fldCharType="begin"/>
      </w:r>
      <w:r>
        <w:rPr>
          <w:rFonts w:cs="Times New Roman"/>
          <w:lang w:val="en-GB"/>
        </w:rPr>
        <w:instrText xml:space="preserve"> REF _Ref12453328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1</w:t>
      </w:r>
      <w:r>
        <w:rPr>
          <w:rFonts w:cs="Times New Roman"/>
          <w:lang w:val="en-GB"/>
        </w:rPr>
        <w:fldChar w:fldCharType="end"/>
      </w:r>
      <w:r w:rsidRPr="00773970">
        <w:rPr>
          <w:rFonts w:cs="Times New Roman"/>
          <w:lang w:val="en-GB"/>
        </w:rPr>
        <w:t xml:space="preserve">). </w:t>
      </w:r>
      <w:r w:rsidRPr="00082A7A">
        <w:rPr>
          <w:rFonts w:cs="Times New Roman"/>
          <w:lang w:val="en-GB"/>
        </w:rPr>
        <w:t>However as s</w:t>
      </w:r>
      <w:r>
        <w:rPr>
          <w:rFonts w:cs="Times New Roman"/>
          <w:lang w:val="en-GB"/>
        </w:rPr>
        <w:t xml:space="preserve">alt concentration increases,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&gt;0.040</m:t>
        </m:r>
      </m:oMath>
      <w:r>
        <w:rPr>
          <w:rFonts w:cs="Times New Roman"/>
          <w:lang w:val="en-GB"/>
        </w:rPr>
        <w:t xml:space="preserve"> </w:t>
      </w:r>
      <w:r w:rsidRPr="00082A7A">
        <w:rPr>
          <w:rFonts w:cs="Times New Roman"/>
          <w:lang w:val="en-GB"/>
        </w:rPr>
        <w:t>the distribution consists of sparse peaks</w:t>
      </w:r>
      <w:r>
        <w:rPr>
          <w:rFonts w:cs="Times New Roman"/>
          <w:lang w:val="en-GB"/>
        </w:rPr>
        <w:t xml:space="preserve"> (</w:t>
      </w:r>
      <w:r>
        <w:rPr>
          <w:rFonts w:cs="Times New Roman"/>
          <w:lang w:val="en-GB"/>
        </w:rPr>
        <w:fldChar w:fldCharType="begin"/>
      </w:r>
      <w:r>
        <w:rPr>
          <w:rFonts w:cs="Times New Roman"/>
          <w:lang w:val="en-GB"/>
        </w:rPr>
        <w:instrText xml:space="preserve"> REF _Ref9412870 \h </w:instrText>
      </w:r>
      <w:r>
        <w:rPr>
          <w:rFonts w:cs="Times New Roman"/>
          <w:lang w:val="en-GB"/>
        </w:rPr>
      </w:r>
      <w:r>
        <w:rPr>
          <w:rFonts w:cs="Times New Roman"/>
          <w:lang w:val="en-GB"/>
        </w:rPr>
        <w:fldChar w:fldCharType="separate"/>
      </w:r>
      <w:r w:rsidRPr="00042B1A">
        <w:rPr>
          <w:lang w:val="en-GB"/>
        </w:rPr>
        <w:t>Fig.</w:t>
      </w:r>
      <w:r w:rsidRPr="00042B1A">
        <w:rPr>
          <w:noProof/>
          <w:lang w:val="en-GB"/>
        </w:rPr>
        <w:t>4</w:t>
      </w:r>
      <w:r>
        <w:rPr>
          <w:rFonts w:cs="Times New Roman"/>
          <w:lang w:val="en-GB"/>
        </w:rPr>
        <w:fldChar w:fldCharType="end"/>
      </w:r>
      <w:r>
        <w:rPr>
          <w:rFonts w:cs="Times New Roman"/>
          <w:lang w:val="en-GB"/>
        </w:rPr>
        <w:t>b). Several micellar</w:t>
      </w:r>
      <w:r w:rsidRPr="00082A7A">
        <w:rPr>
          <w:rFonts w:cs="Times New Roman"/>
          <w:lang w:val="en-GB"/>
        </w:rPr>
        <w:t xml:space="preserve"> shapes are obse</w:t>
      </w:r>
      <w:r>
        <w:rPr>
          <w:rFonts w:cs="Times New Roman"/>
          <w:lang w:val="en-GB"/>
        </w:rPr>
        <w:t xml:space="preserve">rved to coexist in these cases </w:t>
      </w:r>
      <w:r w:rsidRPr="00082A7A">
        <w:rPr>
          <w:rFonts w:cs="Times New Roman"/>
          <w:lang w:val="en-GB"/>
        </w:rPr>
        <w:t xml:space="preserve">and a mean value would not be representative of the system. For this reason we </w:t>
      </w:r>
      <w:r>
        <w:rPr>
          <w:rFonts w:cs="Times New Roman"/>
          <w:lang w:val="en-GB"/>
        </w:rPr>
        <w:t xml:space="preserve">only </w:t>
      </w:r>
      <w:r w:rsidRPr="00082A7A">
        <w:rPr>
          <w:rFonts w:cs="Times New Roman"/>
          <w:lang w:val="en-GB"/>
        </w:rPr>
        <w:t>r</w:t>
      </w:r>
      <w:r>
        <w:rPr>
          <w:rFonts w:cs="Times New Roman"/>
          <w:lang w:val="en-GB"/>
        </w:rPr>
        <w:t xml:space="preserve">eport mean or std values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082A7A">
        <w:rPr>
          <w:rFonts w:cs="Times New Roman"/>
          <w:lang w:val="en-GB"/>
        </w:rPr>
        <w:t>.</w:t>
      </w:r>
      <w:r w:rsidRPr="005F7AFD">
        <w:rPr>
          <w:rFonts w:cs="Times New Roman"/>
          <w:lang w:val="en-GB"/>
        </w:rPr>
        <w:tab/>
      </w:r>
    </w:p>
    <w:p w:rsidR="004833BB" w:rsidRPr="004C1D1A" w:rsidRDefault="004833BB" w:rsidP="004833BB">
      <w:pPr>
        <w:keepNext/>
        <w:ind w:firstLine="142"/>
        <w:jc w:val="center"/>
        <w:rPr>
          <w:rFonts w:cs="Times New Roman"/>
          <w:lang w:val="en-GB"/>
        </w:rPr>
      </w:pPr>
      <w:r>
        <w:rPr>
          <w:rFonts w:cs="Times New Roman"/>
          <w:noProof/>
          <w:lang w:val="en-GB" w:eastAsia="en-GB" w:bidi="ar-SA"/>
        </w:rPr>
        <w:drawing>
          <wp:inline distT="0" distB="0" distL="0" distR="0" wp14:anchorId="00B05199" wp14:editId="073701D9">
            <wp:extent cx="3775777" cy="28332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DiagramSles1.emf"/>
                    <pic:cNvPicPr/>
                  </pic:nvPicPr>
                  <pic:blipFill>
                    <a:blip r:embed="rId14">
                      <a:extLst>
                        <a:ext uri="{28A0092B-C50C-407E-A947-70E740481C1C}">
                          <a14:useLocalDpi xmlns:a14="http://schemas.microsoft.com/office/drawing/2010/main" val="0"/>
                        </a:ext>
                      </a:extLst>
                    </a:blip>
                    <a:stretch>
                      <a:fillRect/>
                    </a:stretch>
                  </pic:blipFill>
                  <pic:spPr>
                    <a:xfrm>
                      <a:off x="0" y="0"/>
                      <a:ext cx="3775777" cy="2833200"/>
                    </a:xfrm>
                    <a:prstGeom prst="rect">
                      <a:avLst/>
                    </a:prstGeom>
                  </pic:spPr>
                </pic:pic>
              </a:graphicData>
            </a:graphic>
          </wp:inline>
        </w:drawing>
      </w:r>
    </w:p>
    <w:p w:rsidR="004833BB" w:rsidRPr="004C1D1A" w:rsidRDefault="004833BB" w:rsidP="004833BB">
      <w:pPr>
        <w:pStyle w:val="Caption"/>
        <w:rPr>
          <w:rFonts w:cs="Times New Roman"/>
        </w:rPr>
      </w:pPr>
      <w:bookmarkStart w:id="10" w:name="_Ref529896"/>
      <w:bookmarkStart w:id="11" w:name="_Ref529889"/>
      <w:bookmarkStart w:id="12" w:name="_Toc12449931"/>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3</w:t>
      </w:r>
      <w:r w:rsidRPr="004C1D1A">
        <w:rPr>
          <w:rFonts w:cs="Times New Roman"/>
          <w:noProof/>
        </w:rPr>
        <w:fldChar w:fldCharType="end"/>
      </w:r>
      <w:bookmarkEnd w:id="10"/>
      <w:r w:rsidRPr="004C1D1A">
        <w:rPr>
          <w:rFonts w:cs="Times New Roman"/>
        </w:rPr>
        <w:t>: Phase diagram of SLES</w:t>
      </w:r>
      <w:r w:rsidRPr="004C1D1A">
        <w:rPr>
          <w:rFonts w:cs="Times New Roman"/>
          <w:vertAlign w:val="subscript"/>
        </w:rPr>
        <w:t>1</w:t>
      </w:r>
      <w:r w:rsidRPr="004C1D1A">
        <w:rPr>
          <w:rFonts w:cs="Times New Roman"/>
        </w:rPr>
        <w:t>EO with salt concentration. The triangles (</w:t>
      </w:r>
      <w:r w:rsidRPr="004C1D1A">
        <w:rPr>
          <w:rFonts w:cs="Times New Roman"/>
          <w:color w:val="000000"/>
          <w:shd w:val="clear" w:color="auto" w:fill="FFFFFF"/>
        </w:rPr>
        <w:t>Δ</w:t>
      </w:r>
      <w:r w:rsidRPr="004C1D1A">
        <w:rPr>
          <w:rFonts w:cs="Times New Roman"/>
        </w:rPr>
        <w:t xml:space="preserve">) represent spherical micelles, circles (o) rod micelles, stars (*) </w:t>
      </w:r>
      <w:r>
        <w:rPr>
          <w:rFonts w:cs="Times New Roman"/>
        </w:rPr>
        <w:t>WLM</w:t>
      </w:r>
      <w:r w:rsidRPr="004C1D1A">
        <w:rPr>
          <w:rFonts w:cs="Times New Roman"/>
        </w:rPr>
        <w:t xml:space="preserve"> and diamonds (◊) branched micelles. The blue doted area represents the spherical micelles, green dots depict the rods, red is for </w:t>
      </w:r>
      <w:r>
        <w:rPr>
          <w:rFonts w:cs="Times New Roman"/>
        </w:rPr>
        <w:t>WLM</w:t>
      </w:r>
      <w:r w:rsidRPr="004C1D1A">
        <w:rPr>
          <w:rFonts w:cs="Times New Roman"/>
        </w:rPr>
        <w:t xml:space="preserve"> and black is for the branched structures.</w:t>
      </w:r>
      <w:bookmarkEnd w:id="11"/>
      <w:bookmarkEnd w:id="12"/>
    </w:p>
    <w:p w:rsidR="004833BB" w:rsidRDefault="004833BB" w:rsidP="004833BB">
      <w:pPr>
        <w:keepNext/>
        <w:jc w:val="both"/>
      </w:pPr>
      <w:r w:rsidRPr="00E245F9">
        <w:rPr>
          <w:noProof/>
          <w:lang w:val="en-GB" w:eastAsia="en-GB" w:bidi="ar-SA"/>
        </w:rPr>
        <w:lastRenderedPageBreak/>
        <w:drawing>
          <wp:inline distT="0" distB="0" distL="0" distR="0" wp14:anchorId="644E9C33" wp14:editId="36CB48FA">
            <wp:extent cx="5697855" cy="2432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7855" cy="2432105"/>
                    </a:xfrm>
                    <a:prstGeom prst="rect">
                      <a:avLst/>
                    </a:prstGeom>
                    <a:noFill/>
                    <a:ln>
                      <a:noFill/>
                    </a:ln>
                  </pic:spPr>
                </pic:pic>
              </a:graphicData>
            </a:graphic>
          </wp:inline>
        </w:drawing>
      </w:r>
    </w:p>
    <w:p w:rsidR="004833BB" w:rsidRPr="004C1D1A" w:rsidRDefault="004833BB" w:rsidP="004833BB">
      <w:pPr>
        <w:pStyle w:val="Caption"/>
        <w:rPr>
          <w:rFonts w:cs="Times New Roman"/>
          <w:b w:val="0"/>
        </w:rPr>
      </w:pPr>
      <w:bookmarkStart w:id="13" w:name="_Ref9412870"/>
      <w:bookmarkStart w:id="14" w:name="_Ref9412924"/>
      <w:bookmarkStart w:id="15" w:name="_Toc12449932"/>
      <w:r>
        <w:t>Fig.</w:t>
      </w:r>
      <w:r w:rsidR="00A70B57">
        <w:fldChar w:fldCharType="begin"/>
      </w:r>
      <w:r w:rsidR="00A70B57">
        <w:instrText xml:space="preserve"> SEQ Figure \* ARABIC </w:instrText>
      </w:r>
      <w:r w:rsidR="00A70B57">
        <w:fldChar w:fldCharType="separate"/>
      </w:r>
      <w:r>
        <w:rPr>
          <w:noProof/>
        </w:rPr>
        <w:t>4</w:t>
      </w:r>
      <w:r w:rsidR="00A70B57">
        <w:rPr>
          <w:noProof/>
        </w:rPr>
        <w:fldChar w:fldCharType="end"/>
      </w:r>
      <w:bookmarkEnd w:id="13"/>
      <w:r>
        <w:t xml:space="preserve">: </w:t>
      </w:r>
      <w:r w:rsidRPr="004C1D1A">
        <w:rPr>
          <w:rFonts w:cs="Times New Roman"/>
        </w:rPr>
        <w:t>Aggregation number of SLES</w:t>
      </w:r>
      <w:r w:rsidRPr="004C1D1A">
        <w:rPr>
          <w:rFonts w:cs="Times New Roman"/>
          <w:vertAlign w:val="subscript"/>
        </w:rPr>
        <w:t>1</w:t>
      </w:r>
      <w:r w:rsidRPr="004C1D1A">
        <w:rPr>
          <w:rFonts w:cs="Times New Roman"/>
          <w:vertAlign w:val="subscript"/>
        </w:rPr>
        <w:softHyphen/>
      </w:r>
      <w:r w:rsidRPr="004C1D1A">
        <w:rPr>
          <w:rFonts w:cs="Times New Roman"/>
        </w:rPr>
        <w:t xml:space="preserve">EO for </w:t>
      </w:r>
      <m:oMath>
        <m:r>
          <m:rPr>
            <m:sty m:val="bi"/>
          </m:rPr>
          <w:rPr>
            <w:rFonts w:ascii="Cambria Math" w:hAnsi="Cambria Math" w:cs="Times New Roman"/>
          </w:rPr>
          <m:t>c</m:t>
        </m:r>
      </m:oMath>
      <w:r w:rsidRPr="004C1D1A">
        <w:rPr>
          <w:rFonts w:cs="Times New Roman"/>
        </w:rPr>
        <w:t xml:space="preserve"> = 0.1</w:t>
      </w:r>
      <w:r>
        <w:rPr>
          <w:rFonts w:cs="Times New Roman"/>
        </w:rPr>
        <w:t>00</w:t>
      </w:r>
      <w:r w:rsidRPr="004C1D1A">
        <w:rPr>
          <w:rFonts w:cs="Times New Roman"/>
        </w:rPr>
        <w:t xml:space="preserve"> with (a)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oMath>
      <w:r w:rsidRPr="004C1D1A">
        <w:rPr>
          <w:rFonts w:cs="Times New Roman"/>
        </w:rPr>
        <w:t>=</w:t>
      </w:r>
      <w:r>
        <w:rPr>
          <w:rFonts w:cs="Times New Roman"/>
        </w:rPr>
        <w:t xml:space="preserve"> </w:t>
      </w:r>
      <w:r w:rsidRPr="004C1D1A">
        <w:rPr>
          <w:rFonts w:cs="Times New Roman"/>
        </w:rPr>
        <w:t>0.01</w:t>
      </w:r>
      <w:r>
        <w:rPr>
          <w:rFonts w:cs="Times New Roman"/>
        </w:rPr>
        <w:t>0</w:t>
      </w:r>
      <w:r w:rsidRPr="004C1D1A">
        <w:rPr>
          <w:rFonts w:cs="Times New Roman"/>
        </w:rPr>
        <w:t>, 0.02</w:t>
      </w:r>
      <w:r>
        <w:rPr>
          <w:rFonts w:cs="Times New Roman"/>
        </w:rPr>
        <w:t>0</w:t>
      </w:r>
      <w:r w:rsidRPr="004C1D1A">
        <w:rPr>
          <w:rFonts w:cs="Times New Roman"/>
        </w:rPr>
        <w:t xml:space="preserve"> and 0.04</w:t>
      </w:r>
      <w:r>
        <w:rPr>
          <w:rFonts w:cs="Times New Roman"/>
        </w:rPr>
        <w:t>0</w:t>
      </w:r>
      <w:r w:rsidRPr="004C1D1A">
        <w:rPr>
          <w:rFonts w:cs="Times New Roman"/>
        </w:rPr>
        <w:t xml:space="preserve"> (b)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oMath>
      <w:r w:rsidRPr="004C1D1A">
        <w:rPr>
          <w:rFonts w:cs="Times New Roman"/>
        </w:rPr>
        <w:t>=</w:t>
      </w:r>
      <w:r>
        <w:rPr>
          <w:rFonts w:cs="Times New Roman"/>
        </w:rPr>
        <w:t xml:space="preserve"> </w:t>
      </w:r>
      <w:r w:rsidRPr="004C1D1A">
        <w:rPr>
          <w:rFonts w:cs="Times New Roman"/>
        </w:rPr>
        <w:t>0.05</w:t>
      </w:r>
      <w:r>
        <w:rPr>
          <w:rFonts w:cs="Times New Roman"/>
        </w:rPr>
        <w:t>0</w:t>
      </w:r>
      <w:r w:rsidRPr="004C1D1A">
        <w:rPr>
          <w:rFonts w:cs="Times New Roman"/>
        </w:rPr>
        <w:t>, 0.06</w:t>
      </w:r>
      <w:r>
        <w:rPr>
          <w:rFonts w:cs="Times New Roman"/>
        </w:rPr>
        <w:t>0</w:t>
      </w:r>
      <w:r w:rsidRPr="004C1D1A">
        <w:rPr>
          <w:rFonts w:cs="Times New Roman"/>
        </w:rPr>
        <w:t xml:space="preserve"> and 0.075.</w:t>
      </w:r>
      <w:bookmarkEnd w:id="14"/>
      <w:bookmarkEnd w:id="15"/>
    </w:p>
    <w:p w:rsidR="004833BB" w:rsidRPr="004C1D1A" w:rsidRDefault="004833BB" w:rsidP="004833BB">
      <w:pPr>
        <w:jc w:val="center"/>
        <w:rPr>
          <w:rFonts w:cs="Times New Roman"/>
          <w:b/>
          <w:lang w:val="en-GB"/>
        </w:rPr>
      </w:pPr>
      <w:r w:rsidRPr="004C1D1A">
        <w:rPr>
          <w:rFonts w:cs="Times New Roman"/>
          <w:b/>
          <w:lang w:val="en-GB"/>
        </w:rPr>
        <w:t xml:space="preserve">3.2 Contour length and </w:t>
      </w:r>
      <w:r>
        <w:rPr>
          <w:rFonts w:cs="Times New Roman"/>
          <w:b/>
          <w:lang w:val="en-GB"/>
        </w:rPr>
        <w:t>packing parameter</w:t>
      </w:r>
    </w:p>
    <w:p w:rsidR="004833BB" w:rsidRPr="004C1D1A" w:rsidRDefault="004833BB" w:rsidP="004833BB">
      <w:pPr>
        <w:rPr>
          <w:rFonts w:cs="Times New Roman"/>
          <w:lang w:val="en-GB" w:eastAsia="en-US" w:bidi="ar-SA"/>
        </w:rPr>
      </w:pPr>
    </w:p>
    <w:p w:rsidR="004833BB" w:rsidRPr="004C1D1A" w:rsidRDefault="004833BB" w:rsidP="004833BB">
      <w:pPr>
        <w:ind w:firstLine="454"/>
        <w:jc w:val="both"/>
        <w:rPr>
          <w:rFonts w:cs="Times New Roman"/>
          <w:lang w:val="en-GB"/>
        </w:rPr>
      </w:pPr>
      <w:r w:rsidRPr="004C1D1A">
        <w:rPr>
          <w:rFonts w:cs="Times New Roman"/>
          <w:lang w:val="en-GB"/>
        </w:rPr>
        <w:t xml:space="preserve">In order to quantify the phase behaviour obtained from our simulations, the packing parameter was calculated following the methodology described in section 2.3. As observed in </w:t>
      </w:r>
      <w:r>
        <w:rPr>
          <w:rFonts w:cs="Times New Roman"/>
          <w:lang w:val="en-GB"/>
        </w:rPr>
        <w:t>Fig.S2 (supporting document)</w:t>
      </w:r>
      <w:r w:rsidRPr="004C1D1A">
        <w:rPr>
          <w:rFonts w:cs="Times New Roman"/>
          <w:lang w:val="en-GB"/>
        </w:rPr>
        <w:t xml:space="preserve"> the distribution of the packing parameter peaks at 0.2</w:t>
      </w:r>
      <w:r>
        <w:rPr>
          <w:rFonts w:cs="Times New Roman"/>
          <w:lang w:val="en-GB"/>
        </w:rPr>
        <w:t>25</w:t>
      </w:r>
      <w:r w:rsidRPr="004C1D1A">
        <w:rPr>
          <w:rFonts w:cs="Times New Roman"/>
          <w:lang w:val="en-GB"/>
        </w:rPr>
        <w:t xml:space="preserve"> for</w:t>
      </w:r>
      <w:r>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m:t>
        </m:r>
      </m:oMath>
      <w:r w:rsidRPr="004C1D1A">
        <w:rPr>
          <w:rFonts w:cs="Times New Roman"/>
          <w:lang w:val="en-GB"/>
        </w:rPr>
        <w:t xml:space="preserve"> and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m:t>
        </m:r>
      </m:oMath>
      <w:r w:rsidRPr="004C1D1A">
        <w:rPr>
          <w:rFonts w:cs="Times New Roman"/>
          <w:lang w:val="en-GB"/>
        </w:rPr>
        <w:t xml:space="preserve"> </w:t>
      </w:r>
      <w:r>
        <w:rPr>
          <w:rFonts w:cs="Times New Roman"/>
          <w:lang w:val="en-GB"/>
        </w:rPr>
        <w:t>and then the</w:t>
      </w:r>
      <w:r w:rsidRPr="004C1D1A">
        <w:rPr>
          <w:rFonts w:cs="Times New Roman"/>
          <w:lang w:val="en-GB"/>
        </w:rPr>
        <w:t xml:space="preserve"> mean value </w:t>
      </w:r>
      <w:r>
        <w:rPr>
          <w:rFonts w:cs="Times New Roman"/>
          <w:lang w:val="en-GB"/>
        </w:rPr>
        <w:t xml:space="preserve">increases with the salt concentrations reaching </w:t>
      </w:r>
      <w:r w:rsidRPr="004C1D1A">
        <w:rPr>
          <w:rFonts w:cs="Times New Roman"/>
          <w:lang w:val="en-GB"/>
        </w:rPr>
        <w:t>0.49</w:t>
      </w:r>
      <w:r>
        <w:rPr>
          <w:rFonts w:cs="Times New Roman"/>
          <w:lang w:val="en-GB"/>
        </w:rPr>
        <w:t>4</w:t>
      </w:r>
      <w:r w:rsidRPr="004C1D1A">
        <w:rPr>
          <w:rFonts w:cs="Times New Roman"/>
          <w:lang w:val="en-GB"/>
        </w:rPr>
        <w:t xml:space="preserv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4C1D1A">
        <w:rPr>
          <w:rFonts w:cs="Times New Roman"/>
          <w:lang w:val="en-GB"/>
        </w:rPr>
        <w:t xml:space="preserve"> and 0.56</w:t>
      </w:r>
      <w:r>
        <w:rPr>
          <w:rFonts w:cs="Times New Roman"/>
          <w:lang w:val="en-GB"/>
        </w:rPr>
        <w:t>4</w:t>
      </w:r>
      <w:r w:rsidRPr="004C1D1A">
        <w:rPr>
          <w:rFonts w:cs="Times New Roman"/>
          <w:lang w:val="en-GB"/>
        </w:rPr>
        <w:t xml:space="preserv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=0.050</m:t>
        </m:r>
      </m:oMath>
      <w:r w:rsidRPr="004C1D1A">
        <w:rPr>
          <w:rFonts w:cs="Times New Roman"/>
          <w:lang w:val="en-GB"/>
        </w:rPr>
        <w:t xml:space="preserve">. All the mean values and </w:t>
      </w:r>
      <w:r>
        <w:rPr>
          <w:rFonts w:cs="Times New Roman"/>
          <w:lang w:val="en-GB"/>
        </w:rPr>
        <w:t>stds</w:t>
      </w:r>
      <w:r w:rsidRPr="004C1D1A">
        <w:rPr>
          <w:rFonts w:cs="Times New Roman"/>
          <w:lang w:val="en-GB"/>
        </w:rPr>
        <w:t xml:space="preserve"> are reported in </w:t>
      </w:r>
      <w:r>
        <w:rPr>
          <w:rFonts w:cs="Times New Roman"/>
          <w:lang w:val="en-GB"/>
        </w:rPr>
        <w:fldChar w:fldCharType="begin"/>
      </w:r>
      <w:r>
        <w:rPr>
          <w:rFonts w:cs="Times New Roman"/>
          <w:lang w:val="en-GB"/>
        </w:rPr>
        <w:instrText xml:space="preserve"> REF _Ref12453424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2</w:t>
      </w:r>
      <w:r>
        <w:rPr>
          <w:rFonts w:cs="Times New Roman"/>
          <w:lang w:val="en-GB"/>
        </w:rPr>
        <w:fldChar w:fldCharType="end"/>
      </w:r>
      <w:r w:rsidRPr="004C1D1A">
        <w:rPr>
          <w:rFonts w:cs="Times New Roman"/>
          <w:lang w:val="en-GB"/>
        </w:rPr>
        <w:t xml:space="preserve">. The results agree with the suggested theoretical values </w:t>
      </w:r>
      <w:r w:rsidRPr="004C1D1A">
        <w:rPr>
          <w:rFonts w:cs="Times New Roman"/>
          <w:lang w:val="en-GB"/>
        </w:rPr>
        <w:fldChar w:fldCharType="begin" w:fldLock="1"/>
      </w:r>
      <w:r>
        <w:rPr>
          <w:rFonts w:cs="Times New Roman"/>
          <w:lang w:val="en-GB"/>
        </w:rPr>
        <w:instrText>ADDIN CSL_CITATION {"citationItems":[{"id":"ITEM-1","itemData":{"ISBN":"0-12-375181-0","author":[{"dropping-particle":"","family":"Jacob N. Israelachvili","given":"","non-dropping-particle":"","parse-names":false,"suffix":""}],"id":"ITEM-1","issued":{"date-parts":[["1991"]]},"publisher":"Academic press LTD","title":"Intermolecular and surface forces","type":"book"},"uris":["http://www.mendeley.com/documents/?uuid=3d6eba62-9619-46c3-8ac1-a559e22b82f8"]},{"id":"ITEM-2","itemData":{"DOI":"10.1016/j.cis.2018.05.006","ISSN":"00018686","abstract":"Despite the considerable advances of molecular-thermodynamic theory of micelle growth, agreement between theory and experiment has been achieved only in isolated cases. A general theory that can provide self-consistent quantitative description of the growth of wormlike micelles in mixed surfactant solutions, including the experimentally observed high peaks in viscosity and aggregation number, is still missing. As a step toward the creation of such theory, here we consider the simplest system – nonionic wormlike surfactant micelles from polyoxyethylene alkyl ethers, CiEj. Our goal is to construct a molecular-thermodynamic model that is in agreement with the available experimental data. For this goal, we systematized data for the micelle mean mass aggregation number, from which the micelle growth parameter was determined at various temperatures. None of the available models can give a quantitative description of these data. We constructed a new model, which is based on theoretical expressions for the interfacial-tension, headgroup-steric and chain-conformation components of micelle free energy, along with appropriate expressions for the parameters of the model, including their temperature and curvature dependencies. Special attention was paid to the surfactant chain-conformation free energy, for which a new more general formula was derived. As a result, relatively simple theoretical expressions are obtained. All parameters that enter these expressions are known, which facilitates the theoretical modeling of micelle growth for various nonionic surfactants in excellent agreement with the experiment. The constructed model can serve as a basis that can be further upgraded to obtain quantitative description of micelle growth in more complicated systems, including binary and ternary mixtures of nonionic, ionic and zwitterionic surfactants, which determines the viscosity and stability of various formulations in personal-care and house-hold detergency.","author":[{"dropping-particle":"","family":"Danov","given":"Krassimir D.","non-dropping-particle":"","parse-names":false,"suffix":""},{"dropping-particle":"","family":"Kralchevsky","given":"Peter A.","non-dropping-particle":"","parse-names":false,"suffix":""},{"dropping-particle":"","family":"Stoyanov","given":"Simeon D.","non-dropping-particle":"","parse-names":false,"suffix":""},{"dropping-particle":"","family":"Cook","given":"Joanne L.","non-dropping-particle":"","parse-names":false,"suffix":""},{"dropping-particle":"","family":"Stott","given":"Ian P.","non-dropping-particle":"","parse-names":false,"suffix":""},{"dropping-particle":"","family":"Pelan","given":"Eddie G.","non-dropping-particle":"","parse-names":false,"suffix":""}],"container-title":"Advances in Colloid and Interface Science","id":"ITEM-2","issued":{"date-parts":[["2018"]]},"page":"1-22","publisher":"The Authors","title":"Growth of wormlike micelles in nonionic surfactant solutions: Quantitative theory vs. experiment","type":"article-journal","volume":"256"},"uris":["http://www.mendeley.com/documents/?uuid=737b20e0-f359-49ce-bf00-1c961ca2a088"]}],"mendeley":{"formattedCitation":"[50,57]","plainTextFormattedCitation":"[50,57]","previouslyFormattedCitation":"[49,56]"},"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[50,57]</w:t>
      </w:r>
      <w:r w:rsidRPr="004C1D1A">
        <w:rPr>
          <w:rFonts w:cs="Times New Roman"/>
          <w:lang w:val="en-GB"/>
        </w:rPr>
        <w:fldChar w:fldCharType="end"/>
      </w:r>
      <w:r w:rsidRPr="004C1D1A">
        <w:rPr>
          <w:rFonts w:cs="Times New Roman"/>
          <w:lang w:val="en-GB"/>
        </w:rPr>
        <w:t xml:space="preserve"> within the confidence interval of the calculated error. </w:t>
      </w:r>
    </w:p>
    <w:p w:rsidR="004833BB" w:rsidRPr="004C1D1A" w:rsidRDefault="004833BB" w:rsidP="004833BB">
      <w:pPr>
        <w:ind w:firstLine="454"/>
        <w:jc w:val="both"/>
        <w:rPr>
          <w:rFonts w:cs="Times New Roman"/>
          <w:lang w:val="en-GB"/>
        </w:rPr>
      </w:pPr>
      <w:r w:rsidRPr="004C1D1A">
        <w:rPr>
          <w:rFonts w:cs="Times New Roman"/>
          <w:lang w:val="en-GB"/>
        </w:rPr>
        <w:t xml:space="preserve">In the case of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=0.050 </m:t>
        </m:r>
      </m:oMath>
      <w:r>
        <w:rPr>
          <w:rFonts w:cs="Times New Roman"/>
          <w:lang w:val="en-GB"/>
        </w:rPr>
        <w:t xml:space="preserve">the </w:t>
      </w:r>
      <w:r w:rsidRPr="007E5DC1">
        <w:rPr>
          <w:rFonts w:cs="Times New Roman"/>
          <w:i/>
          <w:lang w:val="en-GB"/>
        </w:rPr>
        <w:t>pp</w:t>
      </w:r>
      <w:r w:rsidRPr="004C1D1A">
        <w:rPr>
          <w:rFonts w:cs="Times New Roman"/>
          <w:lang w:val="en-GB"/>
        </w:rPr>
        <w:t xml:space="preserve"> seems to be slightly higher than the theoretical predicted value </w:t>
      </w:r>
      <w:r>
        <w:rPr>
          <w:rFonts w:cs="Times New Roman"/>
          <w:lang w:val="en-GB"/>
        </w:rPr>
        <w:t xml:space="preserve">of </w:t>
      </w:r>
      <w:r w:rsidRPr="004C1D1A">
        <w:rPr>
          <w:rFonts w:cs="Times New Roman"/>
          <w:lang w:val="en-GB"/>
        </w:rPr>
        <w:t>0.5</w:t>
      </w:r>
      <w:r>
        <w:rPr>
          <w:rFonts w:cs="Times New Roman"/>
          <w:lang w:val="en-GB"/>
        </w:rPr>
        <w:t xml:space="preserve">00, although </w:t>
      </w:r>
      <w:r w:rsidRPr="004C1D1A">
        <w:rPr>
          <w:rFonts w:cs="Times New Roman"/>
          <w:lang w:val="en-GB"/>
        </w:rPr>
        <w:t xml:space="preserve">it is reasonable within the bounds of standard deviation. This is due to the quality of the fitting that was performed on the micellar surface as well as on the noise in the defined surface. </w:t>
      </w:r>
    </w:p>
    <w:p w:rsidR="004833BB" w:rsidRPr="006A068C" w:rsidRDefault="004833BB" w:rsidP="004833BB">
      <w:pPr>
        <w:ind w:firstLine="576"/>
        <w:jc w:val="both"/>
        <w:rPr>
          <w:rFonts w:cs="Times New Roman"/>
          <w:lang w:val="en-GB"/>
        </w:rPr>
      </w:pPr>
      <w:r>
        <w:rPr>
          <w:rFonts w:cs="Times New Roman"/>
          <w:lang w:val="en-GB"/>
        </w:rPr>
        <w:t>F</w:t>
      </w:r>
      <w:r w:rsidRPr="004C1D1A">
        <w:rPr>
          <w:rFonts w:cs="Times New Roman"/>
          <w:lang w:val="en-GB"/>
        </w:rPr>
        <w:t>or spherical and rods micelles</w:t>
      </w:r>
      <w:r>
        <w:rPr>
          <w:rFonts w:cs="Times New Roman"/>
          <w:lang w:val="en-GB"/>
        </w:rPr>
        <w:t>, c</w:t>
      </w:r>
      <w:r w:rsidRPr="004C1D1A">
        <w:rPr>
          <w:rFonts w:cs="Times New Roman"/>
          <w:lang w:val="en-GB"/>
        </w:rPr>
        <w:t xml:space="preserve">omplementary to the </w:t>
      </w:r>
      <w:r w:rsidRPr="007E5DC1">
        <w:rPr>
          <w:rFonts w:cs="Times New Roman"/>
          <w:i/>
          <w:lang w:val="en-GB"/>
        </w:rPr>
        <w:t>pp</w:t>
      </w:r>
      <w:r w:rsidRPr="004C1D1A">
        <w:rPr>
          <w:rFonts w:cs="Times New Roman"/>
          <w:lang w:val="en-GB"/>
        </w:rPr>
        <w:t xml:space="preserve"> distributions is the calculation of </w:t>
      </w:r>
      <w:r>
        <w:rPr>
          <w:rFonts w:cs="Times New Roman"/>
          <w:lang w:val="en-GB"/>
        </w:rPr>
        <w:t xml:space="preserve">micelle </w:t>
      </w:r>
      <w:r w:rsidRPr="004C1D1A">
        <w:rPr>
          <w:rFonts w:cs="Times New Roman"/>
          <w:lang w:val="en-GB"/>
        </w:rPr>
        <w:t>aspect ratio. For worm-like micelles where the calculation of aspect ratio would give less reasonable results, the contour length</w:t>
      </w:r>
      <w:r>
        <w:rPr>
          <w:rFonts w:cs="Times New Roman"/>
          <w:lang w:val="en-GB"/>
        </w:rPr>
        <w:t>,</w:t>
      </w:r>
      <w:r w:rsidRPr="004C1D1A">
        <w:rPr>
          <w:rFonts w:cs="Times New Roman"/>
          <w:lang w:val="en-GB"/>
        </w:rPr>
        <w:t xml:space="preserve"> ℓ</w:t>
      </w:r>
      <w:r>
        <w:rPr>
          <w:rFonts w:cs="Times New Roman"/>
          <w:lang w:val="en-GB"/>
        </w:rPr>
        <w:t>,</w:t>
      </w:r>
      <w:r w:rsidRPr="004C1D1A">
        <w:rPr>
          <w:rFonts w:cs="Times New Roman"/>
          <w:lang w:val="en-GB"/>
        </w:rPr>
        <w:t xml:space="preserve"> will be given. The probability distributions of aspect ratio from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m:t>
        </m:r>
      </m:oMath>
      <w:r w:rsidRPr="004C1D1A">
        <w:rPr>
          <w:rFonts w:cs="Times New Roman"/>
          <w:lang w:val="en-GB"/>
        </w:rPr>
        <w:t xml:space="preserve"> to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4C1D1A">
        <w:rPr>
          <w:rFonts w:cs="Times New Roman"/>
          <w:lang w:val="en-GB"/>
        </w:rPr>
        <w:t xml:space="preserve"> salt concentration were found to behave as normal distributions with the mean value being 1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 0.020</m:t>
        </m:r>
      </m:oMath>
      <w:r w:rsidRPr="004C1D1A">
        <w:rPr>
          <w:rFonts w:cs="Times New Roman"/>
          <w:lang w:val="en-GB"/>
        </w:rPr>
        <w:t xml:space="preserve"> and </w:t>
      </w:r>
      <m:oMath>
        <m:r>
          <w:rPr>
            <w:rFonts w:ascii="Cambria Math" w:hAnsi="Cambria Math" w:cs="Times New Roman"/>
            <w:lang w:val="en-GB"/>
          </w:rPr>
          <m:t>~1.7</m:t>
        </m:r>
      </m:oMath>
      <w:r w:rsidRPr="004C1D1A">
        <w:rPr>
          <w:rFonts w:cs="Times New Roman"/>
          <w:lang w:val="en-GB"/>
        </w:rPr>
        <w:t xml:space="preserve">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4C1D1A">
        <w:rPr>
          <w:rFonts w:cs="Times New Roman"/>
          <w:lang w:val="en-GB"/>
        </w:rPr>
        <w:t xml:space="preserve">. </w:t>
      </w:r>
      <w:r>
        <w:rPr>
          <w:rFonts w:cs="Times New Roman"/>
          <w:lang w:val="en-GB"/>
        </w:rPr>
        <w:t xml:space="preserve">From the </w:t>
      </w:r>
      <w:r w:rsidRPr="004C1D1A">
        <w:rPr>
          <w:rFonts w:cs="Times New Roman"/>
          <w:lang w:val="en-GB"/>
        </w:rPr>
        <w:t>results</w:t>
      </w:r>
      <w:r>
        <w:rPr>
          <w:rFonts w:cs="Times New Roman"/>
          <w:lang w:val="en-GB"/>
        </w:rPr>
        <w:t>,</w:t>
      </w:r>
      <w:r w:rsidRPr="004C1D1A">
        <w:rPr>
          <w:rFonts w:cs="Times New Roman"/>
          <w:lang w:val="en-GB"/>
        </w:rPr>
        <w:t xml:space="preserve"> reported in </w:t>
      </w:r>
      <w:r>
        <w:rPr>
          <w:rFonts w:cs="Times New Roman"/>
          <w:lang w:val="en-GB"/>
        </w:rPr>
        <w:fldChar w:fldCharType="begin"/>
      </w:r>
      <w:r>
        <w:rPr>
          <w:rFonts w:cs="Times New Roman"/>
          <w:lang w:val="en-GB"/>
        </w:rPr>
        <w:instrText xml:space="preserve"> REF _Ref12453475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3</w:t>
      </w:r>
      <w:r>
        <w:rPr>
          <w:rFonts w:cs="Times New Roman"/>
          <w:lang w:val="en-GB"/>
        </w:rPr>
        <w:fldChar w:fldCharType="end"/>
      </w:r>
      <w:r w:rsidRPr="00D46324">
        <w:rPr>
          <w:rFonts w:cs="Times New Roman"/>
          <w:lang w:val="en-GB"/>
        </w:rPr>
        <w:t>,</w:t>
      </w:r>
      <w:r w:rsidRPr="004C1D1A">
        <w:rPr>
          <w:rFonts w:cs="Times New Roman"/>
          <w:lang w:val="en-GB"/>
        </w:rPr>
        <w:t xml:space="preserve"> it is evident that micelles of spherical shape give aspect ratio close to unity while rods that have an ellipsoidal shape have a greater aspect ratio with the major axis being the nominator of the fraction. The aspect ratio between y and z axis in rods is close to unity indicating a circular shape </w:t>
      </w:r>
      <w:r>
        <w:rPr>
          <w:rFonts w:cs="Times New Roman"/>
          <w:lang w:val="en-GB"/>
        </w:rPr>
        <w:t xml:space="preserve">at </w:t>
      </w:r>
      <w:r w:rsidRPr="004C1D1A">
        <w:rPr>
          <w:rFonts w:cs="Times New Roman"/>
          <w:lang w:val="en-GB"/>
        </w:rPr>
        <w:t xml:space="preserve">yz cross-section. </w:t>
      </w:r>
    </w:p>
    <w:p w:rsidR="004833BB" w:rsidRPr="004C1D1A" w:rsidRDefault="004833BB" w:rsidP="004833BB">
      <w:pPr>
        <w:jc w:val="both"/>
        <w:rPr>
          <w:rFonts w:cs="Times New Roman"/>
          <w:lang w:val="en-GB"/>
        </w:rPr>
      </w:pPr>
      <w:r w:rsidRPr="004C1D1A">
        <w:rPr>
          <w:rFonts w:cs="Times New Roman"/>
          <w:lang w:val="en-GB"/>
        </w:rPr>
        <w:tab/>
        <w:t xml:space="preserve">The probability distributions of ℓ for </w:t>
      </w:r>
      <w:r>
        <w:rPr>
          <w:rFonts w:cs="Times New Roman"/>
          <w:lang w:val="en-GB"/>
        </w:rPr>
        <w:t>WLMs</w:t>
      </w:r>
      <w:r w:rsidRPr="004C1D1A">
        <w:rPr>
          <w:rFonts w:cs="Times New Roman"/>
          <w:lang w:val="en-GB"/>
        </w:rPr>
        <w:t xml:space="preserve"> were calculated over a production run of </w:t>
      </w:r>
      <m:oMath>
        <m:r>
          <w:rPr>
            <w:rFonts w:ascii="Cambria Math" w:hAnsi="Cambria Math" w:cs="Times New Roman"/>
            <w:lang w:val="en-GB"/>
          </w:rPr>
          <m:t>4×</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5</m:t>
            </m:r>
          </m:sup>
        </m:sSup>
      </m:oMath>
      <w:r w:rsidRPr="004C1D1A">
        <w:rPr>
          <w:rFonts w:cs="Times New Roman"/>
          <w:lang w:val="en-GB"/>
        </w:rPr>
        <w:t xml:space="preserve"> </w:t>
      </w:r>
      <w:r w:rsidRPr="004C1D1A">
        <w:rPr>
          <w:rFonts w:cs="Times New Roman"/>
          <w:i/>
          <w:lang w:val="en-GB"/>
        </w:rPr>
        <w:t>DPD time units</w:t>
      </w:r>
      <w:r w:rsidRPr="004C1D1A">
        <w:rPr>
          <w:rFonts w:cs="Times New Roman"/>
          <w:lang w:val="en-GB"/>
        </w:rPr>
        <w:t xml:space="preserve"> and accumulation frequency in the trajectory file of </w:t>
      </w:r>
      <m:oMath>
        <m:r>
          <w:rPr>
            <w:rFonts w:ascii="Cambria Math" w:hAnsi="Cambria Math" w:cs="Times New Roman"/>
            <w:lang w:val="en-GB"/>
          </w:rPr>
          <m:t>5 ×</m:t>
        </m:r>
        <m:sSup>
          <m:sSupPr>
            <m:ctrlPr>
              <w:rPr>
                <w:rFonts w:ascii="Cambria Math" w:hAnsi="Cambria Math" w:cs="Times New Roman"/>
                <w:i/>
                <w:lang w:val="en-GB"/>
              </w:rPr>
            </m:ctrlPr>
          </m:sSupPr>
          <m:e>
            <m:r>
              <w:rPr>
                <w:rFonts w:ascii="Cambria Math" w:hAnsi="Cambria Math" w:cs="Times New Roman"/>
                <w:lang w:val="en-GB"/>
              </w:rPr>
              <m:t>10</m:t>
            </m:r>
          </m:e>
          <m:sup>
            <m:r>
              <w:rPr>
                <w:rFonts w:ascii="Cambria Math" w:hAnsi="Cambria Math" w:cs="Times New Roman"/>
                <w:lang w:val="en-GB"/>
              </w:rPr>
              <m:t>3</m:t>
            </m:r>
          </m:sup>
        </m:sSup>
      </m:oMath>
      <w:r w:rsidRPr="004C1D1A">
        <w:rPr>
          <w:rFonts w:cs="Times New Roman"/>
          <w:lang w:val="en-GB"/>
        </w:rPr>
        <w:t xml:space="preserve"> steps. As evident </w:t>
      </w:r>
      <w:r>
        <w:rPr>
          <w:rFonts w:cs="Times New Roman"/>
          <w:lang w:val="en-GB"/>
        </w:rPr>
        <w:t>from</w:t>
      </w:r>
      <w:r w:rsidRPr="004C1D1A">
        <w:rPr>
          <w:rFonts w:cs="Times New Roman"/>
          <w:lang w:val="en-GB"/>
        </w:rPr>
        <w:t xml:space="preserve"> </w:t>
      </w:r>
      <w:r w:rsidRPr="004C1D1A">
        <w:rPr>
          <w:rFonts w:cs="Times New Roman"/>
          <w:lang w:val="en-GB"/>
        </w:rPr>
        <w:fldChar w:fldCharType="begin"/>
      </w:r>
      <w:r w:rsidRPr="004C1D1A">
        <w:rPr>
          <w:rFonts w:cs="Times New Roman"/>
          <w:lang w:val="en-GB"/>
        </w:rPr>
        <w:instrText xml:space="preserve"> REF _Ref530607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5</w:t>
      </w:r>
      <w:r w:rsidRPr="004C1D1A">
        <w:rPr>
          <w:rFonts w:cs="Times New Roman"/>
          <w:lang w:val="en-GB"/>
        </w:rPr>
        <w:fldChar w:fldCharType="end"/>
      </w:r>
      <w:r w:rsidRPr="004C1D1A">
        <w:rPr>
          <w:rFonts w:cs="Times New Roman"/>
          <w:lang w:val="en-GB"/>
        </w:rPr>
        <w:t xml:space="preserve"> </w:t>
      </w:r>
      <w:r>
        <w:rPr>
          <w:rFonts w:cs="Times New Roman"/>
          <w:lang w:val="en-GB"/>
        </w:rPr>
        <w:t xml:space="preserve">not all </w:t>
      </w:r>
      <w:r w:rsidRPr="004C1D1A">
        <w:rPr>
          <w:rFonts w:cs="Times New Roman"/>
          <w:lang w:val="en-GB"/>
        </w:rPr>
        <w:t xml:space="preserve">the curves follow a normal distribution. Namely,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=0.050</m:t>
        </m:r>
      </m:oMath>
      <w:r w:rsidRPr="004C1D1A">
        <w:rPr>
          <w:rFonts w:cs="Times New Roman"/>
          <w:lang w:val="en-GB"/>
        </w:rPr>
        <w:t xml:space="preserve"> the contour length distribution has a well-formed bell shape and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=0.060 </m:t>
        </m:r>
      </m:oMath>
      <w:r w:rsidRPr="004C1D1A">
        <w:rPr>
          <w:rFonts w:cs="Times New Roman"/>
          <w:lang w:val="en-GB"/>
        </w:rPr>
        <w:t xml:space="preserve">it behaves like a binomial function while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=0.075</m:t>
        </m:r>
      </m:oMath>
      <w:r w:rsidRPr="004C1D1A">
        <w:rPr>
          <w:rFonts w:cs="Times New Roman"/>
          <w:lang w:val="en-GB"/>
        </w:rPr>
        <w:t xml:space="preserve"> up to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=0.090 </m:t>
        </m:r>
      </m:oMath>
      <w:r w:rsidRPr="004C1D1A">
        <w:rPr>
          <w:rFonts w:cs="Times New Roman"/>
          <w:lang w:val="en-GB"/>
        </w:rPr>
        <w:t>two extreme peaks are observed at large lengths and fewer small micelles appear in the system. This leads to a shifting in the mean value that does not correspond to the most representative contour length found in the system (</w:t>
      </w:r>
      <w:r>
        <w:rPr>
          <w:rFonts w:cs="Times New Roman"/>
          <w:lang w:val="en-GB"/>
        </w:rPr>
        <w:fldChar w:fldCharType="begin"/>
      </w:r>
      <w:r>
        <w:rPr>
          <w:rFonts w:cs="Times New Roman"/>
          <w:lang w:val="en-GB"/>
        </w:rPr>
        <w:instrText xml:space="preserve"> REF _Ref12453495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4</w:t>
      </w:r>
      <w:r>
        <w:rPr>
          <w:rFonts w:cs="Times New Roman"/>
          <w:lang w:val="en-GB"/>
        </w:rPr>
        <w:fldChar w:fldCharType="end"/>
      </w:r>
      <w:r w:rsidRPr="004C1D1A">
        <w:rPr>
          <w:rFonts w:cs="Times New Roman"/>
          <w:lang w:val="en-GB"/>
        </w:rPr>
        <w:t xml:space="preserve">). The reason </w:t>
      </w:r>
      <w:r>
        <w:rPr>
          <w:rFonts w:cs="Times New Roman"/>
          <w:lang w:val="en-GB"/>
        </w:rPr>
        <w:t xml:space="preserve">why the contour length distribution obtained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=0.060 </m:t>
        </m:r>
      </m:oMath>
      <w:r w:rsidRPr="004C1D1A">
        <w:rPr>
          <w:rFonts w:cs="Times New Roman"/>
          <w:lang w:val="en-GB"/>
        </w:rPr>
        <w:t xml:space="preserve">is binomial </w:t>
      </w:r>
      <w:r>
        <w:rPr>
          <w:rFonts w:cs="Times New Roman"/>
          <w:lang w:val="en-GB"/>
        </w:rPr>
        <w:t>(Fig.5a) is</w:t>
      </w:r>
      <w:r w:rsidRPr="004C1D1A">
        <w:rPr>
          <w:rFonts w:cs="Times New Roman"/>
          <w:lang w:val="en-GB"/>
        </w:rPr>
        <w:t xml:space="preserve"> because in the system longer micelles of comparable size to those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=0.075</m:t>
        </m:r>
      </m:oMath>
      <w:r w:rsidRPr="004C1D1A">
        <w:rPr>
          <w:rFonts w:cs="Times New Roman"/>
          <w:lang w:val="en-GB"/>
        </w:rPr>
        <w:t xml:space="preserve"> coexist with shorter </w:t>
      </w:r>
      <w:r>
        <w:rPr>
          <w:rFonts w:cs="Times New Roman"/>
          <w:lang w:val="en-GB"/>
        </w:rPr>
        <w:t>WLMs</w:t>
      </w:r>
      <w:r w:rsidRPr="004C1D1A">
        <w:rPr>
          <w:rFonts w:cs="Times New Roman"/>
          <w:lang w:val="en-GB"/>
        </w:rPr>
        <w:t xml:space="preserve"> with sizes similar to those at</w:t>
      </w:r>
      <m:oMath>
        <m:r>
          <w:rPr>
            <w:rFonts w:ascii="Cambria Math" w:hAnsi="Cambria Math" w:cs="Times New Roman"/>
            <w:lang w:val="en-GB"/>
          </w:rPr>
          <m:t xml:space="preserve"> </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=0.050</m:t>
        </m:r>
      </m:oMath>
      <w:r w:rsidRPr="004C1D1A">
        <w:rPr>
          <w:rFonts w:cs="Times New Roman"/>
          <w:lang w:val="en-GB"/>
        </w:rPr>
        <w:t>.</w:t>
      </w:r>
    </w:p>
    <w:p w:rsidR="004833BB" w:rsidRPr="004C1D1A" w:rsidRDefault="004833BB" w:rsidP="004833BB">
      <w:pPr>
        <w:ind w:firstLine="720"/>
        <w:jc w:val="both"/>
        <w:rPr>
          <w:rFonts w:cs="Times New Roman"/>
          <w:b/>
          <w:sz w:val="12"/>
          <w:szCs w:val="18"/>
          <w:lang w:val="en-GB"/>
        </w:rPr>
      </w:pPr>
      <w:r w:rsidRPr="004C1D1A">
        <w:rPr>
          <w:rFonts w:cs="Times New Roman"/>
          <w:noProof/>
          <w:lang w:val="en-GB" w:eastAsia="en-GB" w:bidi="ar-SA"/>
        </w:rPr>
        <w:t xml:space="preserve">The morphology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=0.075</m:t>
        </m:r>
      </m:oMath>
      <w:r w:rsidRPr="004C1D1A">
        <w:rPr>
          <w:rFonts w:cs="Times New Roman"/>
          <w:noProof/>
          <w:lang w:val="en-GB" w:eastAsia="en-GB" w:bidi="ar-SA"/>
        </w:rPr>
        <w:t xml:space="preserve"> up to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=0.090</m:t>
        </m:r>
      </m:oMath>
      <w:r w:rsidRPr="004C1D1A">
        <w:rPr>
          <w:rFonts w:cs="Times New Roman"/>
          <w:noProof/>
          <w:lang w:val="en-GB" w:eastAsia="en-GB" w:bidi="ar-SA"/>
        </w:rPr>
        <w:t xml:space="preserve"> is mainly dominated by one long micelle and several smaller micelles that coexist in smaller amounts (</w:t>
      </w:r>
      <w:r w:rsidRPr="004C1D1A">
        <w:rPr>
          <w:rFonts w:cs="Times New Roman"/>
          <w:noProof/>
          <w:lang w:val="en-GB" w:eastAsia="en-GB" w:bidi="ar-SA"/>
        </w:rPr>
        <w:fldChar w:fldCharType="begin"/>
      </w:r>
      <w:r w:rsidRPr="004C1D1A">
        <w:rPr>
          <w:rFonts w:cs="Times New Roman"/>
          <w:noProof/>
          <w:lang w:val="en-GB" w:eastAsia="en-GB" w:bidi="ar-SA"/>
        </w:rPr>
        <w:instrText xml:space="preserve"> REF _Ref530607 \h  \* MERGEFORMAT </w:instrText>
      </w:r>
      <w:r w:rsidRPr="004C1D1A">
        <w:rPr>
          <w:rFonts w:cs="Times New Roman"/>
          <w:noProof/>
          <w:lang w:val="en-GB" w:eastAsia="en-GB" w:bidi="ar-SA"/>
        </w:rPr>
      </w:r>
      <w:r w:rsidRPr="004C1D1A">
        <w:rPr>
          <w:rFonts w:cs="Times New Roman"/>
          <w:noProof/>
          <w:lang w:val="en-GB" w:eastAsia="en-GB" w:bidi="ar-SA"/>
        </w:rPr>
        <w:fldChar w:fldCharType="separate"/>
      </w:r>
      <w:r w:rsidRPr="00127399">
        <w:rPr>
          <w:rFonts w:cs="Times New Roman"/>
          <w:lang w:val="en-GB"/>
        </w:rPr>
        <w:t>Fig.</w:t>
      </w:r>
      <w:r w:rsidRPr="00127399">
        <w:rPr>
          <w:rFonts w:cs="Times New Roman"/>
          <w:noProof/>
          <w:lang w:val="en-GB"/>
        </w:rPr>
        <w:t>5</w:t>
      </w:r>
      <w:r w:rsidRPr="004C1D1A">
        <w:rPr>
          <w:rFonts w:cs="Times New Roman"/>
          <w:noProof/>
          <w:lang w:val="en-GB" w:eastAsia="en-GB" w:bidi="ar-SA"/>
        </w:rPr>
        <w:fldChar w:fldCharType="end"/>
      </w:r>
      <w:r w:rsidRPr="004C1D1A">
        <w:rPr>
          <w:rFonts w:cs="Times New Roman"/>
          <w:noProof/>
          <w:lang w:val="en-GB" w:eastAsia="en-GB" w:bidi="ar-SA"/>
        </w:rPr>
        <w:t>b).</w:t>
      </w:r>
    </w:p>
    <w:p w:rsidR="004833BB" w:rsidRPr="004C1D1A" w:rsidRDefault="004833BB" w:rsidP="004833BB">
      <w:pPr>
        <w:keepNext/>
        <w:jc w:val="center"/>
        <w:rPr>
          <w:rFonts w:cs="Times New Roman"/>
          <w:lang w:val="en-GB"/>
        </w:rPr>
      </w:pPr>
      <w:r w:rsidRPr="004C1D1A">
        <w:rPr>
          <w:rFonts w:cs="Times New Roman"/>
          <w:lang w:val="en-GB"/>
        </w:rPr>
        <w:br w:type="textWrapping" w:clear="all"/>
      </w:r>
      <w:r w:rsidRPr="00D37373">
        <w:rPr>
          <w:noProof/>
          <w:lang w:val="en-GB" w:eastAsia="en-GB" w:bidi="ar-SA"/>
        </w:rPr>
        <w:lastRenderedPageBreak/>
        <w:drawing>
          <wp:inline distT="0" distB="0" distL="0" distR="0" wp14:anchorId="2FBB6508" wp14:editId="431F9EF3">
            <wp:extent cx="5978923" cy="24336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8923" cy="2433600"/>
                    </a:xfrm>
                    <a:prstGeom prst="rect">
                      <a:avLst/>
                    </a:prstGeom>
                    <a:noFill/>
                    <a:ln>
                      <a:noFill/>
                    </a:ln>
                  </pic:spPr>
                </pic:pic>
              </a:graphicData>
            </a:graphic>
          </wp:inline>
        </w:drawing>
      </w:r>
    </w:p>
    <w:p w:rsidR="004833BB" w:rsidRPr="004C1D1A" w:rsidRDefault="004833BB" w:rsidP="004833BB">
      <w:pPr>
        <w:pStyle w:val="Caption"/>
        <w:rPr>
          <w:rFonts w:cs="Times New Roman"/>
          <w:noProof/>
          <w:lang w:eastAsia="en-GB"/>
        </w:rPr>
      </w:pPr>
      <w:bookmarkStart w:id="16" w:name="_Ref530607"/>
      <w:bookmarkStart w:id="17" w:name="_Toc12449933"/>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5</w:t>
      </w:r>
      <w:r w:rsidRPr="004C1D1A">
        <w:rPr>
          <w:rFonts w:cs="Times New Roman"/>
        </w:rPr>
        <w:fldChar w:fldCharType="end"/>
      </w:r>
      <w:bookmarkEnd w:id="16"/>
      <w:r w:rsidRPr="004C1D1A">
        <w:rPr>
          <w:rFonts w:cs="Times New Roman"/>
        </w:rPr>
        <w:t xml:space="preserve">: Contour length distribution function for worm-like micelles. In all of them </w:t>
      </w:r>
      <m:oMath>
        <m:r>
          <m:rPr>
            <m:sty m:val="bi"/>
          </m:rPr>
          <w:rPr>
            <w:rFonts w:ascii="Cambria Math" w:hAnsi="Cambria Math" w:cs="Times New Roman"/>
          </w:rPr>
          <m:t>c</m:t>
        </m:r>
      </m:oMath>
      <w:r w:rsidRPr="004C1D1A">
        <w:rPr>
          <w:rFonts w:cs="Times New Roman"/>
        </w:rPr>
        <w:t xml:space="preserve"> = 0.1</w:t>
      </w:r>
      <w:r>
        <w:rPr>
          <w:rFonts w:cs="Times New Roman"/>
        </w:rPr>
        <w:t>00</w:t>
      </w:r>
      <w:r w:rsidRPr="004C1D1A">
        <w:rPr>
          <w:rFonts w:cs="Times New Roman"/>
        </w:rPr>
        <w:t xml:space="preserve"> (a)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oMath>
      <w:r w:rsidRPr="004C1D1A">
        <w:rPr>
          <w:rFonts w:cs="Times New Roman"/>
        </w:rPr>
        <w:t>=0.05</w:t>
      </w:r>
      <w:r>
        <w:rPr>
          <w:rFonts w:cs="Times New Roman"/>
        </w:rPr>
        <w:t>0</w:t>
      </w:r>
      <w:r w:rsidRPr="004C1D1A">
        <w:rPr>
          <w:rFonts w:cs="Times New Roman"/>
        </w:rPr>
        <w:t xml:space="preserve"> and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oMath>
      <w:r w:rsidRPr="004C1D1A">
        <w:rPr>
          <w:rFonts w:cs="Times New Roman"/>
        </w:rPr>
        <w:t>=0.06</w:t>
      </w:r>
      <w:r>
        <w:rPr>
          <w:rFonts w:cs="Times New Roman"/>
        </w:rPr>
        <w:t>0</w:t>
      </w:r>
      <w:r w:rsidRPr="004C1D1A">
        <w:rPr>
          <w:rFonts w:cs="Times New Roman"/>
        </w:rPr>
        <w:t xml:space="preserve"> (b)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oMath>
      <w:r w:rsidRPr="004C1D1A">
        <w:rPr>
          <w:rFonts w:cs="Times New Roman"/>
        </w:rPr>
        <w:t>=0.075, 0.08</w:t>
      </w:r>
      <w:r>
        <w:rPr>
          <w:rFonts w:cs="Times New Roman"/>
        </w:rPr>
        <w:t>0</w:t>
      </w:r>
      <w:r w:rsidRPr="004C1D1A">
        <w:rPr>
          <w:rFonts w:cs="Times New Roman"/>
        </w:rPr>
        <w:t xml:space="preserve"> and 0.09</w:t>
      </w:r>
      <w:r>
        <w:rPr>
          <w:rFonts w:cs="Times New Roman"/>
        </w:rPr>
        <w:t>0</w:t>
      </w:r>
      <w:r w:rsidRPr="004C1D1A">
        <w:rPr>
          <w:rFonts w:cs="Times New Roman"/>
        </w:rPr>
        <w:t>.</w:t>
      </w:r>
      <w:bookmarkEnd w:id="17"/>
      <w:r w:rsidRPr="004C1D1A">
        <w:rPr>
          <w:rFonts w:cs="Times New Roman"/>
          <w:noProof/>
          <w:lang w:eastAsia="en-GB"/>
        </w:rPr>
        <w:t xml:space="preserve"> </w:t>
      </w:r>
    </w:p>
    <w:p w:rsidR="004833BB" w:rsidRPr="004C1D1A" w:rsidRDefault="004833BB" w:rsidP="004833BB">
      <w:pPr>
        <w:jc w:val="center"/>
        <w:rPr>
          <w:rFonts w:cs="Times New Roman"/>
          <w:lang w:val="en-GB" w:eastAsia="en-US" w:bidi="ar-SA"/>
        </w:rPr>
      </w:pPr>
    </w:p>
    <w:p w:rsidR="004833BB" w:rsidRPr="004C1D1A" w:rsidRDefault="004833BB" w:rsidP="004833BB">
      <w:pPr>
        <w:jc w:val="center"/>
        <w:rPr>
          <w:rFonts w:cs="Times New Roman"/>
          <w:b/>
          <w:lang w:val="en-GB"/>
        </w:rPr>
      </w:pPr>
      <w:r w:rsidRPr="004C1D1A">
        <w:rPr>
          <w:rFonts w:cs="Times New Roman"/>
          <w:b/>
          <w:lang w:val="en-GB"/>
        </w:rPr>
        <w:t>3.3 Structure factor</w:t>
      </w:r>
    </w:p>
    <w:p w:rsidR="004833BB" w:rsidRPr="004C1D1A" w:rsidRDefault="004833BB" w:rsidP="004833BB">
      <w:pPr>
        <w:jc w:val="both"/>
        <w:rPr>
          <w:rFonts w:cs="Times New Roman"/>
          <w:lang w:val="en-GB" w:eastAsia="en-US" w:bidi="ar-SA"/>
        </w:rPr>
      </w:pPr>
    </w:p>
    <w:p w:rsidR="004833BB" w:rsidRPr="004C1D1A" w:rsidRDefault="004833BB" w:rsidP="004833BB">
      <w:pPr>
        <w:ind w:firstLine="720"/>
        <w:jc w:val="both"/>
        <w:rPr>
          <w:rFonts w:cs="Times New Roman"/>
          <w:lang w:val="en-GB" w:eastAsia="en-US" w:bidi="ar-SA"/>
        </w:rPr>
      </w:pPr>
      <w:r w:rsidRPr="004C1D1A">
        <w:rPr>
          <w:rFonts w:cs="Times New Roman"/>
          <w:lang w:val="en-GB" w:eastAsia="en-US" w:bidi="ar-SA"/>
        </w:rPr>
        <w:t xml:space="preserve">The structure factor (SF) was </w:t>
      </w:r>
      <w:r>
        <w:rPr>
          <w:rFonts w:cs="Times New Roman"/>
          <w:lang w:val="en-GB" w:eastAsia="en-US" w:bidi="ar-SA"/>
        </w:rPr>
        <w:t>calculated</w:t>
      </w:r>
      <w:r w:rsidRPr="004C1D1A">
        <w:rPr>
          <w:rFonts w:cs="Times New Roman"/>
          <w:lang w:val="en-GB" w:eastAsia="en-US" w:bidi="ar-SA"/>
        </w:rPr>
        <w:t xml:space="preserve"> using eq. </w:t>
      </w:r>
      <w:r>
        <w:rPr>
          <w:rFonts w:cs="Times New Roman"/>
          <w:lang w:val="en-GB" w:eastAsia="en-US" w:bidi="ar-SA"/>
        </w:rPr>
        <w:t>(2.10)</w:t>
      </w:r>
      <w:r w:rsidRPr="004C1D1A">
        <w:rPr>
          <w:rFonts w:cs="Times New Roman"/>
          <w:lang w:val="en-GB" w:eastAsia="en-US" w:bidi="ar-SA"/>
        </w:rPr>
        <w:t xml:space="preserve"> </w:t>
      </w:r>
      <w:r>
        <w:rPr>
          <w:rFonts w:cs="Times New Roman"/>
          <w:lang w:val="en-GB" w:eastAsia="en-US" w:bidi="ar-SA"/>
        </w:rPr>
        <w:t xml:space="preserve">at </w:t>
      </w:r>
      <m:oMath>
        <m:r>
          <w:rPr>
            <w:rFonts w:ascii="Cambria Math" w:hAnsi="Cambria Math" w:cs="Times New Roman"/>
            <w:lang w:val="en-GB" w:eastAsia="en-US" w:bidi="ar-SA"/>
          </w:rPr>
          <m:t>c=0.10</m:t>
        </m:r>
      </m:oMath>
      <w:r>
        <w:rPr>
          <w:rFonts w:cs="Times New Roman"/>
          <w:lang w:val="en-GB" w:eastAsia="en-US" w:bidi="ar-SA"/>
        </w:rPr>
        <w:t xml:space="preserve">0 for </w:t>
      </w:r>
      <w:r w:rsidRPr="004C1D1A">
        <w:rPr>
          <w:rFonts w:cs="Times New Roman"/>
          <w:lang w:val="en-GB" w:eastAsia="en-US" w:bidi="ar-SA"/>
        </w:rPr>
        <w:t xml:space="preserve">salt concentrations from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m:t>
        </m:r>
      </m:oMath>
      <w:r w:rsidRPr="004C1D1A">
        <w:rPr>
          <w:rFonts w:cs="Times New Roman"/>
          <w:lang w:val="en-GB" w:eastAsia="en-US" w:bidi="ar-SA"/>
        </w:rPr>
        <w:t xml:space="preserve"> (spherical micelles) to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=0.150</m:t>
        </m:r>
      </m:oMath>
      <w:r w:rsidRPr="004C1D1A">
        <w:rPr>
          <w:rFonts w:cs="Times New Roman"/>
          <w:lang w:val="en-GB"/>
        </w:rPr>
        <w:t xml:space="preserve"> </w:t>
      </w:r>
      <w:r w:rsidRPr="004C1D1A">
        <w:rPr>
          <w:rFonts w:cs="Times New Roman"/>
          <w:lang w:val="en-GB" w:eastAsia="en-US" w:bidi="ar-SA"/>
        </w:rPr>
        <w:t xml:space="preserve">where branched aggregates had formed. </w:t>
      </w:r>
      <w:r>
        <w:rPr>
          <w:rFonts w:cs="Times New Roman"/>
          <w:lang w:val="en-GB" w:eastAsia="en-US" w:bidi="ar-SA"/>
        </w:rPr>
        <w:t>To</w:t>
      </w:r>
      <w:r w:rsidRPr="004C1D1A">
        <w:rPr>
          <w:rFonts w:cs="Times New Roman"/>
          <w:lang w:val="en-GB" w:eastAsia="en-US" w:bidi="ar-SA"/>
        </w:rPr>
        <w:t xml:space="preserve"> speed up the computation only the alkyl chain </w:t>
      </w:r>
      <w:r>
        <w:rPr>
          <w:rFonts w:cs="Times New Roman"/>
          <w:lang w:val="en-GB" w:eastAsia="en-US" w:bidi="ar-SA"/>
        </w:rPr>
        <w:t>and</w:t>
      </w:r>
      <w:r w:rsidRPr="004C1D1A">
        <w:rPr>
          <w:rFonts w:cs="Times New Roman"/>
          <w:lang w:val="en-GB" w:eastAsia="en-US" w:bidi="ar-SA"/>
        </w:rPr>
        <w:t xml:space="preserve"> the ethoxyl group</w:t>
      </w:r>
      <w:r>
        <w:rPr>
          <w:rFonts w:cs="Times New Roman"/>
          <w:lang w:val="en-GB" w:eastAsia="en-US" w:bidi="ar-SA"/>
        </w:rPr>
        <w:t>s</w:t>
      </w:r>
      <w:r w:rsidRPr="004C1D1A">
        <w:rPr>
          <w:rFonts w:cs="Times New Roman"/>
          <w:lang w:val="en-GB" w:eastAsia="en-US" w:bidi="ar-SA"/>
        </w:rPr>
        <w:t xml:space="preserve"> were taken into account. Inclusion of the head group in the calculations is not expected to change the qualitative behaviour of the curves but only to shift them slightly to the left. Water and salt beads were excluded from the calculations as we are predominantly interested in the underlying microstructure and the resulting SF did not show any specific structure due to the high solution beads to surfactant beads ratio. </w:t>
      </w:r>
    </w:p>
    <w:p w:rsidR="004833BB" w:rsidRPr="004C1D1A" w:rsidRDefault="004833BB" w:rsidP="004833BB">
      <w:pPr>
        <w:ind w:firstLine="720"/>
        <w:jc w:val="both"/>
        <w:rPr>
          <w:rFonts w:cs="Times New Roman"/>
          <w:color w:val="FF0000"/>
          <w:lang w:val="en-GB" w:eastAsia="en-US" w:bidi="ar-SA"/>
        </w:rPr>
      </w:pPr>
      <w:r w:rsidRPr="004C1D1A">
        <w:rPr>
          <w:rFonts w:cs="Times New Roman"/>
          <w:lang w:val="en-GB" w:eastAsia="en-US" w:bidi="ar-SA"/>
        </w:rPr>
        <w:t xml:space="preserve">The first point of the curves at </w:t>
      </w:r>
      <w:r>
        <w:rPr>
          <w:rFonts w:cs="Times New Roman"/>
          <w:lang w:val="en-GB" w:eastAsia="en-US" w:bidi="ar-SA"/>
        </w:rPr>
        <w:t xml:space="preserve">the </w:t>
      </w:r>
      <w:r w:rsidRPr="004C1D1A">
        <w:rPr>
          <w:rFonts w:cs="Times New Roman"/>
          <w:lang w:val="en-GB" w:eastAsia="en-US" w:bidi="ar-SA"/>
        </w:rPr>
        <w:t>low</w:t>
      </w:r>
      <w:r>
        <w:rPr>
          <w:rFonts w:cs="Times New Roman"/>
          <w:lang w:val="en-GB" w:eastAsia="en-US" w:bidi="ar-SA"/>
        </w:rPr>
        <w:t>est</w:t>
      </w:r>
      <w:r w:rsidRPr="004C1D1A">
        <w:rPr>
          <w:rFonts w:cs="Times New Roman"/>
          <w:lang w:val="en-GB" w:eastAsia="en-US" w:bidi="ar-SA"/>
        </w:rPr>
        <w:t xml:space="preserve"> </w:t>
      </w:r>
      <w:r w:rsidRPr="004C1D1A">
        <w:rPr>
          <w:rFonts w:cs="Times New Roman"/>
          <w:i/>
          <w:lang w:val="en-GB" w:eastAsia="en-US" w:bidi="ar-SA"/>
        </w:rPr>
        <w:t>q</w:t>
      </w:r>
      <w:r w:rsidRPr="00D837B4">
        <w:rPr>
          <w:rFonts w:cs="Times New Roman"/>
          <w:lang w:val="en-GB" w:eastAsia="en-US" w:bidi="ar-SA"/>
        </w:rPr>
        <w:t xml:space="preserve"> value</w:t>
      </w:r>
      <w:r w:rsidRPr="004C1D1A">
        <w:rPr>
          <w:rFonts w:cs="Times New Roman"/>
          <w:lang w:val="en-GB" w:eastAsia="en-US" w:bidi="ar-SA"/>
        </w:rPr>
        <w:t xml:space="preserve"> corresponds to the simulation box size (</w:t>
      </w:r>
      <w:r w:rsidRPr="004C1D1A">
        <w:rPr>
          <w:rFonts w:cs="Times New Roman"/>
          <w:lang w:val="en-GB" w:eastAsia="en-US" w:bidi="ar-SA"/>
        </w:rPr>
        <w:fldChar w:fldCharType="begin"/>
      </w:r>
      <w:r w:rsidRPr="004C1D1A">
        <w:rPr>
          <w:rFonts w:cs="Times New Roman"/>
          <w:lang w:val="en-GB" w:eastAsia="en-US" w:bidi="ar-SA"/>
        </w:rPr>
        <w:instrText xml:space="preserve"> REF _Ref1996607 \h  \* MERGEFORMAT </w:instrText>
      </w:r>
      <w:r w:rsidRPr="004C1D1A">
        <w:rPr>
          <w:rFonts w:cs="Times New Roman"/>
          <w:lang w:val="en-GB" w:eastAsia="en-US" w:bidi="ar-SA"/>
        </w:rPr>
      </w:r>
      <w:r w:rsidRPr="004C1D1A">
        <w:rPr>
          <w:rFonts w:cs="Times New Roman"/>
          <w:lang w:val="en-GB" w:eastAsia="en-US" w:bidi="ar-SA"/>
        </w:rPr>
        <w:fldChar w:fldCharType="separate"/>
      </w:r>
      <w:r w:rsidRPr="00127399">
        <w:rPr>
          <w:rFonts w:cs="Times New Roman"/>
          <w:lang w:val="en-GB"/>
        </w:rPr>
        <w:t>Fig.</w:t>
      </w:r>
      <w:r w:rsidRPr="00127399">
        <w:rPr>
          <w:rFonts w:cs="Times New Roman"/>
          <w:noProof/>
          <w:lang w:val="en-GB"/>
        </w:rPr>
        <w:t>6</w:t>
      </w:r>
      <w:r w:rsidRPr="004C1D1A">
        <w:rPr>
          <w:rFonts w:cs="Times New Roman"/>
          <w:lang w:val="en-GB" w:eastAsia="en-US" w:bidi="ar-SA"/>
        </w:rPr>
        <w:fldChar w:fldCharType="end"/>
      </w:r>
      <w:r w:rsidRPr="004C1D1A">
        <w:rPr>
          <w:rFonts w:cs="Times New Roman"/>
          <w:lang w:val="en-GB" w:eastAsia="en-US" w:bidi="ar-SA"/>
        </w:rPr>
        <w:t xml:space="preserve">). For larger </w:t>
      </w:r>
      <w:r w:rsidRPr="004C1D1A">
        <w:rPr>
          <w:rFonts w:cs="Times New Roman"/>
          <w:i/>
          <w:lang w:val="en-GB" w:eastAsia="en-US" w:bidi="ar-SA"/>
        </w:rPr>
        <w:t>q</w:t>
      </w:r>
      <w:r w:rsidRPr="004C1D1A">
        <w:rPr>
          <w:rFonts w:cs="Times New Roman"/>
          <w:lang w:val="en-GB" w:eastAsia="en-US" w:bidi="ar-SA"/>
        </w:rPr>
        <w:t xml:space="preserve"> the SF provides details of the microstructures formed in the system and </w:t>
      </w:r>
      <w:r>
        <w:rPr>
          <w:rFonts w:cs="Times New Roman"/>
          <w:lang w:val="en-GB" w:eastAsia="en-US" w:bidi="ar-SA"/>
        </w:rPr>
        <w:t xml:space="preserve">in particular </w:t>
      </w:r>
      <w:r w:rsidRPr="004C1D1A">
        <w:rPr>
          <w:rFonts w:cs="Times New Roman"/>
          <w:lang w:val="en-GB" w:eastAsia="en-US" w:bidi="ar-SA"/>
        </w:rPr>
        <w:t xml:space="preserve">for </w:t>
      </w:r>
      <w:r w:rsidRPr="004C1D1A">
        <w:rPr>
          <w:rFonts w:cs="Times New Roman"/>
          <w:i/>
          <w:lang w:val="en-GB" w:eastAsia="en-US" w:bidi="ar-SA"/>
        </w:rPr>
        <w:t>q</w:t>
      </w:r>
      <w:r w:rsidRPr="004C1D1A">
        <w:rPr>
          <w:rFonts w:cs="Times New Roman"/>
          <w:lang w:val="en-GB" w:eastAsia="en-US" w:bidi="ar-SA"/>
        </w:rPr>
        <w:t xml:space="preserve"> between </w:t>
      </w:r>
      <m:oMath>
        <m:f>
          <m:fPr>
            <m:ctrlPr>
              <w:rPr>
                <w:rFonts w:ascii="Cambria Math" w:hAnsi="Cambria Math" w:cs="Times New Roman"/>
                <w:i/>
                <w:lang w:val="en-GB" w:eastAsia="en-US" w:bidi="ar-SA"/>
              </w:rPr>
            </m:ctrlPr>
          </m:fPr>
          <m:num>
            <m:r>
              <w:rPr>
                <w:rFonts w:ascii="Cambria Math" w:hAnsi="Cambria Math" w:cs="Times New Roman"/>
                <w:lang w:val="en-GB" w:eastAsia="en-US" w:bidi="ar-SA"/>
              </w:rPr>
              <m:t>2</m:t>
            </m:r>
            <m:r>
              <w:rPr>
                <w:rFonts w:ascii="Cambria Math" w:hAnsi="Cambria Math" w:cs="Times New Roman"/>
                <w:lang w:eastAsia="en-US" w:bidi="ar-SA"/>
              </w:rPr>
              <m:t>π</m:t>
            </m:r>
            <m:ctrlPr>
              <w:rPr>
                <w:rFonts w:ascii="Cambria Math" w:hAnsi="Cambria Math" w:cs="Times New Roman"/>
                <w:i/>
                <w:lang w:eastAsia="en-US" w:bidi="ar-SA"/>
              </w:rPr>
            </m:ctrlPr>
          </m:num>
          <m:den>
            <m:r>
              <w:rPr>
                <w:rFonts w:ascii="Cambria Math" w:hAnsi="Cambria Math" w:cs="Times New Roman"/>
                <w:lang w:val="en-GB" w:eastAsia="en-US" w:bidi="ar-SA"/>
              </w:rPr>
              <m:t>9.130</m:t>
            </m:r>
          </m:den>
        </m:f>
        <m:r>
          <w:rPr>
            <w:rFonts w:ascii="Cambria Math" w:hAnsi="Cambria Math" w:cs="Times New Roman"/>
            <w:lang w:val="en-GB" w:eastAsia="en-US" w:bidi="ar-SA"/>
          </w:rPr>
          <m:t>=0.688</m:t>
        </m:r>
      </m:oMath>
      <w:r w:rsidRPr="004C1D1A">
        <w:rPr>
          <w:rFonts w:cs="Times New Roman"/>
          <w:lang w:val="en-GB" w:eastAsia="en-US" w:bidi="ar-SA"/>
        </w:rPr>
        <w:t xml:space="preserve"> and </w:t>
      </w:r>
      <m:oMath>
        <m:f>
          <m:fPr>
            <m:ctrlPr>
              <w:rPr>
                <w:rFonts w:ascii="Cambria Math" w:hAnsi="Cambria Math" w:cs="Times New Roman"/>
                <w:i/>
                <w:lang w:val="en-GB" w:eastAsia="en-US" w:bidi="ar-SA"/>
              </w:rPr>
            </m:ctrlPr>
          </m:fPr>
          <m:num>
            <m:r>
              <w:rPr>
                <w:rFonts w:ascii="Cambria Math" w:hAnsi="Cambria Math" w:cs="Times New Roman"/>
                <w:lang w:val="en-GB" w:eastAsia="en-US" w:bidi="ar-SA"/>
              </w:rPr>
              <m:t>2</m:t>
            </m:r>
            <m:r>
              <w:rPr>
                <w:rFonts w:ascii="Cambria Math" w:hAnsi="Cambria Math" w:cs="Times New Roman"/>
                <w:lang w:eastAsia="en-US" w:bidi="ar-SA"/>
              </w:rPr>
              <m:t>π</m:t>
            </m:r>
            <m:ctrlPr>
              <w:rPr>
                <w:rFonts w:ascii="Cambria Math" w:hAnsi="Cambria Math" w:cs="Times New Roman"/>
                <w:i/>
                <w:lang w:eastAsia="en-US" w:bidi="ar-SA"/>
              </w:rPr>
            </m:ctrlPr>
          </m:num>
          <m:den>
            <m:r>
              <w:rPr>
                <w:rFonts w:ascii="Cambria Math" w:hAnsi="Cambria Math" w:cs="Times New Roman"/>
                <w:lang w:val="en-GB" w:eastAsia="en-US" w:bidi="ar-SA"/>
              </w:rPr>
              <m:t>2.300</m:t>
            </m:r>
          </m:den>
        </m:f>
        <m:r>
          <w:rPr>
            <w:rFonts w:ascii="Cambria Math" w:hAnsi="Cambria Math" w:cs="Times New Roman"/>
            <w:lang w:val="en-GB" w:eastAsia="en-US" w:bidi="ar-SA"/>
          </w:rPr>
          <m:t>=2.732</m:t>
        </m:r>
      </m:oMath>
      <w:r w:rsidRPr="004C1D1A">
        <w:rPr>
          <w:rFonts w:cs="Times New Roman"/>
          <w:lang w:val="en-GB" w:eastAsia="en-US" w:bidi="ar-SA"/>
        </w:rPr>
        <w:t xml:space="preserve"> the first small </w:t>
      </w:r>
      <w:r>
        <w:rPr>
          <w:rFonts w:cs="Times New Roman"/>
          <w:lang w:val="en-GB" w:eastAsia="en-US" w:bidi="ar-SA"/>
        </w:rPr>
        <w:t xml:space="preserve">shoulder </w:t>
      </w:r>
      <w:r w:rsidRPr="004C1D1A">
        <w:rPr>
          <w:rFonts w:cs="Times New Roman"/>
          <w:lang w:val="en-GB" w:eastAsia="en-US" w:bidi="ar-SA"/>
        </w:rPr>
        <w:t xml:space="preserve">peak is observed. This region </w:t>
      </w:r>
      <w:r>
        <w:rPr>
          <w:rFonts w:cs="Times New Roman"/>
          <w:lang w:val="en-GB" w:eastAsia="en-US" w:bidi="ar-SA"/>
        </w:rPr>
        <w:t>represents</w:t>
      </w:r>
      <w:r w:rsidRPr="004C1D1A">
        <w:rPr>
          <w:rFonts w:cs="Times New Roman"/>
          <w:lang w:val="en-GB" w:eastAsia="en-US" w:bidi="ar-SA"/>
        </w:rPr>
        <w:t xml:space="preserve"> the size of a spherical micelle (see </w:t>
      </w:r>
      <w:r>
        <w:rPr>
          <w:rFonts w:cs="Times New Roman"/>
          <w:lang w:val="en-GB" w:eastAsia="en-US" w:bidi="ar-SA"/>
        </w:rPr>
        <w:fldChar w:fldCharType="begin"/>
      </w:r>
      <w:r>
        <w:rPr>
          <w:rFonts w:cs="Times New Roman"/>
          <w:lang w:val="en-GB" w:eastAsia="en-US" w:bidi="ar-SA"/>
        </w:rPr>
        <w:instrText xml:space="preserve"> REF _Ref12453328 \h </w:instrText>
      </w:r>
      <w:r>
        <w:rPr>
          <w:rFonts w:cs="Times New Roman"/>
          <w:lang w:val="en-GB" w:eastAsia="en-US" w:bidi="ar-SA"/>
        </w:rPr>
      </w:r>
      <w:r>
        <w:rPr>
          <w:rFonts w:cs="Times New Roman"/>
          <w:lang w:val="en-GB" w:eastAsia="en-US" w:bidi="ar-SA"/>
        </w:rPr>
        <w:fldChar w:fldCharType="separate"/>
      </w:r>
      <w:r w:rsidRPr="00042B1A">
        <w:rPr>
          <w:lang w:val="en-GB"/>
        </w:rPr>
        <w:t xml:space="preserve">Table </w:t>
      </w:r>
      <w:r w:rsidRPr="00042B1A">
        <w:rPr>
          <w:noProof/>
          <w:lang w:val="en-GB"/>
        </w:rPr>
        <w:t>1</w:t>
      </w:r>
      <w:r>
        <w:rPr>
          <w:rFonts w:cs="Times New Roman"/>
          <w:lang w:val="en-GB" w:eastAsia="en-US" w:bidi="ar-SA"/>
        </w:rPr>
        <w:fldChar w:fldCharType="end"/>
      </w:r>
      <w:r w:rsidRPr="00773970">
        <w:rPr>
          <w:rFonts w:cs="Times New Roman"/>
          <w:lang w:val="en-GB" w:eastAsia="en-US" w:bidi="ar-SA"/>
        </w:rPr>
        <w:t xml:space="preserve"> </w:t>
      </w:r>
      <w:r w:rsidRPr="004C1D1A">
        <w:rPr>
          <w:rFonts w:cs="Times New Roman"/>
          <w:lang w:val="en-GB" w:eastAsia="en-US" w:bidi="ar-SA"/>
        </w:rPr>
        <w:t>where</w:t>
      </w:r>
      <w:r w:rsidRPr="00773970">
        <w:rPr>
          <w:rFonts w:cs="Times New Roman"/>
          <w:lang w:val="en-GB" w:eastAsia="en-US" w:bidi="ar-SA"/>
        </w:rPr>
        <w:t xml:space="preserve"> </w:t>
      </w:r>
      <w:r w:rsidRPr="004C1D1A">
        <w:rPr>
          <w:rFonts w:cs="Times New Roman"/>
          <w:lang w:val="en-GB" w:eastAsia="en-US" w:bidi="ar-SA"/>
        </w:rPr>
        <w:t>micelle</w:t>
      </w:r>
      <w:r w:rsidRPr="00773970">
        <w:rPr>
          <w:rFonts w:cs="Times New Roman"/>
          <w:lang w:val="en-GB" w:eastAsia="en-US" w:bidi="ar-SA"/>
        </w:rPr>
        <w:t>’</w:t>
      </w:r>
      <w:r w:rsidRPr="004C1D1A">
        <w:rPr>
          <w:rFonts w:cs="Times New Roman"/>
          <w:lang w:val="en-GB" w:eastAsia="en-US" w:bidi="ar-SA"/>
        </w:rPr>
        <w:t>s</w:t>
      </w:r>
      <w:r w:rsidRPr="00773970">
        <w:rPr>
          <w:rFonts w:cs="Times New Roman"/>
          <w:lang w:val="en-GB" w:eastAsia="en-US" w:bidi="ar-SA"/>
        </w:rPr>
        <w:t xml:space="preserve"> </w:t>
      </w:r>
      <w:r w:rsidRPr="004C1D1A">
        <w:rPr>
          <w:rFonts w:cs="Times New Roman"/>
          <w:lang w:val="en-GB" w:eastAsia="en-US" w:bidi="ar-SA"/>
        </w:rPr>
        <w:t>diameter</w:t>
      </w:r>
      <w:r w:rsidRPr="00773970">
        <w:rPr>
          <w:rFonts w:cs="Times New Roman"/>
          <w:lang w:val="en-GB" w:eastAsia="en-US" w:bidi="ar-SA"/>
        </w:rPr>
        <w:t xml:space="preserve"> </w:t>
      </w:r>
      <w:r w:rsidRPr="004C1D1A">
        <w:rPr>
          <w:rFonts w:cs="Times New Roman"/>
          <w:lang w:val="en-GB" w:eastAsia="en-US" w:bidi="ar-SA"/>
        </w:rPr>
        <w:t>is</w:t>
      </w:r>
      <w:r w:rsidRPr="00773970">
        <w:rPr>
          <w:rFonts w:cs="Times New Roman"/>
          <w:lang w:val="en-GB" w:eastAsia="en-US" w:bidi="ar-SA"/>
        </w:rPr>
        <w:t xml:space="preserve"> </w:t>
      </w:r>
      <m:oMath>
        <m:sSub>
          <m:sSubPr>
            <m:ctrlPr>
              <w:rPr>
                <w:rFonts w:ascii="Cambria Math" w:hAnsi="Cambria Math" w:cs="Times New Roman"/>
                <w:i/>
                <w:lang w:val="en-GB" w:eastAsia="en-US" w:bidi="ar-SA"/>
              </w:rPr>
            </m:ctrlPr>
          </m:sSubPr>
          <m:e>
            <m:r>
              <w:rPr>
                <w:rFonts w:ascii="Cambria Math" w:hAnsi="Cambria Math" w:cs="Times New Roman"/>
                <w:lang w:val="en-GB" w:eastAsia="en-US" w:bidi="ar-SA"/>
              </w:rPr>
              <m:t>r</m:t>
            </m:r>
          </m:e>
          <m:sub>
            <m:r>
              <w:rPr>
                <w:rFonts w:ascii="Cambria Math" w:hAnsi="Cambria Math" w:cs="Times New Roman"/>
                <w:lang w:val="en-GB" w:eastAsia="en-US" w:bidi="ar-SA"/>
              </w:rPr>
              <m:t>m</m:t>
            </m:r>
          </m:sub>
        </m:sSub>
        <m:r>
          <w:rPr>
            <w:rFonts w:ascii="Cambria Math" w:hAnsi="Cambria Math" w:cs="Times New Roman"/>
            <w:lang w:val="en-GB" w:eastAsia="en-US" w:bidi="ar-SA"/>
          </w:rPr>
          <m:t>=2×4.565</m:t>
        </m:r>
      </m:oMath>
      <w:r w:rsidRPr="00773970">
        <w:rPr>
          <w:rFonts w:cs="Times New Roman"/>
          <w:lang w:val="en-GB" w:eastAsia="en-US" w:bidi="ar-SA"/>
        </w:rPr>
        <w:t xml:space="preserve">, </w:t>
      </w:r>
      <w:r w:rsidRPr="004C1D1A">
        <w:rPr>
          <w:rFonts w:cs="Times New Roman"/>
          <w:lang w:val="en-GB" w:eastAsia="en-US" w:bidi="ar-SA"/>
        </w:rPr>
        <w:t>thus</w:t>
      </w:r>
      <w:r w:rsidRPr="00773970">
        <w:rPr>
          <w:rFonts w:cs="Times New Roman"/>
          <w:lang w:val="en-GB" w:eastAsia="en-US" w:bidi="ar-SA"/>
        </w:rPr>
        <w:t xml:space="preserve"> </w:t>
      </w:r>
      <m:oMath>
        <m:r>
          <w:rPr>
            <w:rFonts w:ascii="Cambria Math" w:hAnsi="Cambria Math" w:cs="Times New Roman"/>
            <w:lang w:val="en-GB" w:eastAsia="en-US" w:bidi="ar-SA"/>
          </w:rPr>
          <m:t>q=</m:t>
        </m:r>
        <m:f>
          <m:fPr>
            <m:ctrlPr>
              <w:rPr>
                <w:rFonts w:ascii="Cambria Math" w:hAnsi="Cambria Math" w:cs="Times New Roman"/>
                <w:i/>
                <w:lang w:val="en-GB" w:eastAsia="en-US" w:bidi="ar-SA"/>
              </w:rPr>
            </m:ctrlPr>
          </m:fPr>
          <m:num>
            <m:r>
              <w:rPr>
                <w:rFonts w:ascii="Cambria Math" w:hAnsi="Cambria Math" w:cs="Times New Roman"/>
                <w:lang w:val="en-GB" w:eastAsia="en-US" w:bidi="ar-SA"/>
              </w:rPr>
              <m:t>2</m:t>
            </m:r>
            <m:r>
              <w:rPr>
                <w:rFonts w:ascii="Cambria Math" w:hAnsi="Cambria Math" w:cs="Times New Roman"/>
                <w:lang w:eastAsia="en-US" w:bidi="ar-SA"/>
              </w:rPr>
              <m:t>π</m:t>
            </m:r>
            <m:ctrlPr>
              <w:rPr>
                <w:rFonts w:ascii="Cambria Math" w:hAnsi="Cambria Math" w:cs="Times New Roman"/>
                <w:i/>
                <w:lang w:eastAsia="en-US" w:bidi="ar-SA"/>
              </w:rPr>
            </m:ctrlPr>
          </m:num>
          <m:den>
            <m:r>
              <w:rPr>
                <w:rFonts w:ascii="Cambria Math" w:hAnsi="Cambria Math" w:cs="Times New Roman"/>
                <w:lang w:val="en-GB" w:eastAsia="en-US" w:bidi="ar-SA"/>
              </w:rPr>
              <m:t>9.130</m:t>
            </m:r>
          </m:den>
        </m:f>
      </m:oMath>
      <w:r w:rsidRPr="00773970">
        <w:rPr>
          <w:rFonts w:cs="Times New Roman"/>
          <w:lang w:val="en-GB" w:eastAsia="en-US" w:bidi="ar-SA"/>
        </w:rPr>
        <w:t xml:space="preserve">). </w:t>
      </w:r>
      <w:r>
        <w:rPr>
          <w:rFonts w:cs="Times New Roman"/>
          <w:lang w:val="en-GB" w:eastAsia="en-US" w:bidi="ar-SA"/>
        </w:rPr>
        <w:t xml:space="preserve">The magnification of the curves in </w:t>
      </w:r>
      <w:r>
        <w:rPr>
          <w:rFonts w:cs="Times New Roman"/>
          <w:lang w:val="en-GB" w:eastAsia="en-US" w:bidi="ar-SA"/>
        </w:rPr>
        <w:fldChar w:fldCharType="begin"/>
      </w:r>
      <w:r>
        <w:rPr>
          <w:rFonts w:cs="Times New Roman"/>
          <w:lang w:val="en-GB" w:eastAsia="en-US" w:bidi="ar-SA"/>
        </w:rPr>
        <w:instrText xml:space="preserve"> REF _Ref1996607 \h </w:instrText>
      </w:r>
      <w:r>
        <w:rPr>
          <w:rFonts w:cs="Times New Roman"/>
          <w:lang w:val="en-GB" w:eastAsia="en-US" w:bidi="ar-SA"/>
        </w:rPr>
      </w:r>
      <w:r>
        <w:rPr>
          <w:rFonts w:cs="Times New Roman"/>
          <w:lang w:val="en-GB" w:eastAsia="en-US" w:bidi="ar-SA"/>
        </w:rPr>
        <w:fldChar w:fldCharType="separate"/>
      </w:r>
      <w:r w:rsidRPr="00042B1A">
        <w:rPr>
          <w:rFonts w:cs="Times New Roman"/>
          <w:lang w:val="en-GB"/>
        </w:rPr>
        <w:t>Fig.</w:t>
      </w:r>
      <w:r w:rsidRPr="00042B1A">
        <w:rPr>
          <w:rFonts w:cs="Times New Roman"/>
          <w:noProof/>
          <w:lang w:val="en-GB"/>
        </w:rPr>
        <w:t>6</w:t>
      </w:r>
      <w:r>
        <w:rPr>
          <w:rFonts w:cs="Times New Roman"/>
          <w:lang w:val="en-GB" w:eastAsia="en-US" w:bidi="ar-SA"/>
        </w:rPr>
        <w:fldChar w:fldCharType="end"/>
      </w:r>
      <w:r>
        <w:rPr>
          <w:rFonts w:cs="Times New Roman"/>
          <w:lang w:val="en-GB" w:eastAsia="en-US" w:bidi="ar-SA"/>
        </w:rPr>
        <w:t xml:space="preserve"> shows that the lower is the salt concentration the more intense is the peak.</w:t>
      </w:r>
      <w:r w:rsidRPr="004C1D1A">
        <w:rPr>
          <w:rFonts w:cs="Times New Roman"/>
          <w:lang w:val="en-GB" w:eastAsia="en-US" w:bidi="ar-SA"/>
        </w:rPr>
        <w:t xml:space="preserve"> </w:t>
      </w:r>
      <w:r>
        <w:rPr>
          <w:rFonts w:cs="Times New Roman"/>
          <w:lang w:val="en-GB" w:eastAsia="en-US" w:bidi="ar-SA"/>
        </w:rPr>
        <w:t>Indeed</w:t>
      </w:r>
      <w:r w:rsidRPr="004C1D1A">
        <w:rPr>
          <w:rFonts w:cs="Times New Roman"/>
          <w:lang w:val="en-GB" w:eastAsia="en-US" w:bidi="ar-SA"/>
        </w:rPr>
        <w:t xml:space="preserve"> </w:t>
      </w:r>
      <w:r>
        <w:rPr>
          <w:rFonts w:cs="Times New Roman"/>
          <w:lang w:val="en-GB" w:eastAsia="en-US" w:bidi="ar-SA"/>
        </w:rPr>
        <w:t>for</w:t>
      </w:r>
      <w:r w:rsidRPr="004C1D1A">
        <w:rPr>
          <w:rFonts w:cs="Times New Roman"/>
          <w:lang w:val="en-GB" w:eastAsia="en-US" w:bidi="ar-SA"/>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=0.010 </m:t>
        </m:r>
      </m:oMath>
      <w:r w:rsidRPr="004C1D1A">
        <w:rPr>
          <w:rFonts w:cs="Times New Roman"/>
          <w:lang w:val="en-GB" w:eastAsia="en-US" w:bidi="ar-SA"/>
        </w:rPr>
        <w:t xml:space="preserve">the spherical micelles dominate the system </w:t>
      </w:r>
      <w:r>
        <w:rPr>
          <w:rFonts w:cs="Times New Roman"/>
          <w:lang w:val="en-GB" w:eastAsia="en-US" w:bidi="ar-SA"/>
        </w:rPr>
        <w:t>thus increasing</w:t>
      </w:r>
      <w:r w:rsidRPr="004C1D1A">
        <w:rPr>
          <w:rFonts w:cs="Times New Roman"/>
          <w:lang w:val="en-GB" w:eastAsia="en-US" w:bidi="ar-SA"/>
        </w:rPr>
        <w:t xml:space="preserve"> the scattered intensity </w:t>
      </w:r>
      <w:r>
        <w:rPr>
          <w:rFonts w:cs="Times New Roman"/>
          <w:lang w:val="en-GB" w:eastAsia="en-US" w:bidi="ar-SA"/>
        </w:rPr>
        <w:t xml:space="preserve">in this </w:t>
      </w:r>
      <w:r w:rsidRPr="003A576D">
        <w:rPr>
          <w:rFonts w:cs="Times New Roman"/>
          <w:i/>
          <w:lang w:val="en-GB" w:eastAsia="en-US" w:bidi="ar-SA"/>
        </w:rPr>
        <w:t>q</w:t>
      </w:r>
      <w:r>
        <w:rPr>
          <w:rFonts w:cs="Times New Roman"/>
          <w:lang w:val="en-GB" w:eastAsia="en-US" w:bidi="ar-SA"/>
        </w:rPr>
        <w:t>-region;</w:t>
      </w:r>
      <w:r w:rsidRPr="004C1D1A">
        <w:rPr>
          <w:rFonts w:cs="Times New Roman"/>
          <w:lang w:val="en-GB" w:eastAsia="en-US" w:bidi="ar-SA"/>
        </w:rPr>
        <w:t xml:space="preserve"> </w:t>
      </w:r>
      <w:r>
        <w:rPr>
          <w:rFonts w:cs="Times New Roman"/>
          <w:lang w:val="en-GB" w:eastAsia="en-US" w:bidi="ar-SA"/>
        </w:rPr>
        <w:t>on the contrary at higher salt concentrations (</w:t>
      </w:r>
      <w:r w:rsidRPr="004C1D1A">
        <w:rPr>
          <w:rFonts w:cs="Times New Roman"/>
          <w:lang w:val="en-GB" w:eastAsia="en-US" w:bidi="ar-SA"/>
        </w:rPr>
        <w:t xml:space="preserve">above </w:t>
      </w:r>
      <m:oMath>
        <m:sSub>
          <m:sSubPr>
            <m:ctrlPr>
              <w:rPr>
                <w:rFonts w:ascii="Cambria Math" w:hAnsi="Cambria Math" w:cs="Times New Roman"/>
                <w:i/>
                <w:lang w:val="en-GB" w:eastAsia="en-US" w:bidi="ar-SA"/>
              </w:rPr>
            </m:ctrlPr>
          </m:sSubPr>
          <m:e>
            <m:r>
              <w:rPr>
                <w:rFonts w:ascii="Cambria Math" w:hAnsi="Cambria Math" w:cs="Times New Roman"/>
                <w:lang w:val="en-GB" w:eastAsia="en-US" w:bidi="ar-SA"/>
              </w:rPr>
              <m:t>c</m:t>
            </m:r>
          </m:e>
          <m:sub>
            <m:r>
              <w:rPr>
                <w:rFonts w:ascii="Cambria Math" w:hAnsi="Cambria Math" w:cs="Times New Roman"/>
                <w:lang w:val="en-GB" w:eastAsia="en-US" w:bidi="ar-SA"/>
              </w:rPr>
              <m:t>s</m:t>
            </m:r>
          </m:sub>
        </m:sSub>
        <m:r>
          <w:rPr>
            <w:rFonts w:ascii="Cambria Math" w:hAnsi="Cambria Math" w:cs="Times New Roman"/>
            <w:lang w:val="en-GB" w:eastAsia="en-US" w:bidi="ar-SA"/>
          </w:rPr>
          <m:t>=0.050</m:t>
        </m:r>
      </m:oMath>
      <w:r>
        <w:rPr>
          <w:rFonts w:cs="Times New Roman"/>
          <w:lang w:val="en-GB" w:eastAsia="en-US" w:bidi="ar-SA"/>
        </w:rPr>
        <w:t xml:space="preserve">) </w:t>
      </w:r>
      <w:r w:rsidRPr="004C1D1A">
        <w:rPr>
          <w:rFonts w:cs="Times New Roman"/>
          <w:lang w:val="en-GB" w:eastAsia="en-US" w:bidi="ar-SA"/>
        </w:rPr>
        <w:t xml:space="preserve">spherical structures </w:t>
      </w:r>
      <w:r>
        <w:rPr>
          <w:rFonts w:cs="Times New Roman"/>
          <w:lang w:val="en-GB" w:eastAsia="en-US" w:bidi="ar-SA"/>
        </w:rPr>
        <w:t>become</w:t>
      </w:r>
      <w:r w:rsidRPr="004C1D1A">
        <w:rPr>
          <w:rFonts w:cs="Times New Roman"/>
          <w:lang w:val="en-GB" w:eastAsia="en-US" w:bidi="ar-SA"/>
        </w:rPr>
        <w:t xml:space="preserve"> the minority and thus the intensity is lower</w:t>
      </w:r>
      <w:r>
        <w:rPr>
          <w:rFonts w:cs="Times New Roman"/>
          <w:lang w:val="en-GB" w:eastAsia="en-US" w:bidi="ar-SA"/>
        </w:rPr>
        <w:t>ed</w:t>
      </w:r>
      <w:r w:rsidRPr="004C1D1A">
        <w:rPr>
          <w:rFonts w:cs="Times New Roman"/>
          <w:lang w:val="en-GB" w:eastAsia="en-US" w:bidi="ar-SA"/>
        </w:rPr>
        <w:t>. It is interesting to</w:t>
      </w:r>
      <w:r>
        <w:rPr>
          <w:rFonts w:cs="Times New Roman"/>
          <w:lang w:val="en-GB" w:eastAsia="en-US" w:bidi="ar-SA"/>
        </w:rPr>
        <w:t xml:space="preserve"> observe</w:t>
      </w:r>
      <w:r w:rsidRPr="004C1D1A">
        <w:rPr>
          <w:rFonts w:cs="Times New Roman"/>
          <w:lang w:val="en-GB" w:eastAsia="en-US" w:bidi="ar-SA"/>
        </w:rPr>
        <w:t xml:space="preserve"> that the peak at this values of </w:t>
      </w:r>
      <w:r w:rsidRPr="00152FE2">
        <w:rPr>
          <w:rFonts w:cs="Times New Roman"/>
          <w:i/>
          <w:lang w:val="en-GB" w:eastAsia="en-US" w:bidi="ar-SA"/>
        </w:rPr>
        <w:t>q</w:t>
      </w:r>
      <w:r w:rsidRPr="004C1D1A">
        <w:rPr>
          <w:rFonts w:cs="Times New Roman"/>
          <w:lang w:val="en-GB" w:eastAsia="en-US" w:bidi="ar-SA"/>
        </w:rPr>
        <w:t xml:space="preserve"> never disappear completely </w:t>
      </w:r>
      <w:r>
        <w:rPr>
          <w:rFonts w:cs="Times New Roman"/>
          <w:lang w:val="en-GB" w:eastAsia="en-US" w:bidi="ar-SA"/>
        </w:rPr>
        <w:t xml:space="preserve">even when the mesophases are rod- or worm- like </w:t>
      </w:r>
      <w:r w:rsidRPr="004C1D1A">
        <w:rPr>
          <w:rFonts w:cs="Times New Roman"/>
          <w:lang w:val="en-GB" w:eastAsia="en-US" w:bidi="ar-SA"/>
        </w:rPr>
        <w:t xml:space="preserve">as the </w:t>
      </w:r>
      <w:r>
        <w:rPr>
          <w:rFonts w:cs="Times New Roman"/>
          <w:lang w:val="en-GB" w:eastAsia="en-US" w:bidi="ar-SA"/>
        </w:rPr>
        <w:t>radius</w:t>
      </w:r>
      <w:r w:rsidRPr="004C1D1A">
        <w:rPr>
          <w:rFonts w:cs="Times New Roman"/>
          <w:lang w:val="en-GB" w:eastAsia="en-US" w:bidi="ar-SA"/>
        </w:rPr>
        <w:t xml:space="preserve"> of the</w:t>
      </w:r>
      <w:r>
        <w:rPr>
          <w:rFonts w:cs="Times New Roman"/>
          <w:lang w:val="en-GB" w:eastAsia="en-US" w:bidi="ar-SA"/>
        </w:rPr>
        <w:t>se</w:t>
      </w:r>
      <w:r w:rsidRPr="004C1D1A">
        <w:rPr>
          <w:rFonts w:cs="Times New Roman"/>
          <w:lang w:val="en-GB" w:eastAsia="en-US" w:bidi="ar-SA"/>
        </w:rPr>
        <w:t xml:space="preserve"> larger </w:t>
      </w:r>
      <w:r>
        <w:rPr>
          <w:rFonts w:cs="Times New Roman"/>
          <w:lang w:val="en-GB" w:eastAsia="en-US" w:bidi="ar-SA"/>
        </w:rPr>
        <w:t xml:space="preserve">“cylindrical” </w:t>
      </w:r>
      <w:r w:rsidRPr="004C1D1A">
        <w:rPr>
          <w:rFonts w:cs="Times New Roman"/>
          <w:lang w:val="en-GB" w:eastAsia="en-US" w:bidi="ar-SA"/>
        </w:rPr>
        <w:t xml:space="preserve">aggregates is </w:t>
      </w:r>
      <w:r>
        <w:rPr>
          <w:rFonts w:cs="Times New Roman"/>
          <w:lang w:val="en-GB" w:eastAsia="en-US" w:bidi="ar-SA"/>
        </w:rPr>
        <w:t xml:space="preserve">still of </w:t>
      </w:r>
      <w:r w:rsidRPr="004C1D1A">
        <w:rPr>
          <w:rFonts w:cs="Times New Roman"/>
          <w:lang w:val="en-GB" w:eastAsia="en-US" w:bidi="ar-SA"/>
        </w:rPr>
        <w:t xml:space="preserve">comparable </w:t>
      </w:r>
      <w:r>
        <w:rPr>
          <w:rFonts w:cs="Times New Roman"/>
          <w:lang w:val="en-GB" w:eastAsia="en-US" w:bidi="ar-SA"/>
        </w:rPr>
        <w:t xml:space="preserve">size of that </w:t>
      </w:r>
      <w:r w:rsidRPr="004C1D1A">
        <w:rPr>
          <w:rFonts w:cs="Times New Roman"/>
          <w:lang w:val="en-GB" w:eastAsia="en-US" w:bidi="ar-SA"/>
        </w:rPr>
        <w:t xml:space="preserve">of a spherical micelle (approximately twice the surfactant length). Values of </w:t>
      </w:r>
      <w:r w:rsidRPr="004C1D1A">
        <w:rPr>
          <w:rFonts w:cs="Times New Roman"/>
          <w:i/>
          <w:lang w:val="en-GB" w:eastAsia="en-US" w:bidi="ar-SA"/>
        </w:rPr>
        <w:t>q</w:t>
      </w:r>
      <w:r w:rsidRPr="004C1D1A">
        <w:rPr>
          <w:rFonts w:cs="Times New Roman"/>
          <w:lang w:val="en-GB" w:eastAsia="en-US" w:bidi="ar-SA"/>
        </w:rPr>
        <w:t xml:space="preserve"> greater than 2.73</w:t>
      </w:r>
      <w:r>
        <w:rPr>
          <w:rFonts w:cs="Times New Roman"/>
          <w:lang w:val="en-GB" w:eastAsia="en-US" w:bidi="ar-SA"/>
        </w:rPr>
        <w:t>2</w:t>
      </w:r>
      <w:r w:rsidRPr="004C1D1A">
        <w:rPr>
          <w:rFonts w:cs="Times New Roman"/>
          <w:lang w:val="en-GB" w:eastAsia="en-US" w:bidi="ar-SA"/>
        </w:rPr>
        <w:t xml:space="preserve"> correspond to the size of one bead and all the curves overlap. The biggest difference between the curves is observed on the first point of the plot at low </w:t>
      </w:r>
      <w:r w:rsidRPr="00DD1873">
        <w:rPr>
          <w:rFonts w:cs="Times New Roman"/>
          <w:i/>
          <w:lang w:val="en-GB" w:eastAsia="en-US" w:bidi="ar-SA"/>
        </w:rPr>
        <w:t>q</w:t>
      </w:r>
      <w:r w:rsidRPr="004C1D1A">
        <w:rPr>
          <w:rFonts w:cs="Times New Roman"/>
          <w:lang w:val="en-GB" w:eastAsia="en-US" w:bidi="ar-SA"/>
        </w:rPr>
        <w:t xml:space="preserve"> due to the large structures that are formed at higher salt concentrations. For instance,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=0.150</m:t>
        </m:r>
      </m:oMath>
      <w:r w:rsidRPr="004C1D1A">
        <w:rPr>
          <w:rFonts w:cs="Times New Roman"/>
          <w:lang w:val="en-GB" w:eastAsia="en-US" w:bidi="ar-SA"/>
        </w:rPr>
        <w:t xml:space="preserve"> only one big branched structure is present in the system. The system does not appear homogeneous to the incident radiation thus the scattered intensity is higher.</w:t>
      </w:r>
      <w:r>
        <w:rPr>
          <w:rFonts w:cs="Times New Roman"/>
          <w:lang w:val="en-GB" w:eastAsia="en-US" w:bidi="ar-SA"/>
        </w:rPr>
        <w:t xml:space="preserve"> Similar behaviour is observed in SDS solutions </w:t>
      </w:r>
      <w:r>
        <w:rPr>
          <w:rFonts w:cs="Times New Roman"/>
          <w:lang w:val="en-GB" w:eastAsia="en-US" w:bidi="ar-SA"/>
        </w:rPr>
        <w:fldChar w:fldCharType="begin" w:fldLock="1"/>
      </w:r>
      <w:r>
        <w:rPr>
          <w:rFonts w:cs="Times New Roman"/>
          <w:lang w:val="en-GB" w:eastAsia="en-US" w:bidi="ar-SA"/>
        </w:rPr>
        <w:instrText>ADDIN CSL_CITATION {"citationItems":[{"id":"ITEM-1","itemData":{"author":[{"dropping-particle":"","family":"Bergstrom","given":"Magnus","non-dropping-particle":"","parse-names":false,"suffix":""},{"dropping-particle":"","family":"Pedersen","given":"Jan Skov","non-dropping-particle":"","parse-names":false,"suffix":""}],"id":"ITEM-1","issued":{"date-parts":[["1999"]]},"page":"4437-4446","title":"Structure of pure SDS and DTAB micelles in brine determined by small-angle neutron scattering ( SANS )","type":"article-journal","volume":"1"},"uris":["http://www.mendeley.com/documents/?uuid=81c50086-39e0-4cb6-8ad1-e53d4eff03f6"]}],"mendeley":{"formattedCitation":"[58]","plainTextFormattedCitation":"[58]","previouslyFormattedCitation":"[57]"},"properties":{"noteIndex":0},"schema":"https://github.com/citation-style-language/schema/raw/master/csl-citation.json"}</w:instrText>
      </w:r>
      <w:r>
        <w:rPr>
          <w:rFonts w:cs="Times New Roman"/>
          <w:lang w:val="en-GB" w:eastAsia="en-US" w:bidi="ar-SA"/>
        </w:rPr>
        <w:fldChar w:fldCharType="separate"/>
      </w:r>
      <w:r w:rsidRPr="00AE58EB">
        <w:rPr>
          <w:rFonts w:cs="Times New Roman"/>
          <w:noProof/>
          <w:lang w:val="en-GB" w:eastAsia="en-US" w:bidi="ar-SA"/>
        </w:rPr>
        <w:t>[58]</w:t>
      </w:r>
      <w:r>
        <w:rPr>
          <w:rFonts w:cs="Times New Roman"/>
          <w:lang w:val="en-GB" w:eastAsia="en-US" w:bidi="ar-SA"/>
        </w:rPr>
        <w:fldChar w:fldCharType="end"/>
      </w:r>
      <w:r>
        <w:rPr>
          <w:rFonts w:cs="Times New Roman"/>
          <w:lang w:val="en-GB" w:eastAsia="en-US" w:bidi="ar-SA"/>
        </w:rPr>
        <w:t xml:space="preserve"> and in SLES</w:t>
      </w:r>
      <w:r>
        <w:rPr>
          <w:rFonts w:cs="Times New Roman"/>
          <w:lang w:val="en-GB" w:eastAsia="en-US" w:bidi="ar-SA"/>
        </w:rPr>
        <w:softHyphen/>
      </w:r>
      <w:r>
        <w:rPr>
          <w:rFonts w:cs="Times New Roman"/>
          <w:vertAlign w:val="subscript"/>
          <w:lang w:val="en-GB" w:eastAsia="en-US" w:bidi="ar-SA"/>
        </w:rPr>
        <w:t>1</w:t>
      </w:r>
      <w:r>
        <w:rPr>
          <w:rFonts w:cs="Times New Roman"/>
          <w:lang w:val="en-GB" w:eastAsia="en-US" w:bidi="ar-SA"/>
        </w:rPr>
        <w:t>EO/</w:t>
      </w:r>
      <w:r w:rsidRPr="009010C1">
        <w:rPr>
          <w:rFonts w:cs="Times New Roman"/>
          <w:lang w:val="en-GB" w:eastAsia="en-US" w:bidi="ar-SA"/>
        </w:rPr>
        <w:t>cocamidopropyl betaine</w:t>
      </w:r>
      <w:r>
        <w:rPr>
          <w:rFonts w:cs="Times New Roman"/>
          <w:lang w:val="en-GB" w:eastAsia="en-US" w:bidi="ar-SA"/>
        </w:rPr>
        <w:t xml:space="preserve"> (CAPB) mixtures </w:t>
      </w:r>
      <w:r>
        <w:rPr>
          <w:rFonts w:cs="Times New Roman"/>
          <w:lang w:val="en-GB" w:eastAsia="en-US" w:bidi="ar-SA"/>
        </w:rPr>
        <w:fldChar w:fldCharType="begin" w:fldLock="1"/>
      </w:r>
      <w:r>
        <w:rPr>
          <w:rFonts w:cs="Times New Roman"/>
          <w:lang w:val="en-GB" w:eastAsia="en-US" w:bidi="ar-SA"/>
        </w:rPr>
        <w:instrText>ADDIN CSL_CITATION {"citationItems":[{"id":"ITEM-1","itemData":{"DOI":"10.1039/C8SM02223B","ISSN":"17446848","abstract":"We combine mechanical rheometry, DWS, and SANS with a simulation model, the “pointer algorithm”, to obtain characteristic lengths and time constants for WLM solutions over a range of salt concentrations encompassing the transition from unentangled to entangled solutions.We combine mechanical rheometry, diffusing wave spectroscopy (DWS), and small angle neutron scattering (SANS) with a simulation model, the “pointer algorithm”, to obtain characteristic lengths and time constants for wormlike micelle (WLM) solutions over a range of salt concentrations encompassing the transition from unentangled to entangled solutions. The solutions contain sodium lauryl ethylene glycol sulfate (SLE1S), cocamidopropyl betaine (CAPB), and NaCl. The pointer algorithm is extended to include relaxation of unentangled micelles, allowing micelle parameters to be extracted from the rheology of partially entangled solutions. DWS provides the data at high frequency needed to determine micelle persistence length accurately. From pointer algorithm fits to rheology, we observe a salt-induced rapid change in micellar length as the solution enters the well-entangled regime and a weaker growth with surfactant concentration consistent with mean-field theory. At a lower surfactant concentration, micelle length and persistence length from SANS are roughly consistent with values from rheology once the lower surfactant concentration used in SANS is accounted for. This is, to our knowledge, the first time that quantitative comparisons of structural features including micelle length are made between rheology and SANS. Finally, scaling laws for micelle diffusion and recombination times indicate that micelle kinetics are reaction controlled leading to mean-field recombination with surrounding micelles over the entire range of concentration of interest except at very low and very high surfactant concentrations where either short micelles or branched micelle clusters are dominant.","author":[{"dropping-particle":"","family":"Zou","given":"Weizhong","non-dropping-particle":"","parse-names":false,"suffix":""},{"dropping-particle":"","family":"Tan","given":"Grace","non-dropping-particle":"","parse-names":false,"suffix":""},{"dropping-particle":"","family":"Jiang","given":"Hanqiu","non-dropping-particle":"","parse-names":false,"suffix":""},{"dropping-particle":"","family":"Vogtt","given":"Karsten","non-dropping-particle":"","parse-names":false,"suffix":""},{"dropping-particle":"","family":"Weaver","given":"Michael","non-dropping-particle":"","parse-names":false,"suffix":""},{"dropping-particle":"","family":"Koenig","given":"Peter","non-dropping-particle":"","parse-names":false,"suffix":""},{"dropping-particle":"","family":"Beaucage","given":"Gregory","non-dropping-particle":"","parse-names":false,"suffix":""},{"dropping-particle":"","family":"Larson","given":"Ronald G.","non-dropping-particle":"","parse-names":false,"suffix":""}],"container-title":"Soft Matter","id":"ITEM-1","issue":"4","issued":{"date-parts":[["2019"]]},"page":"642-655","publisher":"Royal Society of Chemistry","title":"From well-entangled to partially-entangled wormlike micelles","type":"article-journal","volume":"15"},"uris":["http://www.mendeley.com/documents/?uuid=89dc73e6-214f-4593-bc4e-d104c877a098"]}],"mendeley":{"formattedCitation":"[59]","plainTextFormattedCitation":"[59]","previouslyFormattedCitation":"[58]"},"properties":{"noteIndex":0},"schema":"https://github.com/citation-style-language/schema/raw/master/csl-citation.json"}</w:instrText>
      </w:r>
      <w:r>
        <w:rPr>
          <w:rFonts w:cs="Times New Roman"/>
          <w:lang w:val="en-GB" w:eastAsia="en-US" w:bidi="ar-SA"/>
        </w:rPr>
        <w:fldChar w:fldCharType="separate"/>
      </w:r>
      <w:r w:rsidRPr="00AE58EB">
        <w:rPr>
          <w:rFonts w:cs="Times New Roman"/>
          <w:noProof/>
          <w:lang w:val="en-GB" w:eastAsia="en-US" w:bidi="ar-SA"/>
        </w:rPr>
        <w:t>[59]</w:t>
      </w:r>
      <w:r>
        <w:rPr>
          <w:rFonts w:cs="Times New Roman"/>
          <w:lang w:val="en-GB" w:eastAsia="en-US" w:bidi="ar-SA"/>
        </w:rPr>
        <w:fldChar w:fldCharType="end"/>
      </w:r>
      <w:r>
        <w:rPr>
          <w:rFonts w:cs="Times New Roman"/>
          <w:lang w:val="en-GB" w:eastAsia="en-US" w:bidi="ar-SA"/>
        </w:rPr>
        <w:t xml:space="preserve"> where the increasing salt concentration leads to a higher intensity value at low </w:t>
      </w:r>
      <w:r w:rsidRPr="0037096A">
        <w:rPr>
          <w:rFonts w:cs="Times New Roman"/>
          <w:i/>
          <w:lang w:val="en-GB" w:eastAsia="en-US" w:bidi="ar-SA"/>
        </w:rPr>
        <w:t>q</w:t>
      </w:r>
      <w:r>
        <w:rPr>
          <w:rFonts w:cs="Times New Roman"/>
          <w:lang w:val="en-GB" w:eastAsia="en-US" w:bidi="ar-SA"/>
        </w:rPr>
        <w:t xml:space="preserve"> values.  </w:t>
      </w:r>
    </w:p>
    <w:p w:rsidR="004833BB" w:rsidRPr="004C1D1A" w:rsidRDefault="004833BB" w:rsidP="004833BB">
      <w:pPr>
        <w:keepNext/>
        <w:jc w:val="center"/>
        <w:rPr>
          <w:rFonts w:cs="Times New Roman"/>
          <w:lang w:val="en-GB"/>
        </w:rPr>
      </w:pPr>
      <w:r>
        <w:rPr>
          <w:rFonts w:cs="Times New Roman"/>
          <w:noProof/>
          <w:lang w:val="en-GB" w:eastAsia="en-GB" w:bidi="ar-SA"/>
        </w:rPr>
        <w:lastRenderedPageBreak/>
        <w:drawing>
          <wp:inline distT="0" distB="0" distL="0" distR="0" wp14:anchorId="2F21AF36" wp14:editId="3A4B89C7">
            <wp:extent cx="3775777" cy="283320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2.emf"/>
                    <pic:cNvPicPr/>
                  </pic:nvPicPr>
                  <pic:blipFill>
                    <a:blip r:embed="rId17">
                      <a:extLst>
                        <a:ext uri="{28A0092B-C50C-407E-A947-70E740481C1C}">
                          <a14:useLocalDpi xmlns:a14="http://schemas.microsoft.com/office/drawing/2010/main" val="0"/>
                        </a:ext>
                      </a:extLst>
                    </a:blip>
                    <a:stretch>
                      <a:fillRect/>
                    </a:stretch>
                  </pic:blipFill>
                  <pic:spPr>
                    <a:xfrm>
                      <a:off x="0" y="0"/>
                      <a:ext cx="3775777" cy="2833200"/>
                    </a:xfrm>
                    <a:prstGeom prst="rect">
                      <a:avLst/>
                    </a:prstGeom>
                  </pic:spPr>
                </pic:pic>
              </a:graphicData>
            </a:graphic>
          </wp:inline>
        </w:drawing>
      </w:r>
    </w:p>
    <w:p w:rsidR="004833BB" w:rsidRPr="004C1D1A" w:rsidRDefault="004833BB" w:rsidP="004833BB">
      <w:pPr>
        <w:pStyle w:val="Caption"/>
        <w:rPr>
          <w:rFonts w:cs="Times New Roman"/>
        </w:rPr>
      </w:pPr>
      <w:bookmarkStart w:id="18" w:name="_Ref1996607"/>
      <w:bookmarkStart w:id="19" w:name="_Toc12449934"/>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6</w:t>
      </w:r>
      <w:r w:rsidRPr="004C1D1A">
        <w:rPr>
          <w:rFonts w:cs="Times New Roman"/>
          <w:noProof/>
        </w:rPr>
        <w:fldChar w:fldCharType="end"/>
      </w:r>
      <w:bookmarkEnd w:id="18"/>
      <w:r w:rsidRPr="004C1D1A">
        <w:rPr>
          <w:rFonts w:cs="Times New Roman"/>
        </w:rPr>
        <w:t>: Structure factor of all the observed microstructures of SLES</w:t>
      </w:r>
      <w:r w:rsidRPr="004C1D1A">
        <w:rPr>
          <w:rFonts w:cs="Times New Roman"/>
          <w:vertAlign w:val="subscript"/>
        </w:rPr>
        <w:t>1</w:t>
      </w:r>
      <w:r w:rsidRPr="004C1D1A">
        <w:rPr>
          <w:rFonts w:cs="Times New Roman"/>
        </w:rPr>
        <w:t xml:space="preserve">EO. From blue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 xml:space="preserve">=0.010 </m:t>
        </m:r>
      </m:oMath>
      <w:r w:rsidRPr="004C1D1A">
        <w:rPr>
          <w:rFonts w:cs="Times New Roman"/>
        </w:rPr>
        <w:t xml:space="preserve">to red </w:t>
      </w:r>
      <m:oMath>
        <m:sSub>
          <m:sSubPr>
            <m:ctrlPr>
              <w:rPr>
                <w:rFonts w:ascii="Cambria Math" w:hAnsi="Cambria Math" w:cs="Times New Roman"/>
                <w:i/>
              </w:rPr>
            </m:ctrlPr>
          </m:sSubPr>
          <m:e>
            <m:r>
              <m:rPr>
                <m:sty m:val="bi"/>
              </m:rPr>
              <w:rPr>
                <w:rFonts w:ascii="Cambria Math" w:hAnsi="Cambria Math" w:cs="Times New Roman"/>
              </w:rPr>
              <m:t>c</m:t>
            </m:r>
          </m:e>
          <m:sub>
            <m:r>
              <m:rPr>
                <m:sty m:val="bi"/>
              </m:rPr>
              <w:rPr>
                <w:rFonts w:ascii="Cambria Math" w:hAnsi="Cambria Math" w:cs="Times New Roman"/>
              </w:rPr>
              <m:t>s</m:t>
            </m:r>
          </m:sub>
        </m:sSub>
        <m:r>
          <m:rPr>
            <m:sty m:val="bi"/>
          </m:rPr>
          <w:rPr>
            <w:rFonts w:ascii="Cambria Math" w:hAnsi="Cambria Math" w:cs="Times New Roman"/>
          </w:rPr>
          <m:t>=0.150</m:t>
        </m:r>
      </m:oMath>
      <w:r w:rsidRPr="004C1D1A">
        <w:rPr>
          <w:rFonts w:cs="Times New Roman"/>
        </w:rPr>
        <w:t>. Grey region is shaded because statistics are not accurate to these points.</w:t>
      </w:r>
      <w:bookmarkEnd w:id="19"/>
    </w:p>
    <w:p w:rsidR="004833BB" w:rsidRPr="004C1D1A" w:rsidRDefault="004833BB" w:rsidP="004833BB">
      <w:pPr>
        <w:rPr>
          <w:rFonts w:cs="Times New Roman"/>
          <w:b/>
          <w:sz w:val="18"/>
          <w:lang w:val="en-GB" w:eastAsia="en-US" w:bidi="ar-SA"/>
        </w:rPr>
      </w:pPr>
    </w:p>
    <w:p w:rsidR="004833BB" w:rsidRPr="004C1D1A" w:rsidRDefault="004833BB" w:rsidP="004833BB">
      <w:pPr>
        <w:jc w:val="center"/>
        <w:rPr>
          <w:rFonts w:cs="Times New Roman"/>
          <w:b/>
          <w:lang w:val="en-GB"/>
        </w:rPr>
      </w:pPr>
      <w:r w:rsidRPr="004C1D1A">
        <w:rPr>
          <w:rFonts w:cs="Times New Roman"/>
          <w:b/>
          <w:lang w:val="en-GB"/>
        </w:rPr>
        <w:t>3.4 Effect of different ethoxyl numbers</w:t>
      </w:r>
    </w:p>
    <w:p w:rsidR="004833BB" w:rsidRPr="004C1D1A" w:rsidRDefault="004833BB" w:rsidP="004833BB">
      <w:pPr>
        <w:ind w:firstLine="576"/>
        <w:jc w:val="both"/>
        <w:rPr>
          <w:rFonts w:cs="Times New Roman"/>
          <w:lang w:val="en-GB"/>
        </w:rPr>
      </w:pPr>
    </w:p>
    <w:p w:rsidR="004833BB" w:rsidRPr="004C1D1A" w:rsidRDefault="004833BB" w:rsidP="004833BB">
      <w:pPr>
        <w:ind w:firstLine="576"/>
        <w:jc w:val="both"/>
        <w:rPr>
          <w:rFonts w:cs="Times New Roman"/>
          <w:lang w:val="en-GB"/>
        </w:rPr>
      </w:pPr>
      <w:r w:rsidRPr="004C1D1A">
        <w:rPr>
          <w:rFonts w:cs="Times New Roman"/>
          <w:lang w:val="en-GB"/>
        </w:rPr>
        <w:t>In order to compare the behaviour of SLES</w:t>
      </w:r>
      <w:r w:rsidRPr="004C1D1A">
        <w:rPr>
          <w:rFonts w:cs="Times New Roman"/>
          <w:vertAlign w:val="subscript"/>
          <w:lang w:val="en-GB"/>
        </w:rPr>
        <w:t>2</w:t>
      </w:r>
      <w:r w:rsidRPr="004C1D1A">
        <w:rPr>
          <w:rFonts w:cs="Times New Roman"/>
          <w:lang w:val="en-GB"/>
        </w:rPr>
        <w:t>EO and SLES</w:t>
      </w:r>
      <w:r w:rsidRPr="004C1D1A">
        <w:rPr>
          <w:rFonts w:cs="Times New Roman"/>
          <w:vertAlign w:val="subscript"/>
          <w:lang w:val="en-GB"/>
        </w:rPr>
        <w:t>3</w:t>
      </w:r>
      <w:r w:rsidRPr="004C1D1A">
        <w:rPr>
          <w:rFonts w:cs="Times New Roman"/>
          <w:lang w:val="en-GB"/>
        </w:rPr>
        <w:t>EO with SLES</w:t>
      </w:r>
      <w:r w:rsidRPr="004C1D1A">
        <w:rPr>
          <w:rFonts w:cs="Times New Roman"/>
          <w:vertAlign w:val="subscript"/>
          <w:lang w:val="en-GB"/>
        </w:rPr>
        <w:t>1</w:t>
      </w:r>
      <w:r w:rsidRPr="004C1D1A">
        <w:rPr>
          <w:rFonts w:cs="Times New Roman"/>
          <w:lang w:val="en-GB"/>
        </w:rPr>
        <w:t xml:space="preserve">EO, </w:t>
      </w:r>
      <w:r>
        <w:rPr>
          <w:rFonts w:cs="Times New Roman"/>
          <w:lang w:val="en-GB"/>
        </w:rPr>
        <w:t>4</w:t>
      </w:r>
      <w:r w:rsidRPr="004C1D1A">
        <w:rPr>
          <w:rFonts w:cs="Times New Roman"/>
          <w:lang w:val="en-GB"/>
        </w:rPr>
        <w:t xml:space="preserve"> more simulations were performed with salt concentrations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 0.040</m:t>
        </m:r>
      </m:oMath>
      <w:r w:rsidRPr="004C1D1A">
        <w:rPr>
          <w:rFonts w:cs="Times New Roman"/>
          <w:lang w:val="en-GB"/>
        </w:rPr>
        <w:t xml:space="preserve"> and </w:t>
      </w:r>
      <m:oMath>
        <m:r>
          <w:rPr>
            <w:rFonts w:ascii="Cambria Math" w:hAnsi="Cambria Math" w:cs="Times New Roman"/>
            <w:lang w:val="en-GB"/>
          </w:rPr>
          <m:t>c=0.13</m:t>
        </m:r>
      </m:oMath>
      <w:r>
        <w:rPr>
          <w:rFonts w:cs="Times New Roman"/>
          <w:lang w:val="en-GB"/>
        </w:rPr>
        <w:t>0</w:t>
      </w:r>
      <w:r w:rsidRPr="004C1D1A">
        <w:rPr>
          <w:rFonts w:cs="Times New Roman"/>
          <w:lang w:val="en-GB"/>
        </w:rPr>
        <w:t xml:space="preserve">. </w:t>
      </w:r>
    </w:p>
    <w:p w:rsidR="004833BB" w:rsidRPr="004C1D1A" w:rsidRDefault="004833BB" w:rsidP="004833BB">
      <w:pPr>
        <w:ind w:firstLine="576"/>
        <w:jc w:val="both"/>
        <w:rPr>
          <w:rFonts w:cs="Times New Roman"/>
          <w:lang w:val="en-GB"/>
        </w:rPr>
      </w:pPr>
      <w:r w:rsidRPr="004C1D1A">
        <w:rPr>
          <w:rFonts w:cs="Times New Roman"/>
          <w:lang w:val="en-GB"/>
        </w:rPr>
        <w:t>The presence of additional ethoxyl groups in the surfactant decreases the polydispersity of the aggregation number (</w:t>
      </w:r>
      <w:r w:rsidRPr="004C1D1A">
        <w:rPr>
          <w:rFonts w:cs="Times New Roman"/>
          <w:lang w:val="en-GB"/>
        </w:rPr>
        <w:fldChar w:fldCharType="begin"/>
      </w:r>
      <w:r w:rsidRPr="004C1D1A">
        <w:rPr>
          <w:rFonts w:cs="Times New Roman"/>
          <w:lang w:val="en-GB"/>
        </w:rPr>
        <w:instrText xml:space="preserve"> REF _Ref1133138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7</w:t>
      </w:r>
      <w:r w:rsidRPr="004C1D1A">
        <w:rPr>
          <w:rFonts w:cs="Times New Roman"/>
          <w:lang w:val="en-GB"/>
        </w:rPr>
        <w:fldChar w:fldCharType="end"/>
      </w:r>
      <w:r w:rsidRPr="004C1D1A">
        <w:rPr>
          <w:rFonts w:cs="Times New Roman"/>
          <w:lang w:val="en-GB"/>
        </w:rPr>
        <w:t xml:space="preserve">).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m:t>
        </m:r>
      </m:oMath>
      <w:r>
        <w:rPr>
          <w:rFonts w:cs="Times New Roman"/>
          <w:lang w:val="en-GB"/>
        </w:rPr>
        <w:t>0</w:t>
      </w:r>
      <w:r w:rsidRPr="004C1D1A">
        <w:rPr>
          <w:rFonts w:cs="Times New Roman"/>
          <w:lang w:val="en-GB"/>
        </w:rPr>
        <w:t xml:space="preserve"> </w:t>
      </w:r>
      <w:r>
        <w:rPr>
          <w:rFonts w:cs="Times New Roman"/>
          <w:lang w:val="en-GB"/>
        </w:rPr>
        <w:t xml:space="preserve">the addition of </w:t>
      </w:r>
      <w:r w:rsidRPr="004C1D1A">
        <w:rPr>
          <w:rFonts w:cs="Times New Roman"/>
          <w:lang w:val="en-GB"/>
        </w:rPr>
        <w:t xml:space="preserve">one extra ethoxyl group </w:t>
      </w:r>
      <w:r>
        <w:rPr>
          <w:rFonts w:cs="Times New Roman"/>
          <w:lang w:val="en-GB"/>
        </w:rPr>
        <w:t>leads to a reduced number of WMLs and e</w:t>
      </w:r>
      <w:r w:rsidRPr="004C1D1A">
        <w:rPr>
          <w:rFonts w:cs="Times New Roman"/>
          <w:lang w:val="en-GB"/>
        </w:rPr>
        <w:t>ventually for SLES</w:t>
      </w:r>
      <w:r w:rsidRPr="004C1D1A">
        <w:rPr>
          <w:rFonts w:cs="Times New Roman"/>
          <w:vertAlign w:val="subscript"/>
          <w:lang w:val="en-GB"/>
        </w:rPr>
        <w:t>3</w:t>
      </w:r>
      <w:r w:rsidRPr="004C1D1A">
        <w:rPr>
          <w:rFonts w:cs="Times New Roman"/>
          <w:lang w:val="en-GB"/>
        </w:rPr>
        <w:t xml:space="preserve">EO </w:t>
      </w:r>
      <w:r>
        <w:rPr>
          <w:rFonts w:cs="Times New Roman"/>
          <w:lang w:val="en-GB"/>
        </w:rPr>
        <w:t>no WLMs are formed</w:t>
      </w:r>
      <w:r w:rsidRPr="004C1D1A">
        <w:rPr>
          <w:rFonts w:cs="Times New Roman"/>
          <w:lang w:val="en-GB"/>
        </w:rPr>
        <w:t xml:space="preserve"> (</w:t>
      </w:r>
      <w:r w:rsidRPr="004C1D1A">
        <w:rPr>
          <w:rFonts w:cs="Times New Roman"/>
          <w:lang w:val="en-GB"/>
        </w:rPr>
        <w:fldChar w:fldCharType="begin"/>
      </w:r>
      <w:r w:rsidRPr="004C1D1A">
        <w:rPr>
          <w:rFonts w:cs="Times New Roman"/>
          <w:lang w:val="en-GB"/>
        </w:rPr>
        <w:instrText xml:space="preserve"> REF _Ref1133138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7</w:t>
      </w:r>
      <w:r w:rsidRPr="004C1D1A">
        <w:rPr>
          <w:rFonts w:cs="Times New Roman"/>
          <w:lang w:val="en-GB"/>
        </w:rPr>
        <w:fldChar w:fldCharType="end"/>
      </w:r>
      <w:r w:rsidRPr="004C1D1A">
        <w:rPr>
          <w:rFonts w:cs="Times New Roman"/>
          <w:lang w:val="en-GB"/>
        </w:rPr>
        <w:t xml:space="preserve">b). Similarly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m:t>
        </m:r>
      </m:oMath>
      <w:r w:rsidRPr="004C1D1A">
        <w:rPr>
          <w:rFonts w:cs="Times New Roman"/>
          <w:lang w:val="en-GB"/>
        </w:rPr>
        <w:t xml:space="preserve"> </w:t>
      </w:r>
      <w:r>
        <w:rPr>
          <w:rFonts w:cs="Times New Roman"/>
          <w:lang w:val="en-GB"/>
        </w:rPr>
        <w:t xml:space="preserve">increasing the number of EO groups reduces the likelihood to see </w:t>
      </w:r>
      <w:r w:rsidRPr="004C1D1A">
        <w:rPr>
          <w:rFonts w:cs="Times New Roman"/>
          <w:lang w:val="en-GB"/>
        </w:rPr>
        <w:t>rod</w:t>
      </w:r>
      <w:r>
        <w:rPr>
          <w:rFonts w:cs="Times New Roman"/>
          <w:lang w:val="en-GB"/>
        </w:rPr>
        <w:t>-like micelles</w:t>
      </w:r>
      <w:r w:rsidRPr="004C1D1A">
        <w:rPr>
          <w:rFonts w:cs="Times New Roman"/>
          <w:lang w:val="en-GB"/>
        </w:rPr>
        <w:t xml:space="preserve"> until the point where only spheres are observed for SLES</w:t>
      </w:r>
      <w:r w:rsidRPr="004C1D1A">
        <w:rPr>
          <w:rFonts w:cs="Times New Roman"/>
          <w:vertAlign w:val="subscript"/>
          <w:lang w:val="en-GB"/>
        </w:rPr>
        <w:t>3</w:t>
      </w:r>
      <w:r w:rsidRPr="004C1D1A">
        <w:rPr>
          <w:rFonts w:cs="Times New Roman"/>
          <w:lang w:val="en-GB"/>
        </w:rPr>
        <w:t>EO. Similar behaviour was observed experimentally in alkylpoly-oxyethyleneglycol molecules (C</w:t>
      </w:r>
      <w:r w:rsidRPr="004C1D1A">
        <w:rPr>
          <w:rFonts w:cs="Times New Roman"/>
          <w:vertAlign w:val="subscript"/>
          <w:lang w:val="en-GB"/>
        </w:rPr>
        <w:t>m</w:t>
      </w:r>
      <w:r w:rsidRPr="004C1D1A">
        <w:rPr>
          <w:rFonts w:cs="Times New Roman"/>
          <w:lang w:val="en-GB"/>
        </w:rPr>
        <w:t>E</w:t>
      </w:r>
      <w:r w:rsidRPr="004C1D1A">
        <w:rPr>
          <w:rFonts w:cs="Times New Roman"/>
          <w:lang w:val="en-GB"/>
        </w:rPr>
        <w:softHyphen/>
      </w:r>
      <w:r w:rsidRPr="004C1D1A">
        <w:rPr>
          <w:rFonts w:cs="Times New Roman"/>
          <w:vertAlign w:val="subscript"/>
          <w:lang w:val="en-GB"/>
        </w:rPr>
        <w:t>n</w:t>
      </w:r>
      <w:r w:rsidRPr="004C1D1A">
        <w:rPr>
          <w:rFonts w:cs="Times New Roman"/>
          <w:lang w:val="en-GB"/>
        </w:rPr>
        <w:t xml:space="preserve">) where the aggregation number was </w:t>
      </w:r>
      <w:r>
        <w:rPr>
          <w:rFonts w:cs="Times New Roman"/>
          <w:lang w:val="en-GB"/>
        </w:rPr>
        <w:t xml:space="preserve">found to decrease </w:t>
      </w:r>
      <w:r w:rsidRPr="004C1D1A">
        <w:rPr>
          <w:rFonts w:cs="Times New Roman"/>
          <w:lang w:val="en-GB"/>
        </w:rPr>
        <w:t xml:space="preserve">as EO number was increasing </w:t>
      </w:r>
      <w:r w:rsidRPr="004C1D1A">
        <w:rPr>
          <w:rFonts w:cs="Times New Roman"/>
          <w:lang w:val="en-GB"/>
        </w:rPr>
        <w:fldChar w:fldCharType="begin" w:fldLock="1"/>
      </w:r>
      <w:r>
        <w:rPr>
          <w:rFonts w:cs="Times New Roman"/>
          <w:lang w:val="en-GB"/>
        </w:rPr>
        <w:instrText>ADDIN CSL_CITATION {"citationItems":[{"id":"ITEM-1","itemData":{"DOI":"10.1051/jphyslet:019850046020095300","ISSN":"0302-072X","author":[{"dropping-particle":"","family":"Zana","given":"R.;","non-dropping-particle":"","parse-names":false,"suffix":""},{"dropping-particle":"","family":"Weill","given":"C.","non-dropping-particle":"","parse-names":false,"suffix":""}],"container-title":"Journal de Physique Lettres","id":"ITEM-1","issue":"20","issued":{"date-parts":[["1985"]]},"page":"953-960","title":"Effect of temperature on the aggregation behaviour of nonionic surfactants in aqueous solutions","type":"article-journal","volume":"46"},"uris":["http://www.mendeley.com/documents/?uuid=f0d6f7f2-9557-478a-8753-eba616517f87"]}],"mendeley":{"formattedCitation":"[60]","plainTextFormattedCitation":"[60]","previouslyFormattedCitation":"[59]"},"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[60]</w:t>
      </w:r>
      <w:r w:rsidRPr="004C1D1A">
        <w:rPr>
          <w:rFonts w:cs="Times New Roman"/>
          <w:lang w:val="en-GB"/>
        </w:rPr>
        <w:fldChar w:fldCharType="end"/>
      </w:r>
      <w:r w:rsidRPr="004C1D1A">
        <w:rPr>
          <w:rFonts w:cs="Times New Roman"/>
          <w:lang w:val="en-GB"/>
        </w:rPr>
        <w:t>.</w:t>
      </w:r>
      <w:r>
        <w:rPr>
          <w:rFonts w:cs="Times New Roman"/>
          <w:lang w:val="en-GB"/>
        </w:rPr>
        <w:t xml:space="preserve"> </w:t>
      </w:r>
      <w:r w:rsidRPr="004C1D1A">
        <w:rPr>
          <w:rFonts w:cs="Times New Roman"/>
          <w:lang w:val="en-GB"/>
        </w:rPr>
        <w:t xml:space="preserve">Spheres still dominate in all the systems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m:t>
        </m:r>
      </m:oMath>
      <w:r w:rsidRPr="004C1D1A">
        <w:rPr>
          <w:rFonts w:cs="Times New Roman"/>
          <w:lang w:val="en-GB"/>
        </w:rPr>
        <w:t xml:space="preserve"> (</w:t>
      </w:r>
      <w:r w:rsidRPr="004C1D1A">
        <w:rPr>
          <w:rFonts w:cs="Times New Roman"/>
          <w:lang w:val="en-GB"/>
        </w:rPr>
        <w:fldChar w:fldCharType="begin"/>
      </w:r>
      <w:r w:rsidRPr="004C1D1A">
        <w:rPr>
          <w:rFonts w:cs="Times New Roman"/>
          <w:lang w:val="en-GB"/>
        </w:rPr>
        <w:instrText xml:space="preserve"> REF _Ref1133138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7</w:t>
      </w:r>
      <w:r w:rsidRPr="004C1D1A">
        <w:rPr>
          <w:rFonts w:cs="Times New Roman"/>
          <w:lang w:val="en-GB"/>
        </w:rPr>
        <w:fldChar w:fldCharType="end"/>
      </w:r>
      <w:r w:rsidRPr="004C1D1A">
        <w:rPr>
          <w:rFonts w:cs="Times New Roman"/>
          <w:lang w:val="en-GB"/>
        </w:rPr>
        <w:t xml:space="preserve">a) where the peak of </w:t>
      </w:r>
      <w:r>
        <w:rPr>
          <w:rFonts w:cs="Times New Roman"/>
          <w:lang w:val="en-GB"/>
        </w:rPr>
        <w:t xml:space="preserve">the </w:t>
      </w:r>
      <w:r w:rsidRPr="004C1D1A">
        <w:rPr>
          <w:rFonts w:cs="Times New Roman"/>
          <w:lang w:val="en-GB"/>
        </w:rPr>
        <w:t xml:space="preserve">aggregation number </w:t>
      </w:r>
      <w:r>
        <w:rPr>
          <w:rFonts w:cs="Times New Roman"/>
          <w:lang w:val="en-GB"/>
        </w:rPr>
        <w:t>lays</w:t>
      </w:r>
      <w:r w:rsidRPr="004C1D1A">
        <w:rPr>
          <w:rFonts w:cs="Times New Roman"/>
          <w:lang w:val="en-GB"/>
        </w:rPr>
        <w:t xml:space="preserve"> </w:t>
      </w:r>
      <w:r>
        <w:rPr>
          <w:rFonts w:cs="Times New Roman"/>
          <w:lang w:val="en-GB"/>
        </w:rPr>
        <w:t>at value</w:t>
      </w:r>
      <w:r w:rsidRPr="004C1D1A">
        <w:rPr>
          <w:rFonts w:cs="Times New Roman"/>
          <w:lang w:val="en-GB"/>
        </w:rPr>
        <w:t xml:space="preserve"> commensurate with </w:t>
      </w:r>
      <w:r>
        <w:rPr>
          <w:rFonts w:cs="Times New Roman"/>
          <w:lang w:val="en-GB"/>
        </w:rPr>
        <w:t xml:space="preserve">that of </w:t>
      </w:r>
      <w:r w:rsidRPr="004C1D1A">
        <w:rPr>
          <w:rFonts w:cs="Times New Roman"/>
          <w:lang w:val="en-GB"/>
        </w:rPr>
        <w:t>spherical micelles observed in section 3.1. For both salt concentrations (</w:t>
      </w:r>
      <w:r w:rsidRPr="004C1D1A">
        <w:rPr>
          <w:rFonts w:cs="Times New Roman"/>
          <w:lang w:val="en-GB"/>
        </w:rPr>
        <w:fldChar w:fldCharType="begin"/>
      </w:r>
      <w:r w:rsidRPr="004C1D1A">
        <w:rPr>
          <w:rFonts w:cs="Times New Roman"/>
          <w:lang w:val="en-GB"/>
        </w:rPr>
        <w:instrText xml:space="preserve"> REF _Ref1133138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7</w:t>
      </w:r>
      <w:r w:rsidRPr="004C1D1A">
        <w:rPr>
          <w:rFonts w:cs="Times New Roman"/>
          <w:lang w:val="en-GB"/>
        </w:rPr>
        <w:fldChar w:fldCharType="end"/>
      </w:r>
      <w:r w:rsidRPr="004C1D1A">
        <w:rPr>
          <w:rFonts w:cs="Times New Roman"/>
          <w:lang w:val="en-GB"/>
        </w:rPr>
        <w:t xml:space="preserve">a and </w:t>
      </w:r>
      <w:r w:rsidRPr="004C1D1A">
        <w:rPr>
          <w:rFonts w:cs="Times New Roman"/>
          <w:lang w:val="en-GB"/>
        </w:rPr>
        <w:fldChar w:fldCharType="begin"/>
      </w:r>
      <w:r w:rsidRPr="004C1D1A">
        <w:rPr>
          <w:rFonts w:cs="Times New Roman"/>
          <w:lang w:val="en-GB"/>
        </w:rPr>
        <w:instrText xml:space="preserve"> REF _Ref1133138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7</w:t>
      </w:r>
      <w:r w:rsidRPr="004C1D1A">
        <w:rPr>
          <w:rFonts w:cs="Times New Roman"/>
          <w:lang w:val="en-GB"/>
        </w:rPr>
        <w:fldChar w:fldCharType="end"/>
      </w:r>
      <w:r w:rsidRPr="004C1D1A">
        <w:rPr>
          <w:rFonts w:cs="Times New Roman"/>
          <w:lang w:val="en-GB"/>
        </w:rPr>
        <w:t xml:space="preserve">b) the histograms have the shape of a </w:t>
      </w:r>
      <w:r>
        <w:rPr>
          <w:rFonts w:cs="Times New Roman"/>
          <w:lang w:val="en-GB"/>
        </w:rPr>
        <w:t xml:space="preserve">right- </w:t>
      </w:r>
      <w:r w:rsidRPr="004C1D1A">
        <w:rPr>
          <w:rFonts w:cs="Times New Roman"/>
          <w:lang w:val="en-GB"/>
        </w:rPr>
        <w:t xml:space="preserve">skewed distribution. </w:t>
      </w:r>
      <w:r>
        <w:rPr>
          <w:rFonts w:cs="Times New Roman"/>
          <w:lang w:val="en-GB"/>
        </w:rPr>
        <w:t>In</w:t>
      </w:r>
      <w:r w:rsidRPr="00773970">
        <w:rPr>
          <w:rFonts w:cs="Times New Roman"/>
          <w:lang w:val="en-GB"/>
        </w:rPr>
        <w:t xml:space="preserve"> </w:t>
      </w:r>
      <w:r w:rsidRPr="00773970">
        <w:rPr>
          <w:rFonts w:cs="Times New Roman"/>
          <w:lang w:val="en-GB"/>
        </w:rPr>
        <w:fldChar w:fldCharType="begin"/>
      </w:r>
      <w:r w:rsidRPr="00773970">
        <w:rPr>
          <w:rFonts w:cs="Times New Roman"/>
          <w:lang w:val="en-GB"/>
        </w:rPr>
        <w:instrText xml:space="preserve"> REF _Ref12453578 \h </w:instrText>
      </w:r>
      <w:r>
        <w:rPr>
          <w:rFonts w:cs="Times New Roman"/>
          <w:lang w:val="en-GB"/>
        </w:rPr>
        <w:instrText xml:space="preserve"> \* MERGEFORMAT </w:instrText>
      </w:r>
      <w:r w:rsidRPr="00773970">
        <w:rPr>
          <w:rFonts w:cs="Times New Roman"/>
          <w:lang w:val="en-GB"/>
        </w:rPr>
      </w:r>
      <w:r w:rsidRPr="00773970">
        <w:rPr>
          <w:rFonts w:cs="Times New Roman"/>
          <w:lang w:val="en-GB"/>
        </w:rPr>
        <w:fldChar w:fldCharType="separate"/>
      </w:r>
      <w:r w:rsidRPr="00127399">
        <w:rPr>
          <w:rFonts w:cs="Times New Roman"/>
          <w:lang w:val="en-GB"/>
        </w:rPr>
        <w:t>Table 5</w:t>
      </w:r>
      <w:r w:rsidRPr="00773970">
        <w:rPr>
          <w:rFonts w:cs="Times New Roman"/>
          <w:lang w:val="en-GB"/>
        </w:rPr>
        <w:fldChar w:fldCharType="end"/>
      </w:r>
      <w:r w:rsidRPr="00773970">
        <w:rPr>
          <w:rFonts w:cs="Times New Roman"/>
          <w:lang w:val="en-GB"/>
        </w:rPr>
        <w:t xml:space="preserve"> </w:t>
      </w:r>
      <w:r w:rsidRPr="00082A7A">
        <w:rPr>
          <w:rFonts w:cs="Times New Roman"/>
          <w:lang w:val="en-GB"/>
        </w:rPr>
        <w:t>mean and std are taken in the commensurate region of sphe</w:t>
      </w:r>
      <w:r>
        <w:rPr>
          <w:rFonts w:cs="Times New Roman"/>
          <w:lang w:val="en-GB"/>
        </w:rPr>
        <w:t>rical micelles (</w:t>
      </w:r>
      <w:r w:rsidRPr="00CB2464">
        <w:rPr>
          <w:rFonts w:cs="Times New Roman"/>
          <w:i/>
          <w:lang w:val="en-GB"/>
        </w:rPr>
        <w:t xml:space="preserve">i.e. </w:t>
      </w:r>
      <w:r>
        <w:rPr>
          <w:rFonts w:cs="Times New Roman"/>
          <w:lang w:val="en-GB"/>
        </w:rPr>
        <w:t>first quantile of distribution).</w:t>
      </w:r>
    </w:p>
    <w:p w:rsidR="004833BB" w:rsidRPr="004C1D1A" w:rsidRDefault="004833BB" w:rsidP="004833BB">
      <w:pPr>
        <w:keepNext/>
        <w:rPr>
          <w:rFonts w:cs="Times New Roman"/>
        </w:rPr>
      </w:pPr>
      <w:r w:rsidRPr="00F23310">
        <w:rPr>
          <w:noProof/>
          <w:lang w:val="en-GB" w:eastAsia="en-GB" w:bidi="ar-SA"/>
        </w:rPr>
        <w:drawing>
          <wp:inline distT="0" distB="0" distL="0" distR="0" wp14:anchorId="7EF164FD" wp14:editId="0DBC4BFA">
            <wp:extent cx="5738842" cy="2434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031" cy="2436437"/>
                    </a:xfrm>
                    <a:prstGeom prst="rect">
                      <a:avLst/>
                    </a:prstGeom>
                    <a:noFill/>
                    <a:ln>
                      <a:noFill/>
                    </a:ln>
                  </pic:spPr>
                </pic:pic>
              </a:graphicData>
            </a:graphic>
          </wp:inline>
        </w:drawing>
      </w:r>
    </w:p>
    <w:p w:rsidR="004833BB" w:rsidRPr="004C1D1A" w:rsidRDefault="004833BB" w:rsidP="004833BB">
      <w:pPr>
        <w:pStyle w:val="Caption"/>
        <w:rPr>
          <w:rFonts w:cs="Times New Roman"/>
        </w:rPr>
      </w:pPr>
      <w:bookmarkStart w:id="20" w:name="_Ref1133138"/>
      <w:bookmarkStart w:id="21" w:name="_Toc12449935"/>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7</w:t>
      </w:r>
      <w:r w:rsidRPr="004C1D1A">
        <w:rPr>
          <w:rFonts w:cs="Times New Roman"/>
        </w:rPr>
        <w:fldChar w:fldCharType="end"/>
      </w:r>
      <w:bookmarkEnd w:id="20"/>
      <w:r w:rsidRPr="004C1D1A">
        <w:rPr>
          <w:rFonts w:cs="Times New Roman"/>
        </w:rPr>
        <w:t>: Comparison of aggregation numbers of SLES1</w:t>
      </w:r>
      <w:r w:rsidRPr="004C1D1A">
        <w:rPr>
          <w:rFonts w:cs="Times New Roman"/>
        </w:rPr>
        <w:softHyphen/>
        <w:t>EO (red), SLES2</w:t>
      </w:r>
      <w:r w:rsidRPr="004C1D1A">
        <w:rPr>
          <w:rFonts w:cs="Times New Roman"/>
        </w:rPr>
        <w:softHyphen/>
        <w:t>EO (green) and SLES3</w:t>
      </w:r>
      <w:r w:rsidRPr="004C1D1A">
        <w:rPr>
          <w:rFonts w:cs="Times New Roman"/>
        </w:rPr>
        <w:softHyphen/>
        <w:t xml:space="preserve">EO (blue) for </w:t>
      </w:r>
      <m:oMath>
        <m:r>
          <m:rPr>
            <m:sty m:val="b"/>
          </m:rPr>
          <w:rPr>
            <w:rFonts w:ascii="Cambria Math" w:hAnsi="Cambria Math" w:cs="Times New Roman"/>
          </w:rPr>
          <m:t>c</m:t>
        </m:r>
      </m:oMath>
      <w:r w:rsidRPr="004C1D1A">
        <w:rPr>
          <w:rFonts w:cs="Times New Roman"/>
        </w:rPr>
        <w:t xml:space="preserve"> = 0.13</w:t>
      </w:r>
      <w:r>
        <w:rPr>
          <w:rFonts w:cs="Times New Roman"/>
        </w:rPr>
        <w:t>0</w:t>
      </w:r>
      <w:r w:rsidRPr="004C1D1A">
        <w:rPr>
          <w:rFonts w:cs="Times New Roman"/>
        </w:rPr>
        <w:t xml:space="preserve"> and (a) c</w:t>
      </w:r>
      <w:r w:rsidRPr="004C1D1A">
        <w:rPr>
          <w:rFonts w:cs="Times New Roman"/>
          <w:vertAlign w:val="subscript"/>
        </w:rPr>
        <w:t>s</w:t>
      </w:r>
      <w:r>
        <w:rPr>
          <w:rFonts w:cs="Times New Roman"/>
          <w:vertAlign w:val="subscript"/>
        </w:rPr>
        <w:t xml:space="preserve"> </w:t>
      </w:r>
      <w:r w:rsidRPr="004C1D1A">
        <w:rPr>
          <w:rFonts w:cs="Times New Roman"/>
        </w:rPr>
        <w:t>=</w:t>
      </w:r>
      <w:r>
        <w:rPr>
          <w:rFonts w:cs="Times New Roman"/>
        </w:rPr>
        <w:t xml:space="preserve"> </w:t>
      </w:r>
      <w:r w:rsidRPr="004C1D1A">
        <w:rPr>
          <w:rFonts w:cs="Times New Roman"/>
        </w:rPr>
        <w:t>0.02</w:t>
      </w:r>
      <w:r>
        <w:rPr>
          <w:rFonts w:cs="Times New Roman"/>
        </w:rPr>
        <w:t>0</w:t>
      </w:r>
      <w:r w:rsidRPr="004C1D1A">
        <w:rPr>
          <w:rFonts w:cs="Times New Roman"/>
        </w:rPr>
        <w:t xml:space="preserve"> (b) c</w:t>
      </w:r>
      <w:r w:rsidRPr="004C1D1A">
        <w:rPr>
          <w:rFonts w:cs="Times New Roman"/>
          <w:vertAlign w:val="subscript"/>
        </w:rPr>
        <w:t>s</w:t>
      </w:r>
      <w:r>
        <w:rPr>
          <w:rFonts w:cs="Times New Roman"/>
          <w:vertAlign w:val="subscript"/>
        </w:rPr>
        <w:t xml:space="preserve"> </w:t>
      </w:r>
      <w:r w:rsidRPr="004C1D1A">
        <w:rPr>
          <w:rFonts w:cs="Times New Roman"/>
        </w:rPr>
        <w:t>=</w:t>
      </w:r>
      <w:r>
        <w:rPr>
          <w:rFonts w:cs="Times New Roman"/>
        </w:rPr>
        <w:t xml:space="preserve"> </w:t>
      </w:r>
      <w:r w:rsidRPr="004C1D1A">
        <w:rPr>
          <w:rFonts w:cs="Times New Roman"/>
        </w:rPr>
        <w:t>0.04</w:t>
      </w:r>
      <w:r>
        <w:rPr>
          <w:rFonts w:cs="Times New Roman"/>
        </w:rPr>
        <w:t>0</w:t>
      </w:r>
      <w:r w:rsidRPr="004C1D1A">
        <w:rPr>
          <w:rFonts w:cs="Times New Roman"/>
        </w:rPr>
        <w:t>.</w:t>
      </w:r>
      <w:bookmarkEnd w:id="21"/>
    </w:p>
    <w:p w:rsidR="004833BB" w:rsidRPr="004C1D1A" w:rsidRDefault="004833BB" w:rsidP="004833BB">
      <w:pPr>
        <w:jc w:val="both"/>
        <w:rPr>
          <w:rFonts w:cs="Times New Roman"/>
          <w:lang w:val="en-GB"/>
        </w:rPr>
      </w:pPr>
      <w:r>
        <w:rPr>
          <w:rFonts w:cs="Times New Roman"/>
          <w:lang w:val="en-GB"/>
        </w:rPr>
        <w:t>S</w:t>
      </w:r>
      <w:r w:rsidRPr="004C1D1A">
        <w:rPr>
          <w:rFonts w:cs="Times New Roman"/>
          <w:lang w:val="en-GB"/>
        </w:rPr>
        <w:t>ince the length of the surfactant is increased by one or two extra beads</w:t>
      </w:r>
      <w:r>
        <w:rPr>
          <w:rFonts w:cs="Times New Roman"/>
          <w:lang w:val="en-GB"/>
        </w:rPr>
        <w:t>, t</w:t>
      </w:r>
      <w:r w:rsidRPr="004C1D1A">
        <w:rPr>
          <w:rFonts w:cs="Times New Roman"/>
          <w:lang w:val="en-GB"/>
        </w:rPr>
        <w:t xml:space="preserve">he diameter of spherical micelles </w:t>
      </w:r>
      <w:r>
        <w:rPr>
          <w:rFonts w:cs="Times New Roman"/>
          <w:lang w:val="en-GB"/>
        </w:rPr>
        <w:t xml:space="preserve">increases.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=0.020</m:t>
        </m:r>
      </m:oMath>
      <w:r w:rsidRPr="004C1D1A">
        <w:rPr>
          <w:rFonts w:cs="Times New Roman"/>
          <w:lang w:val="en-GB"/>
        </w:rPr>
        <w:t xml:space="preserve"> </w:t>
      </w:r>
      <w:r>
        <w:rPr>
          <w:rFonts w:cs="Times New Roman"/>
          <w:lang w:val="en-GB"/>
        </w:rPr>
        <w:t xml:space="preserve">we obtained </w:t>
      </w:r>
      <m:oMath>
        <m:r>
          <w:rPr>
            <w:rFonts w:ascii="Cambria Math" w:hAnsi="Cambria Math" w:cs="Times New Roman"/>
            <w:lang w:val="en-GB"/>
          </w:rPr>
          <m:t>9.612(±0.166)</m:t>
        </m:r>
      </m:oMath>
      <w:r w:rsidRPr="004C1D1A">
        <w:rPr>
          <w:rFonts w:cs="Times New Roman"/>
          <w:lang w:val="en-GB"/>
        </w:rPr>
        <w:t xml:space="preserve">, </w:t>
      </w:r>
      <m:oMath>
        <m:r>
          <w:rPr>
            <w:rFonts w:ascii="Cambria Math" w:hAnsi="Cambria Math" w:cs="Times New Roman"/>
            <w:lang w:val="en-GB"/>
          </w:rPr>
          <m:t>10.530(±0.124)</m:t>
        </m:r>
      </m:oMath>
      <w:r w:rsidRPr="004C1D1A">
        <w:rPr>
          <w:rFonts w:cs="Times New Roman"/>
          <w:lang w:val="en-GB"/>
        </w:rPr>
        <w:t xml:space="preserve"> and  </w:t>
      </w:r>
      <m:oMath>
        <m:r>
          <w:rPr>
            <w:rFonts w:ascii="Cambria Math" w:hAnsi="Cambria Math" w:cs="Times New Roman"/>
            <w:lang w:val="en-GB"/>
          </w:rPr>
          <w:lastRenderedPageBreak/>
          <m:t>12.315(±0.503)</m:t>
        </m:r>
      </m:oMath>
      <w:r w:rsidRPr="004C1D1A">
        <w:rPr>
          <w:rFonts w:cs="Times New Roman"/>
          <w:lang w:val="en-GB"/>
        </w:rPr>
        <w:t xml:space="preserve"> </w:t>
      </w:r>
      <w:r>
        <w:rPr>
          <w:rFonts w:cs="Times New Roman"/>
          <w:lang w:val="en-GB"/>
        </w:rPr>
        <w:t xml:space="preserve">for </w:t>
      </w:r>
      <w:r w:rsidRPr="004C1D1A">
        <w:rPr>
          <w:rFonts w:cs="Times New Roman"/>
          <w:lang w:val="en-GB"/>
        </w:rPr>
        <w:t>SLES</w:t>
      </w:r>
      <w:r>
        <w:rPr>
          <w:rFonts w:cs="Times New Roman"/>
          <w:vertAlign w:val="subscript"/>
          <w:lang w:val="en-GB"/>
        </w:rPr>
        <w:t>1</w:t>
      </w:r>
      <w:r w:rsidRPr="004C1D1A">
        <w:rPr>
          <w:rFonts w:cs="Times New Roman"/>
          <w:lang w:val="en-GB"/>
        </w:rPr>
        <w:t>EO</w:t>
      </w:r>
      <w:r>
        <w:rPr>
          <w:rFonts w:cs="Times New Roman"/>
          <w:lang w:val="en-GB"/>
        </w:rPr>
        <w:t xml:space="preserve">, </w:t>
      </w:r>
      <w:r w:rsidRPr="004C1D1A">
        <w:rPr>
          <w:rFonts w:cs="Times New Roman"/>
          <w:lang w:val="en-GB"/>
        </w:rPr>
        <w:t>SLES</w:t>
      </w:r>
      <w:r w:rsidRPr="004C1D1A">
        <w:rPr>
          <w:rFonts w:cs="Times New Roman"/>
          <w:vertAlign w:val="subscript"/>
          <w:lang w:val="en-GB"/>
        </w:rPr>
        <w:t>2</w:t>
      </w:r>
      <w:r w:rsidRPr="004C1D1A">
        <w:rPr>
          <w:rFonts w:cs="Times New Roman"/>
          <w:lang w:val="en-GB"/>
        </w:rPr>
        <w:t>EO</w:t>
      </w:r>
      <w:r>
        <w:rPr>
          <w:rFonts w:cs="Times New Roman"/>
          <w:lang w:val="en-GB"/>
        </w:rPr>
        <w:t xml:space="preserve"> and </w:t>
      </w:r>
      <w:r w:rsidRPr="004C1D1A">
        <w:rPr>
          <w:rFonts w:cs="Times New Roman"/>
          <w:lang w:val="en-GB"/>
        </w:rPr>
        <w:t>SLES</w:t>
      </w:r>
      <w:r>
        <w:rPr>
          <w:rFonts w:cs="Times New Roman"/>
          <w:vertAlign w:val="subscript"/>
          <w:lang w:val="en-GB"/>
        </w:rPr>
        <w:t>3</w:t>
      </w:r>
      <w:r w:rsidRPr="004C1D1A">
        <w:rPr>
          <w:rFonts w:cs="Times New Roman"/>
          <w:lang w:val="en-GB"/>
        </w:rPr>
        <w:t>EO</w:t>
      </w:r>
      <w:r>
        <w:rPr>
          <w:rFonts w:cs="Times New Roman"/>
          <w:lang w:val="en-GB"/>
        </w:rPr>
        <w:t xml:space="preserve"> respectively. It is interesting to notice that for </w:t>
      </w:r>
      <w:r w:rsidRPr="004C1D1A">
        <w:rPr>
          <w:rFonts w:cs="Times New Roman"/>
          <w:lang w:val="en-GB"/>
        </w:rPr>
        <w:t>SLES</w:t>
      </w:r>
      <w:r>
        <w:rPr>
          <w:rFonts w:cs="Times New Roman"/>
          <w:vertAlign w:val="subscript"/>
          <w:lang w:val="en-GB"/>
        </w:rPr>
        <w:t>3</w:t>
      </w:r>
      <w:r w:rsidRPr="004C1D1A">
        <w:rPr>
          <w:rFonts w:cs="Times New Roman"/>
          <w:lang w:val="en-GB"/>
        </w:rPr>
        <w:t>EO</w:t>
      </w:r>
      <w:r w:rsidRPr="004C1D1A" w:rsidDel="00B04FB9">
        <w:rPr>
          <w:rFonts w:cs="Times New Roman"/>
          <w:lang w:val="en-GB"/>
        </w:rPr>
        <w:t xml:space="preserve"> </w:t>
      </w:r>
      <w:r>
        <w:rPr>
          <w:rFonts w:cs="Times New Roman"/>
          <w:lang w:val="en-GB"/>
        </w:rPr>
        <w:t>t</w:t>
      </w:r>
      <w:r w:rsidRPr="004C1D1A">
        <w:rPr>
          <w:rFonts w:cs="Times New Roman"/>
          <w:lang w:val="en-GB"/>
        </w:rPr>
        <w:t xml:space="preserve">he micelles had more an oblate shape rather than spherical </w:t>
      </w:r>
      <w:r>
        <w:rPr>
          <w:rFonts w:cs="Times New Roman"/>
          <w:lang w:val="en-GB"/>
        </w:rPr>
        <w:t xml:space="preserve">one </w:t>
      </w:r>
      <w:r w:rsidRPr="004C1D1A">
        <w:rPr>
          <w:rFonts w:cs="Times New Roman"/>
          <w:lang w:val="en-GB"/>
        </w:rPr>
        <w:t xml:space="preserve">indicating a </w:t>
      </w:r>
      <w:r>
        <w:rPr>
          <w:rFonts w:cs="Times New Roman"/>
          <w:lang w:val="en-GB"/>
        </w:rPr>
        <w:t xml:space="preserve">propensity to form </w:t>
      </w:r>
      <w:r w:rsidRPr="004C1D1A">
        <w:rPr>
          <w:rFonts w:cs="Times New Roman"/>
          <w:lang w:val="en-GB"/>
        </w:rPr>
        <w:t>structure</w:t>
      </w:r>
      <w:r>
        <w:rPr>
          <w:rFonts w:cs="Times New Roman"/>
          <w:lang w:val="en-GB"/>
        </w:rPr>
        <w:t>s with symmetry</w:t>
      </w:r>
      <w:r w:rsidRPr="004C1D1A">
        <w:rPr>
          <w:rFonts w:cs="Times New Roman"/>
          <w:lang w:val="en-GB"/>
        </w:rPr>
        <w:t xml:space="preserve"> between rods and spheres. The aspect ratio was approximately 1.3 in both x/y and x/z directions. For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 xml:space="preserve">=0.040 </m:t>
        </m:r>
      </m:oMath>
      <w:r w:rsidRPr="004C1D1A">
        <w:rPr>
          <w:rFonts w:cs="Times New Roman"/>
          <w:lang w:val="en-GB"/>
        </w:rPr>
        <w:t xml:space="preserve">the contour length of the </w:t>
      </w:r>
      <w:r>
        <w:rPr>
          <w:rFonts w:cs="Times New Roman"/>
          <w:lang w:val="en-GB"/>
        </w:rPr>
        <w:t>WLMs</w:t>
      </w:r>
      <w:r w:rsidRPr="004C1D1A">
        <w:rPr>
          <w:rFonts w:cs="Times New Roman"/>
          <w:lang w:val="en-GB"/>
        </w:rPr>
        <w:t xml:space="preserve"> </w:t>
      </w:r>
      <w:r>
        <w:rPr>
          <w:rFonts w:cs="Times New Roman"/>
          <w:lang w:val="en-GB"/>
        </w:rPr>
        <w:t>was found to be 24.348</w:t>
      </w:r>
      <w:r w:rsidRPr="004C1D1A">
        <w:rPr>
          <w:rFonts w:cs="Times New Roman"/>
          <w:lang w:val="en-GB"/>
        </w:rPr>
        <w:t>(</w:t>
      </w:r>
      <m:oMath>
        <m:r>
          <w:rPr>
            <w:rFonts w:ascii="Cambria Math" w:hAnsi="Cambria Math" w:cs="Times New Roman"/>
            <w:lang w:val="en-GB"/>
          </w:rPr>
          <m:t>±</m:t>
        </m:r>
      </m:oMath>
      <w:r w:rsidRPr="004C1D1A">
        <w:rPr>
          <w:rFonts w:cs="Times New Roman"/>
          <w:lang w:val="en-GB"/>
        </w:rPr>
        <w:t>1.65</w:t>
      </w:r>
      <w:r>
        <w:rPr>
          <w:rFonts w:cs="Times New Roman"/>
          <w:lang w:val="en-GB"/>
        </w:rPr>
        <w:t>0</w:t>
      </w:r>
      <w:r w:rsidRPr="004C1D1A">
        <w:rPr>
          <w:rFonts w:cs="Times New Roman"/>
          <w:lang w:val="en-GB"/>
        </w:rPr>
        <w:t xml:space="preserve">) </w:t>
      </w:r>
      <w:r>
        <w:rPr>
          <w:rFonts w:cs="Times New Roman"/>
          <w:lang w:val="en-GB"/>
        </w:rPr>
        <w:t xml:space="preserve">for </w:t>
      </w:r>
      <w:r w:rsidRPr="004C1D1A">
        <w:rPr>
          <w:rFonts w:cs="Times New Roman"/>
          <w:lang w:val="en-GB"/>
        </w:rPr>
        <w:t>SLES</w:t>
      </w:r>
      <w:r>
        <w:rPr>
          <w:rFonts w:cs="Times New Roman"/>
          <w:vertAlign w:val="subscript"/>
          <w:lang w:val="en-GB"/>
        </w:rPr>
        <w:t>1</w:t>
      </w:r>
      <w:r w:rsidRPr="004C1D1A">
        <w:rPr>
          <w:rFonts w:cs="Times New Roman"/>
          <w:lang w:val="en-GB"/>
        </w:rPr>
        <w:t>EO</w:t>
      </w:r>
      <w:r>
        <w:rPr>
          <w:rFonts w:cs="Times New Roman"/>
          <w:lang w:val="en-GB"/>
        </w:rPr>
        <w:t>. F</w:t>
      </w:r>
      <w:r w:rsidRPr="004C1D1A">
        <w:rPr>
          <w:rFonts w:cs="Times New Roman"/>
          <w:lang w:val="en-GB"/>
        </w:rPr>
        <w:t>or SLES</w:t>
      </w:r>
      <w:r>
        <w:rPr>
          <w:rFonts w:cs="Times New Roman"/>
          <w:vertAlign w:val="subscript"/>
          <w:lang w:val="en-GB"/>
        </w:rPr>
        <w:t>2</w:t>
      </w:r>
      <w:r w:rsidRPr="004C1D1A">
        <w:rPr>
          <w:rFonts w:cs="Times New Roman"/>
          <w:lang w:val="en-GB"/>
        </w:rPr>
        <w:t xml:space="preserve">EO the rod-like micelles had length </w:t>
      </w:r>
      <m:oMath>
        <m:r>
          <w:rPr>
            <w:rFonts w:ascii="Cambria Math" w:hAnsi="Cambria Math" w:cs="Times New Roman"/>
            <w:lang w:val="en-GB"/>
          </w:rPr>
          <m:t>13.052(±0.296)</m:t>
        </m:r>
      </m:oMath>
      <w:r w:rsidRPr="004C1D1A">
        <w:rPr>
          <w:rFonts w:cs="Times New Roman"/>
          <w:lang w:val="en-GB"/>
        </w:rPr>
        <w:t xml:space="preserve"> on the longest direction</w:t>
      </w:r>
      <w:r>
        <w:rPr>
          <w:rFonts w:cs="Times New Roman"/>
          <w:lang w:val="en-GB"/>
        </w:rPr>
        <w:t xml:space="preserve">; this </w:t>
      </w:r>
      <w:r w:rsidRPr="004C1D1A">
        <w:rPr>
          <w:rFonts w:cs="Times New Roman"/>
          <w:lang w:val="en-GB"/>
        </w:rPr>
        <w:t xml:space="preserve">decreased to </w:t>
      </w:r>
      <m:oMath>
        <m:r>
          <w:rPr>
            <w:rFonts w:ascii="Cambria Math" w:hAnsi="Cambria Math" w:cs="Times New Roman"/>
            <w:lang w:val="en-GB"/>
          </w:rPr>
          <m:t>11.106</m:t>
        </m:r>
        <m:d>
          <m:dPr>
            <m:ctrlPr>
              <w:rPr>
                <w:rFonts w:ascii="Cambria Math" w:hAnsi="Cambria Math" w:cs="Times New Roman"/>
                <w:i/>
                <w:lang w:val="en-GB"/>
              </w:rPr>
            </m:ctrlPr>
          </m:dPr>
          <m:e>
            <m:r>
              <w:rPr>
                <w:rFonts w:ascii="Cambria Math" w:hAnsi="Cambria Math" w:cs="Times New Roman"/>
                <w:lang w:val="en-GB"/>
              </w:rPr>
              <m:t>±0.343</m:t>
            </m:r>
          </m:e>
        </m:d>
        <m:r>
          <w:rPr>
            <w:rFonts w:ascii="Cambria Math" w:hAnsi="Cambria Math" w:cs="Times New Roman"/>
            <w:lang w:val="en-GB"/>
          </w:rPr>
          <m:t xml:space="preserve"> </m:t>
        </m:r>
      </m:oMath>
      <w:r>
        <w:rPr>
          <w:rFonts w:cs="Times New Roman"/>
          <w:lang w:val="en-GB"/>
        </w:rPr>
        <w:t xml:space="preserve">for </w:t>
      </w:r>
      <w:r w:rsidRPr="004C1D1A">
        <w:rPr>
          <w:rFonts w:cs="Times New Roman"/>
          <w:lang w:val="en-GB"/>
        </w:rPr>
        <w:t>SLES</w:t>
      </w:r>
      <w:r>
        <w:rPr>
          <w:rFonts w:cs="Times New Roman"/>
          <w:vertAlign w:val="subscript"/>
          <w:lang w:val="en-GB"/>
        </w:rPr>
        <w:t>3</w:t>
      </w:r>
      <w:r w:rsidRPr="004C1D1A">
        <w:rPr>
          <w:rFonts w:cs="Times New Roman"/>
          <w:lang w:val="en-GB"/>
        </w:rPr>
        <w:t>EO</w:t>
      </w:r>
      <w:r>
        <w:rPr>
          <w:rFonts w:cs="Times New Roman"/>
          <w:lang w:val="en-GB"/>
        </w:rPr>
        <w:t>.</w:t>
      </w:r>
    </w:p>
    <w:p w:rsidR="004833BB" w:rsidRPr="004C1D1A" w:rsidRDefault="004833BB" w:rsidP="004833BB">
      <w:pPr>
        <w:ind w:firstLine="576"/>
        <w:jc w:val="both"/>
        <w:rPr>
          <w:rFonts w:cs="Times New Roman"/>
          <w:lang w:val="en-GB"/>
        </w:rPr>
      </w:pPr>
    </w:p>
    <w:p w:rsidR="004833BB" w:rsidRPr="004C1D1A" w:rsidRDefault="004833BB" w:rsidP="004833BB">
      <w:pPr>
        <w:jc w:val="center"/>
        <w:rPr>
          <w:rFonts w:cs="Times New Roman"/>
          <w:b/>
          <w:lang w:val="en-GB"/>
        </w:rPr>
      </w:pPr>
      <w:r w:rsidRPr="004C1D1A">
        <w:rPr>
          <w:rFonts w:cs="Times New Roman"/>
          <w:b/>
          <w:lang w:val="en-GB"/>
        </w:rPr>
        <w:t>3.5 Contour length predictive model for worm-like micelles</w:t>
      </w:r>
    </w:p>
    <w:p w:rsidR="004833BB" w:rsidRPr="004C1D1A" w:rsidRDefault="004833BB" w:rsidP="004833BB">
      <w:pPr>
        <w:jc w:val="both"/>
        <w:rPr>
          <w:rFonts w:cs="Times New Roman"/>
          <w:lang w:val="en-GB"/>
        </w:rPr>
      </w:pPr>
    </w:p>
    <w:p w:rsidR="004833BB" w:rsidRPr="004C1D1A" w:rsidRDefault="004833BB" w:rsidP="004833BB">
      <w:pPr>
        <w:ind w:firstLine="576"/>
        <w:jc w:val="both"/>
        <w:rPr>
          <w:rFonts w:cs="Times New Roman"/>
          <w:lang w:val="en-GB"/>
        </w:rPr>
      </w:pPr>
      <w:r w:rsidRPr="004C1D1A">
        <w:rPr>
          <w:rFonts w:cs="Times New Roman"/>
          <w:lang w:val="en-GB"/>
        </w:rPr>
        <w:t xml:space="preserve">In this section we develop a predictive model for micelle elongation </w:t>
      </w:r>
      <w:r>
        <w:rPr>
          <w:rFonts w:cs="Times New Roman"/>
          <w:lang w:val="en-GB"/>
        </w:rPr>
        <w:t xml:space="preserve">that </w:t>
      </w:r>
      <w:r w:rsidRPr="004C1D1A">
        <w:rPr>
          <w:rFonts w:cs="Times New Roman"/>
          <w:lang w:val="en-GB"/>
        </w:rPr>
        <w:t>does not include branched networks region</w:t>
      </w:r>
      <w:r>
        <w:rPr>
          <w:rFonts w:cs="Times New Roman"/>
          <w:lang w:val="en-GB"/>
        </w:rPr>
        <w:t>s</w:t>
      </w:r>
      <w:r w:rsidRPr="004C1D1A">
        <w:rPr>
          <w:rFonts w:cs="Times New Roman"/>
          <w:lang w:val="en-GB"/>
        </w:rPr>
        <w:t>.  The contour length values of the micelles</w:t>
      </w:r>
      <w:r>
        <w:rPr>
          <w:rFonts w:cs="Times New Roman"/>
          <w:lang w:val="en-GB"/>
        </w:rPr>
        <w:t xml:space="preserve"> </w:t>
      </w:r>
      <w:r w:rsidRPr="004C1D1A">
        <w:rPr>
          <w:rFonts w:cs="Times New Roman"/>
          <w:lang w:val="en-GB"/>
        </w:rPr>
        <w:t xml:space="preserve">will be used as training points for an optimization scheme of a suggested nonlinear two-variable function. By observing the general behaviour of </w:t>
      </w:r>
      <w:r>
        <w:rPr>
          <w:rFonts w:cs="Times New Roman"/>
          <w:lang w:val="en-GB"/>
        </w:rPr>
        <w:t>WLMs</w:t>
      </w:r>
      <w:r w:rsidRPr="004C1D1A">
        <w:rPr>
          <w:rFonts w:cs="Times New Roman"/>
          <w:lang w:val="en-GB"/>
        </w:rPr>
        <w:t xml:space="preserve"> and measuring their contour length</w:t>
      </w:r>
      <w:r>
        <w:rPr>
          <w:rFonts w:cs="Times New Roman"/>
          <w:lang w:val="en-GB"/>
        </w:rPr>
        <w:t xml:space="preserve"> </w:t>
      </w:r>
      <w:r w:rsidRPr="004C1D1A">
        <w:rPr>
          <w:rFonts w:cs="Times New Roman"/>
          <w:lang w:val="en-GB"/>
        </w:rPr>
        <w:t>or the diameter of the micelles</w:t>
      </w:r>
      <m:oMath>
        <m:r>
          <w:rPr>
            <w:rFonts w:ascii="Cambria Math" w:hAnsi="Cambria Math" w:cs="Times New Roman"/>
            <w:lang w:val="en-GB"/>
          </w:rPr>
          <m:t>, 2</m:t>
        </m:r>
        <m:sSub>
          <m:sSubPr>
            <m:ctrlPr>
              <w:rPr>
                <w:rFonts w:ascii="Cambria Math" w:hAnsi="Cambria Math" w:cs="Times New Roman"/>
                <w:i/>
                <w:lang w:val="en-GB"/>
              </w:rPr>
            </m:ctrlPr>
          </m:sSubPr>
          <m:e>
            <m:r>
              <w:rPr>
                <w:rFonts w:ascii="Cambria Math" w:hAnsi="Cambria Math" w:cs="Times New Roman"/>
                <w:lang w:val="en-GB"/>
              </w:rPr>
              <m:t>r</m:t>
            </m:r>
          </m:e>
          <m:sub>
            <m:r>
              <w:rPr>
                <w:rFonts w:ascii="Cambria Math" w:hAnsi="Cambria Math" w:cs="Times New Roman"/>
                <w:lang w:val="en-GB"/>
              </w:rPr>
              <m:t>m</m:t>
            </m:r>
          </m:sub>
        </m:sSub>
        <m:r>
          <w:rPr>
            <w:rFonts w:ascii="Cambria Math" w:hAnsi="Cambria Math" w:cs="Times New Roman"/>
            <w:lang w:val="en-GB"/>
          </w:rPr>
          <m:t>,</m:t>
        </m:r>
      </m:oMath>
      <w:r w:rsidRPr="004C1D1A">
        <w:rPr>
          <w:rFonts w:cs="Times New Roman"/>
          <w:lang w:val="en-GB"/>
        </w:rPr>
        <w:t xml:space="preserve"> a polynomial surface can be fitted to the simulation data providing an estimate of the mean micelle length at concentrations of SLES/salt that are </w:t>
      </w:r>
      <w:r>
        <w:rPr>
          <w:rFonts w:cs="Times New Roman"/>
          <w:lang w:val="en-GB"/>
        </w:rPr>
        <w:t>outside</w:t>
      </w:r>
      <w:r w:rsidRPr="004C1D1A">
        <w:rPr>
          <w:rFonts w:cs="Times New Roman"/>
          <w:lang w:val="en-GB"/>
        </w:rPr>
        <w:t xml:space="preserve"> the simulat</w:t>
      </w:r>
      <w:r>
        <w:rPr>
          <w:rFonts w:cs="Times New Roman"/>
          <w:lang w:val="en-GB"/>
        </w:rPr>
        <w:t>ed</w:t>
      </w:r>
      <w:r w:rsidRPr="004C1D1A">
        <w:rPr>
          <w:rFonts w:cs="Times New Roman"/>
          <w:lang w:val="en-GB"/>
        </w:rPr>
        <w:t xml:space="preserve"> </w:t>
      </w:r>
      <w:r>
        <w:rPr>
          <w:rFonts w:cs="Times New Roman"/>
          <w:lang w:val="en-GB"/>
        </w:rPr>
        <w:t>points</w:t>
      </w:r>
      <w:r w:rsidRPr="004C1D1A">
        <w:rPr>
          <w:rFonts w:cs="Times New Roman"/>
          <w:lang w:val="en-GB"/>
        </w:rPr>
        <w:t xml:space="preserve">. Since we are interested in the non-branched micelle regime, </w:t>
      </w:r>
      <m:oMath>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,c)</m:t>
        </m:r>
      </m:oMath>
      <w:r w:rsidRPr="004C1D1A">
        <w:rPr>
          <w:rFonts w:cs="Times New Roman"/>
          <w:lang w:val="en-GB"/>
        </w:rPr>
        <w:t xml:space="preserve"> should take values fr</w:t>
      </w:r>
      <w:r>
        <w:rPr>
          <w:rFonts w:cs="Times New Roman"/>
          <w:lang w:val="en-GB"/>
        </w:rPr>
        <w:t>o</w:t>
      </w:r>
      <w:r w:rsidRPr="004C1D1A">
        <w:rPr>
          <w:rFonts w:cs="Times New Roman"/>
          <w:lang w:val="en-GB"/>
        </w:rPr>
        <w:t xml:space="preserve">m the region of spheres, rods or </w:t>
      </w:r>
      <w:r>
        <w:rPr>
          <w:rFonts w:cs="Times New Roman"/>
          <w:lang w:val="en-GB"/>
        </w:rPr>
        <w:t>WLMs</w:t>
      </w:r>
      <w:r w:rsidRPr="004C1D1A">
        <w:rPr>
          <w:rFonts w:cs="Times New Roman"/>
          <w:lang w:val="en-GB"/>
        </w:rPr>
        <w:t xml:space="preserve"> (see </w:t>
      </w:r>
      <w:r>
        <w:rPr>
          <w:rFonts w:cs="Times New Roman"/>
          <w:lang w:val="en-GB"/>
        </w:rPr>
        <w:fldChar w:fldCharType="begin"/>
      </w:r>
      <w:r>
        <w:rPr>
          <w:rFonts w:cs="Times New Roman"/>
          <w:lang w:val="en-GB"/>
        </w:rPr>
        <w:instrText xml:space="preserve"> REF _Ref529896 \h </w:instrText>
      </w:r>
      <w:r>
        <w:rPr>
          <w:rFonts w:cs="Times New Roman"/>
          <w:lang w:val="en-GB"/>
        </w:rPr>
      </w:r>
      <w:r>
        <w:rPr>
          <w:rFonts w:cs="Times New Roman"/>
          <w:lang w:val="en-GB"/>
        </w:rPr>
        <w:fldChar w:fldCharType="separate"/>
      </w:r>
      <w:r w:rsidRPr="00042B1A">
        <w:rPr>
          <w:rFonts w:cs="Times New Roman"/>
          <w:lang w:val="en-GB"/>
        </w:rPr>
        <w:t>Fig.</w:t>
      </w:r>
      <w:r w:rsidRPr="00042B1A">
        <w:rPr>
          <w:rFonts w:cs="Times New Roman"/>
          <w:noProof/>
          <w:lang w:val="en-GB"/>
        </w:rPr>
        <w:t>3</w:t>
      </w:r>
      <w:r>
        <w:rPr>
          <w:rFonts w:cs="Times New Roman"/>
          <w:lang w:val="en-GB"/>
        </w:rPr>
        <w:fldChar w:fldCharType="end"/>
      </w:r>
      <w:r>
        <w:rPr>
          <w:rFonts w:cs="Times New Roman"/>
          <w:lang w:val="en-GB"/>
        </w:rPr>
        <w:t xml:space="preserve"> </w:t>
      </w:r>
      <w:r w:rsidRPr="004C1D1A">
        <w:rPr>
          <w:rFonts w:cs="Times New Roman"/>
          <w:lang w:val="en-GB"/>
        </w:rPr>
        <w:t>for phase behaviour). The surface that was fitted to the points is the following:</w:t>
      </w:r>
    </w:p>
    <w:p w:rsidR="004833BB" w:rsidRPr="004C1D1A" w:rsidRDefault="004833BB" w:rsidP="004833BB">
      <w:pPr>
        <w:ind w:firstLine="576"/>
        <w:jc w:val="both"/>
        <w:rPr>
          <w:rFonts w:cs="Times New Roman"/>
          <w:lang w:val="en-GB"/>
        </w:rPr>
      </w:pPr>
    </w:p>
    <w:p w:rsidR="004833BB" w:rsidRPr="004C1D1A" w:rsidRDefault="004833BB" w:rsidP="004833BB">
      <w:pPr>
        <w:ind w:firstLine="576"/>
        <w:jc w:val="right"/>
        <w:rPr>
          <w:rFonts w:cs="Times New Roman"/>
          <w:i/>
          <w:lang w:val="en-GB"/>
        </w:rPr>
      </w:pPr>
      <m:oMath>
        <m:r>
          <m:rPr>
            <m:scr m:val="script"/>
            <m:sty m:val="p"/>
          </m:rPr>
          <w:rPr>
            <w:rFonts w:ascii="Cambria Math" w:hAnsi="Cambria Math" w:cs="Times New Roman"/>
            <w:lang w:val="en-GB"/>
          </w:rPr>
          <m:t>l</m:t>
        </m:r>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,c</m:t>
            </m:r>
          </m:e>
        </m:d>
        <m:r>
          <w:rPr>
            <w:rFonts w:ascii="Cambria Math" w:hAnsi="Cambria Math" w:cs="Times New Roman"/>
            <w:lang w:val="en-GB"/>
          </w:rPr>
          <m:t>=</m:t>
        </m:r>
        <m:r>
          <w:rPr>
            <w:rFonts w:ascii="Cambria Math" w:hAnsi="Cambria Math" w:cs="Times New Roman"/>
          </w:rPr>
          <m:t>α</m:t>
        </m:r>
        <m:sSup>
          <m:sSupPr>
            <m:ctrlPr>
              <w:rPr>
                <w:rFonts w:ascii="Cambria Math" w:hAnsi="Cambria Math" w:cs="Times New Roman"/>
                <w:i/>
                <w:lang w:val="en-GB"/>
              </w:rPr>
            </m:ctrlPr>
          </m:sSupPr>
          <m:e>
            <m:r>
              <w:rPr>
                <w:rFonts w:ascii="Cambria Math" w:hAnsi="Cambria Math" w:cs="Times New Roman"/>
                <w:lang w:val="en-GB"/>
              </w:rPr>
              <m:t>c</m:t>
            </m:r>
          </m:e>
          <m:sup>
            <m:r>
              <w:rPr>
                <w:rFonts w:ascii="Cambria Math" w:hAnsi="Cambria Math" w:cs="Times New Roman"/>
                <w:lang w:val="en-GB"/>
              </w:rPr>
              <m:t>3</m:t>
            </m:r>
          </m:sup>
        </m:sSup>
        <m:r>
          <w:rPr>
            <w:rFonts w:ascii="Cambria Math" w:hAnsi="Cambria Math" w:cs="Times New Roman"/>
            <w:lang w:val="en-GB"/>
          </w:rPr>
          <m:t>+</m:t>
        </m:r>
        <m:r>
          <w:rPr>
            <w:rFonts w:ascii="Cambria Math" w:hAnsi="Cambria Math" w:cs="Times New Roman"/>
          </w:rPr>
          <m:t>β</m:t>
        </m:r>
        <m:sSubSup>
          <m:sSubSupPr>
            <m:ctrlPr>
              <w:rPr>
                <w:rFonts w:ascii="Cambria Math" w:hAnsi="Cambria Math" w:cs="Times New Roman"/>
                <w:i/>
                <w:lang w:val="en-GB"/>
              </w:rPr>
            </m:ctrlPr>
          </m:sSubSupPr>
          <m:e>
            <m:r>
              <w:rPr>
                <w:rFonts w:ascii="Cambria Math" w:hAnsi="Cambria Math" w:cs="Times New Roman"/>
                <w:lang w:val="en-GB"/>
              </w:rPr>
              <m:t>c</m:t>
            </m:r>
          </m:e>
          <m:sub>
            <m:r>
              <w:rPr>
                <w:rFonts w:ascii="Cambria Math" w:hAnsi="Cambria Math" w:cs="Times New Roman"/>
                <w:lang w:val="en-GB"/>
              </w:rPr>
              <m:t>s</m:t>
            </m:r>
          </m:sub>
          <m:sup>
            <m:r>
              <w:rPr>
                <w:rFonts w:ascii="Cambria Math" w:hAnsi="Cambria Math" w:cs="Times New Roman"/>
                <w:lang w:val="en-GB"/>
              </w:rPr>
              <m:t>3</m:t>
            </m:r>
          </m:sup>
        </m:sSubSup>
        <m:r>
          <w:rPr>
            <w:rFonts w:ascii="Cambria Math" w:hAnsi="Cambria Math" w:cs="Times New Roman"/>
            <w:lang w:val="en-GB"/>
          </w:rPr>
          <m:t>+</m:t>
        </m:r>
        <m:r>
          <w:rPr>
            <w:rFonts w:ascii="Cambria Math" w:hAnsi="Cambria Math" w:cs="Times New Roman"/>
          </w:rPr>
          <m:t>γ</m:t>
        </m:r>
        <m:sSup>
          <m:sSupPr>
            <m:ctrlPr>
              <w:rPr>
                <w:rFonts w:ascii="Cambria Math" w:hAnsi="Cambria Math" w:cs="Times New Roman"/>
                <w:i/>
              </w:rPr>
            </m:ctrlPr>
          </m:sSupPr>
          <m:e>
            <m:r>
              <w:rPr>
                <w:rFonts w:ascii="Cambria Math" w:hAnsi="Cambria Math" w:cs="Times New Roman"/>
              </w:rPr>
              <m:t>c</m:t>
            </m:r>
          </m:e>
          <m:sup>
            <m:r>
              <w:rPr>
                <w:rFonts w:ascii="Cambria Math" w:hAnsi="Cambria Math" w:cs="Times New Roman"/>
                <w:lang w:val="en-GB"/>
              </w:rPr>
              <m:t>2</m:t>
            </m:r>
          </m:sup>
        </m:sSup>
        <m:r>
          <w:rPr>
            <w:rFonts w:ascii="Cambria Math" w:hAnsi="Cambria Math" w:cs="Times New Roman"/>
            <w:lang w:val="en-GB"/>
          </w:rPr>
          <m:t>+</m:t>
        </m:r>
        <m:r>
          <w:rPr>
            <w:rFonts w:ascii="Cambria Math" w:hAnsi="Cambria Math" w:cs="Times New Roman"/>
          </w:rPr>
          <m:t>δ</m:t>
        </m:r>
        <m:sSubSup>
          <m:sSubSupPr>
            <m:ctrlPr>
              <w:rPr>
                <w:rFonts w:ascii="Cambria Math" w:hAnsi="Cambria Math" w:cs="Times New Roman"/>
                <w:i/>
                <w:lang w:val="en-GB"/>
              </w:rPr>
            </m:ctrlPr>
          </m:sSubSupPr>
          <m:e>
            <m:r>
              <w:rPr>
                <w:rFonts w:ascii="Cambria Math" w:hAnsi="Cambria Math" w:cs="Times New Roman"/>
                <w:lang w:val="en-GB"/>
              </w:rPr>
              <m:t>c</m:t>
            </m:r>
          </m:e>
          <m:sub>
            <m:r>
              <w:rPr>
                <w:rFonts w:ascii="Cambria Math" w:hAnsi="Cambria Math" w:cs="Times New Roman"/>
                <w:lang w:val="en-GB"/>
              </w:rPr>
              <m:t>s</m:t>
            </m:r>
          </m:sub>
          <m:sup>
            <m:r>
              <w:rPr>
                <w:rFonts w:ascii="Cambria Math" w:hAnsi="Cambria Math" w:cs="Times New Roman"/>
                <w:lang w:val="en-GB"/>
              </w:rPr>
              <m:t>2</m:t>
            </m:r>
          </m:sup>
        </m:sSubSup>
        <m:r>
          <w:rPr>
            <w:rFonts w:ascii="Cambria Math" w:hAnsi="Cambria Math" w:cs="Times New Roman"/>
            <w:lang w:val="en-GB"/>
          </w:rPr>
          <m:t>+</m:t>
        </m:r>
        <m:r>
          <w:rPr>
            <w:rFonts w:ascii="Cambria Math" w:hAnsi="Cambria Math" w:cs="Times New Roman"/>
          </w:rPr>
          <m:t>ε</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c</m:t>
        </m:r>
        <m:r>
          <w:rPr>
            <w:rFonts w:ascii="Cambria Math" w:hAnsi="Cambria Math" w:cs="Times New Roman"/>
            <w:lang w:val="en-GB"/>
          </w:rPr>
          <m:t>+</m:t>
        </m:r>
        <m:r>
          <w:rPr>
            <w:rFonts w:ascii="Cambria Math" w:hAnsi="Cambria Math" w:cs="Times New Roman"/>
          </w:rPr>
          <m:t>ζ</m:t>
        </m:r>
        <m:r>
          <w:rPr>
            <w:rFonts w:ascii="Cambria Math" w:hAnsi="Cambria Math" w:cs="Times New Roman"/>
            <w:lang w:val="en-GB"/>
          </w:rPr>
          <m:t>c+</m:t>
        </m:r>
        <m:r>
          <w:rPr>
            <w:rFonts w:ascii="Cambria Math" w:hAnsi="Cambria Math" w:cs="Times New Roman"/>
          </w:rPr>
          <m:t>η</m:t>
        </m:r>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m:t>
        </m:r>
        <m:r>
          <w:rPr>
            <w:rFonts w:ascii="Cambria Math" w:hAnsi="Cambria Math" w:cs="Times New Roman"/>
          </w:rPr>
          <m:t>θ</m:t>
        </m:r>
      </m:oMath>
      <w:r w:rsidRPr="004C1D1A">
        <w:rPr>
          <w:rFonts w:cs="Times New Roman"/>
          <w:i/>
          <w:lang w:val="en-GB"/>
        </w:rPr>
        <w:t xml:space="preserve">     </w:t>
      </w:r>
      <w:r w:rsidRPr="004C1D1A">
        <w:rPr>
          <w:rFonts w:cs="Times New Roman"/>
          <w:i/>
          <w:lang w:val="en-GB"/>
        </w:rPr>
        <w:tab/>
        <w:t>(3.1)</w:t>
      </w:r>
    </w:p>
    <w:p w:rsidR="004833BB" w:rsidRPr="004C1D1A" w:rsidRDefault="004833BB" w:rsidP="004833BB">
      <w:pPr>
        <w:jc w:val="both"/>
        <w:rPr>
          <w:rFonts w:cs="Times New Roman"/>
          <w:lang w:val="en-GB"/>
        </w:rPr>
      </w:pPr>
    </w:p>
    <w:p w:rsidR="004833BB" w:rsidRPr="004C1D1A" w:rsidRDefault="004833BB" w:rsidP="004833BB">
      <w:pPr>
        <w:jc w:val="both"/>
        <w:rPr>
          <w:rFonts w:cs="Times New Roman"/>
          <w:lang w:val="en-GB"/>
        </w:rPr>
      </w:pPr>
      <w:r w:rsidRPr="004C1D1A">
        <w:rPr>
          <w:rFonts w:cs="Times New Roman"/>
          <w:lang w:val="en-GB"/>
        </w:rPr>
        <w:t>where Greek letters denote the fitting coefficients. The minimization problem that should be solved is given in eq. (3.2).</w:t>
      </w:r>
    </w:p>
    <w:p w:rsidR="004833BB" w:rsidRPr="004C1D1A" w:rsidRDefault="004833BB" w:rsidP="004833BB">
      <w:pPr>
        <w:jc w:val="both"/>
        <w:rPr>
          <w:rFonts w:cs="Times New Roman"/>
          <w:lang w:val="en-GB"/>
        </w:rPr>
      </w:pPr>
    </w:p>
    <w:p w:rsidR="004833BB" w:rsidRPr="004C1D1A" w:rsidRDefault="00A70B57" w:rsidP="004833BB">
      <w:pPr>
        <w:jc w:val="right"/>
        <w:rPr>
          <w:rFonts w:cs="Times New Roman"/>
          <w:i/>
          <w:lang w:val="en-GB"/>
        </w:rPr>
      </w:pPr>
      <m:oMath>
        <m:func>
          <m:funcPr>
            <m:ctrlPr>
              <w:rPr>
                <w:rFonts w:ascii="Cambria Math" w:hAnsi="Cambria Math" w:cs="Times New Roman"/>
                <w:i/>
                <w:lang w:val="en-GB"/>
              </w:rPr>
            </m:ctrlPr>
          </m:funcPr>
          <m:fName>
            <m:limLow>
              <m:limLowPr>
                <m:ctrlPr>
                  <w:rPr>
                    <w:rFonts w:ascii="Cambria Math" w:hAnsi="Cambria Math" w:cs="Times New Roman"/>
                    <w:i/>
                    <w:lang w:val="en-GB"/>
                  </w:rPr>
                </m:ctrlPr>
              </m:limLowPr>
              <m:e>
                <m:r>
                  <m:rPr>
                    <m:sty m:val="p"/>
                  </m:rPr>
                  <w:rPr>
                    <w:rFonts w:ascii="Cambria Math" w:hAnsi="Cambria Math" w:cs="Times New Roman"/>
                    <w:lang w:val="en-GB"/>
                  </w:rPr>
                  <m:t>min</m:t>
                </m:r>
              </m:e>
              <m:lim>
                <m:r>
                  <w:rPr>
                    <w:rFonts w:ascii="Cambria Math" w:hAnsi="Cambria Math" w:cs="Times New Roman"/>
                  </w:rPr>
                  <m:t>χ</m:t>
                </m:r>
                <m:r>
                  <w:rPr>
                    <w:rFonts w:ascii="Cambria Math" w:hAnsi="Cambria Math" w:cs="Times New Roman"/>
                    <w:lang w:val="en-GB"/>
                  </w:rPr>
                  <m:t>∈</m:t>
                </m:r>
                <m:sSup>
                  <m:sSupPr>
                    <m:ctrlPr>
                      <w:rPr>
                        <w:rFonts w:ascii="Cambria Math" w:hAnsi="Cambria Math" w:cs="Times New Roman"/>
                        <w:i/>
                        <w:lang w:val="en-GB"/>
                      </w:rPr>
                    </m:ctrlPr>
                  </m:sSupPr>
                  <m:e>
                    <m:r>
                      <m:rPr>
                        <m:scr m:val="double-struck"/>
                      </m:rPr>
                      <w:rPr>
                        <w:rFonts w:ascii="Cambria Math" w:hAnsi="Cambria Math" w:cs="Times New Roman"/>
                        <w:lang w:val="en-GB"/>
                      </w:rPr>
                      <m:t>R</m:t>
                    </m:r>
                  </m:e>
                  <m:sup>
                    <m:r>
                      <w:rPr>
                        <w:rFonts w:ascii="Cambria Math" w:hAnsi="Cambria Math" w:cs="Times New Roman"/>
                        <w:lang w:val="en-GB"/>
                      </w:rPr>
                      <m:t>8</m:t>
                    </m:r>
                  </m:sup>
                </m:sSup>
              </m:lim>
            </m:limLow>
          </m:fName>
          <m:e>
            <m:sSup>
              <m:sSupPr>
                <m:ctrlPr>
                  <w:rPr>
                    <w:rFonts w:ascii="Cambria Math" w:hAnsi="Cambria Math" w:cs="Times New Roman"/>
                    <w:i/>
                  </w:rPr>
                </m:ctrlPr>
              </m:sSupPr>
              <m:e>
                <m:d>
                  <m:dPr>
                    <m:begChr m:val="|"/>
                    <m:endChr m:val="|"/>
                    <m:ctrlPr>
                      <w:rPr>
                        <w:rFonts w:ascii="Cambria Math" w:hAnsi="Cambria Math" w:cs="Times New Roman"/>
                        <w:i/>
                      </w:rPr>
                    </m:ctrlPr>
                  </m:dPr>
                  <m:e>
                    <m:d>
                      <m:dPr>
                        <m:begChr m:val="|"/>
                        <m:endChr m:val="|"/>
                        <m:ctrlPr>
                          <w:rPr>
                            <w:rFonts w:ascii="Cambria Math" w:hAnsi="Cambria Math" w:cs="Times New Roman"/>
                            <w:i/>
                          </w:rPr>
                        </m:ctrlPr>
                      </m:dPr>
                      <m:e>
                        <m:r>
                          <m:rPr>
                            <m:scr m:val="script"/>
                            <m:sty m:val="p"/>
                          </m:rPr>
                          <w:rPr>
                            <w:rFonts w:ascii="Cambria Math" w:hAnsi="Cambria Math" w:cs="Times New Roman"/>
                            <w:lang w:val="en-GB"/>
                          </w:rPr>
                          <m:t>l</m:t>
                        </m:r>
                        <m:d>
                          <m:dPr>
                            <m:ctrlPr>
                              <w:rPr>
                                <w:rFonts w:ascii="Cambria Math" w:hAnsi="Cambria Math" w:cs="Times New Roman"/>
                                <w:i/>
                                <w:lang w:val="en-GB"/>
                              </w:rPr>
                            </m:ctrlPr>
                          </m:dPr>
                          <m:e>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,c</m:t>
                            </m:r>
                          </m:e>
                        </m:d>
                        <m:r>
                          <w:rPr>
                            <w:rFonts w:ascii="Cambria Math" w:hAnsi="Cambria Math" w:cs="Times New Roman"/>
                            <w:lang w:val="en-GB"/>
                          </w:rPr>
                          <m:t>-l</m:t>
                        </m:r>
                      </m:e>
                    </m:d>
                  </m:e>
                </m:d>
              </m:e>
              <m:sup>
                <m:r>
                  <w:rPr>
                    <w:rFonts w:ascii="Cambria Math" w:hAnsi="Cambria Math" w:cs="Times New Roman"/>
                    <w:lang w:val="en-GB"/>
                  </w:rPr>
                  <m:t>2</m:t>
                </m:r>
              </m:sup>
            </m:sSup>
          </m:e>
        </m:func>
        <m:r>
          <w:rPr>
            <w:rFonts w:ascii="Cambria Math" w:hAnsi="Cambria Math" w:cs="Times New Roman"/>
            <w:lang w:val="en-GB"/>
          </w:rPr>
          <m:t xml:space="preserve"> </m:t>
        </m:r>
      </m:oMath>
      <w:r w:rsidR="004833BB">
        <w:rPr>
          <w:rFonts w:cs="Times New Roman"/>
          <w:i/>
          <w:lang w:val="en-GB"/>
        </w:rPr>
        <w:tab/>
        <w:t xml:space="preserve">    </w:t>
      </w:r>
      <w:r w:rsidR="004833BB" w:rsidRPr="004C1D1A">
        <w:rPr>
          <w:rFonts w:cs="Times New Roman"/>
          <w:i/>
          <w:lang w:val="en-GB"/>
        </w:rPr>
        <w:tab/>
      </w:r>
      <w:r w:rsidR="004833BB" w:rsidRPr="004C1D1A">
        <w:rPr>
          <w:rFonts w:cs="Times New Roman"/>
          <w:i/>
          <w:lang w:val="en-GB"/>
        </w:rPr>
        <w:tab/>
      </w:r>
      <w:r w:rsidR="004833BB">
        <w:rPr>
          <w:rFonts w:cs="Times New Roman"/>
          <w:i/>
          <w:lang w:val="en-GB"/>
        </w:rPr>
        <w:t xml:space="preserve">          </w:t>
      </w:r>
      <w:r w:rsidR="004833BB" w:rsidRPr="004C1D1A">
        <w:rPr>
          <w:rFonts w:cs="Times New Roman"/>
          <w:i/>
          <w:lang w:val="en-GB"/>
        </w:rPr>
        <w:t>(3.2)</w:t>
      </w:r>
    </w:p>
    <w:p w:rsidR="004833BB" w:rsidRPr="004C1D1A" w:rsidRDefault="004833BB" w:rsidP="004833BB">
      <w:pPr>
        <w:jc w:val="both"/>
        <w:rPr>
          <w:rFonts w:cs="Times New Roman"/>
          <w:lang w:val="en-GB"/>
        </w:rPr>
      </w:pPr>
    </w:p>
    <w:p w:rsidR="004833BB" w:rsidRPr="004C1D1A" w:rsidRDefault="004833BB" w:rsidP="004833BB">
      <w:pPr>
        <w:jc w:val="both"/>
        <w:rPr>
          <w:rFonts w:cs="Times New Roman"/>
          <w:lang w:val="en-GB"/>
        </w:rPr>
      </w:pPr>
      <w:r w:rsidRPr="004C1D1A">
        <w:rPr>
          <w:rFonts w:cs="Times New Roman"/>
          <w:lang w:val="en-GB"/>
        </w:rPr>
        <w:t xml:space="preserve">where </w:t>
      </w:r>
      <m:oMath>
        <m:r>
          <w:rPr>
            <w:rFonts w:ascii="Cambria Math" w:hAnsi="Cambria Math" w:cs="Times New Roman"/>
            <w:lang w:val="en-GB"/>
          </w:rPr>
          <m:t>χ=</m:t>
        </m:r>
        <m:d>
          <m:dPr>
            <m:begChr m:val="{"/>
            <m:endChr m:val="}"/>
            <m:ctrlPr>
              <w:rPr>
                <w:rFonts w:ascii="Cambria Math" w:hAnsi="Cambria Math" w:cs="Times New Roman"/>
                <w:i/>
                <w:lang w:val="en-GB"/>
              </w:rPr>
            </m:ctrlPr>
          </m:dPr>
          <m:e>
            <m:r>
              <w:rPr>
                <w:rFonts w:ascii="Cambria Math" w:hAnsi="Cambria Math" w:cs="Times New Roman"/>
                <w:lang w:val="en-GB"/>
              </w:rPr>
              <m:t>α,β,γ,δ,ε,</m:t>
            </m:r>
            <m:r>
              <w:rPr>
                <w:rFonts w:ascii="Cambria Math" w:hAnsi="Cambria Math" w:cs="Times New Roman"/>
              </w:rPr>
              <m:t>ζ</m:t>
            </m:r>
            <m:r>
              <w:rPr>
                <w:rFonts w:ascii="Cambria Math" w:hAnsi="Cambria Math" w:cs="Times New Roman"/>
                <w:lang w:val="en-GB"/>
              </w:rPr>
              <m:t>,</m:t>
            </m:r>
            <m:r>
              <w:rPr>
                <w:rFonts w:ascii="Cambria Math" w:hAnsi="Cambria Math" w:cs="Times New Roman"/>
              </w:rPr>
              <m:t>η</m:t>
            </m:r>
            <m:r>
              <w:rPr>
                <w:rFonts w:ascii="Cambria Math" w:hAnsi="Cambria Math" w:cs="Times New Roman"/>
                <w:lang w:val="en-GB"/>
              </w:rPr>
              <m:t>,</m:t>
            </m:r>
            <m:r>
              <w:rPr>
                <w:rFonts w:ascii="Cambria Math" w:hAnsi="Cambria Math" w:cs="Times New Roman"/>
              </w:rPr>
              <m:t>θ</m:t>
            </m:r>
          </m:e>
        </m:d>
      </m:oMath>
      <w:r w:rsidRPr="004C1D1A">
        <w:rPr>
          <w:rFonts w:cs="Times New Roman"/>
          <w:lang w:val="en-GB"/>
        </w:rPr>
        <w:t xml:space="preserve"> is the set of the fitting parameters. The search method most efficiently suited for eq. (3.2) is the interior point trust region approach proposed by Coleman and Li </w:t>
      </w:r>
      <w:r w:rsidRPr="004C1D1A">
        <w:rPr>
          <w:rFonts w:cs="Times New Roman"/>
          <w:lang w:val="en-GB"/>
        </w:rPr>
        <w:fldChar w:fldCharType="begin" w:fldLock="1"/>
      </w:r>
      <w:r>
        <w:rPr>
          <w:rFonts w:cs="Times New Roman"/>
          <w:lang w:val="en-GB"/>
        </w:rPr>
        <w:instrText>ADDIN CSL_CITATION {"citationItems":[{"id":"ITEM-1","itemData":{"DOI":"10.1137/0806023","ISBN":"10.1137/0806023","ISSN":"1052-6234","PMID":"2289","abstract":"We propose a new trust region approach for minimizing a nonlinear function subject to simple bounds. Unlike most existing methods, our proposed method does not require that a quadratic programming subproblem, with inequality constraints, be solved in each iteration. Instead, a solution to a trust region subproblem is defined by minimizing a quadratic function subject only to an ellipsoidal constraint. The iterates generated are strictly feasible. Our proposed method reduces to a standard trust region approach for the unconstrained problem when there are no upper or lower bounds on the variables. Global and local quadratic convergence is established. Preliminary numerical experiments are reported indicating the practical viability of this approach.","author":[{"dropping-particle":"","family":"Coleman","given":"Thomas F.","non-dropping-particle":"","parse-names":false,"suffix":""},{"dropping-particle":"","family":"Li","given":"Yuying","non-dropping-particle":"","parse-names":false,"suffix":""}],"container-title":"SIAM Journal on Optimization","id":"ITEM-1","issue":"2","issued":{"date-parts":[["1996"]]},"page":"418-445","title":"An Interior Trust Region Approach for Nonlinear Minimization Subject to Bounds","type":"article-journal","volume":"6"},"uris":["http://www.mendeley.com/documents/?uuid=34e48ac7-7cca-41a2-9b5c-003083460935"]}],"mendeley":{"formattedCitation":"[61]","plainTextFormattedCitation":"[61]","previouslyFormattedCitation":"[60]"},"properties":{"noteIndex":0},"schema":"https://github.com/citation-style-language/schema/raw/master/csl-citation.json"}</w:instrText>
      </w:r>
      <w:r w:rsidRPr="004C1D1A">
        <w:rPr>
          <w:rFonts w:cs="Times New Roman"/>
          <w:lang w:val="en-GB"/>
        </w:rPr>
        <w:fldChar w:fldCharType="separate"/>
      </w:r>
      <w:r w:rsidRPr="00AE58EB">
        <w:rPr>
          <w:rFonts w:cs="Times New Roman"/>
          <w:noProof/>
          <w:lang w:val="en-GB"/>
        </w:rPr>
        <w:t>[61]</w:t>
      </w:r>
      <w:r w:rsidRPr="004C1D1A">
        <w:rPr>
          <w:rFonts w:cs="Times New Roman"/>
          <w:lang w:val="en-GB"/>
        </w:rPr>
        <w:fldChar w:fldCharType="end"/>
      </w:r>
      <w:r w:rsidRPr="004C1D1A">
        <w:rPr>
          <w:rFonts w:cs="Times New Roman"/>
          <w:lang w:val="en-GB"/>
        </w:rPr>
        <w:t>. According to this approach, the quadratic trust region sub-problem is approximately solved as the minimization of a quadratic problem subjected to an appropriate ellipsoidal constraint.</w:t>
      </w:r>
    </w:p>
    <w:p w:rsidR="004833BB" w:rsidRPr="004C1D1A" w:rsidRDefault="004833BB" w:rsidP="004833BB">
      <w:pPr>
        <w:tabs>
          <w:tab w:val="left" w:pos="2977"/>
        </w:tabs>
        <w:ind w:firstLine="720"/>
        <w:jc w:val="both"/>
        <w:rPr>
          <w:rFonts w:cs="Times New Roman"/>
          <w:i/>
          <w:lang w:val="en-GB"/>
        </w:rPr>
      </w:pPr>
      <w:r w:rsidRPr="004C1D1A">
        <w:rPr>
          <w:rFonts w:cs="Times New Roman"/>
          <w:lang w:val="en-GB"/>
        </w:rPr>
        <w:t xml:space="preserve">The training procedure was performed over 11 points </w:t>
      </w:r>
      <w:r>
        <w:rPr>
          <w:rFonts w:cs="Times New Roman"/>
          <w:lang w:val="en-GB"/>
        </w:rPr>
        <w:t xml:space="preserve">randomly selected from the simulations performed </w:t>
      </w:r>
      <w:r w:rsidRPr="004C1D1A">
        <w:rPr>
          <w:rFonts w:cs="Times New Roman"/>
          <w:lang w:val="en-GB"/>
        </w:rPr>
        <w:t xml:space="preserve">and the optimal coefficients were found to be </w:t>
      </w:r>
      <m:oMath>
        <m:r>
          <w:rPr>
            <w:rFonts w:ascii="Cambria Math" w:hAnsi="Cambria Math" w:cs="Times New Roman"/>
            <w:lang w:val="en-GB"/>
          </w:rPr>
          <m:t xml:space="preserve">α= 470.845, β=139727.969, γ=314.024, δ= -29281.438, ε=2790.877, </m:t>
        </m:r>
        <m:r>
          <w:rPr>
            <w:rFonts w:ascii="Cambria Math" w:hAnsi="Cambria Math" w:cs="Times New Roman"/>
          </w:rPr>
          <m:t>ζ</m:t>
        </m:r>
        <m:r>
          <w:rPr>
            <w:rFonts w:ascii="Cambria Math" w:hAnsi="Cambria Math" w:cs="Times New Roman"/>
            <w:lang w:val="en-GB"/>
          </w:rPr>
          <m:t>= -59.967, η=1759.072 , θ= -21.437</m:t>
        </m:r>
      </m:oMath>
      <w:r w:rsidRPr="004C1D1A">
        <w:rPr>
          <w:rFonts w:cs="Times New Roman"/>
          <w:lang w:val="en-GB"/>
        </w:rPr>
        <w:t xml:space="preserve"> with root mean square error 1.75</w:t>
      </w:r>
      <w:r>
        <w:rPr>
          <w:rFonts w:cs="Times New Roman"/>
          <w:lang w:val="en-GB"/>
        </w:rPr>
        <w:t>8</w:t>
      </w:r>
      <w:r w:rsidRPr="004C1D1A">
        <w:rPr>
          <w:rFonts w:cs="Times New Roman"/>
          <w:lang w:val="en-GB"/>
        </w:rPr>
        <w:t xml:space="preserve">. The resulting surface is given in </w:t>
      </w:r>
      <w:r w:rsidRPr="004C1D1A">
        <w:rPr>
          <w:rFonts w:cs="Times New Roman"/>
          <w:lang w:val="en-GB"/>
        </w:rPr>
        <w:fldChar w:fldCharType="begin"/>
      </w:r>
      <w:r w:rsidRPr="004C1D1A">
        <w:rPr>
          <w:rFonts w:cs="Times New Roman"/>
          <w:lang w:val="en-GB"/>
        </w:rPr>
        <w:instrText xml:space="preserve"> REF _Ref533291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8</w:t>
      </w:r>
      <w:r w:rsidRPr="004C1D1A">
        <w:rPr>
          <w:rFonts w:cs="Times New Roman"/>
          <w:lang w:val="en-GB"/>
        </w:rPr>
        <w:fldChar w:fldCharType="end"/>
      </w:r>
      <w:r w:rsidRPr="004C1D1A">
        <w:rPr>
          <w:rFonts w:cs="Times New Roman"/>
          <w:lang w:val="en-GB"/>
        </w:rPr>
        <w:t xml:space="preserve"> and it is observed that for </w:t>
      </w:r>
      <m:oMath>
        <m:r>
          <w:rPr>
            <w:rFonts w:ascii="Cambria Math" w:hAnsi="Cambria Math" w:cs="Times New Roman"/>
            <w:lang w:val="en-GB"/>
          </w:rPr>
          <m:t>c</m:t>
        </m:r>
      </m:oMath>
      <w:r w:rsidRPr="004C1D1A">
        <w:rPr>
          <w:rFonts w:cs="Times New Roman"/>
          <w:lang w:val="en-GB"/>
        </w:rPr>
        <w:t xml:space="preserve"> = 0.1</w:t>
      </w:r>
      <w:r>
        <w:rPr>
          <w:rFonts w:cs="Times New Roman"/>
          <w:lang w:val="en-GB"/>
        </w:rPr>
        <w:t>00</w:t>
      </w:r>
      <w:r w:rsidRPr="004C1D1A">
        <w:rPr>
          <w:rFonts w:cs="Times New Roman"/>
          <w:lang w:val="en-GB"/>
        </w:rPr>
        <w:t xml:space="preserve"> the values reach a plateau </w:t>
      </w:r>
      <w:r>
        <w:rPr>
          <w:rFonts w:cs="Times New Roman"/>
          <w:lang w:val="en-GB"/>
        </w:rPr>
        <w:t xml:space="preserve">between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oMath>
      <w:r w:rsidRPr="004C1D1A">
        <w:rPr>
          <w:rFonts w:cs="Times New Roman"/>
          <w:lang w:val="en-GB"/>
        </w:rPr>
        <w:t xml:space="preserve">= 0.075 </w:t>
      </w:r>
      <w:r>
        <w:rPr>
          <w:rFonts w:cs="Times New Roman"/>
          <w:lang w:val="en-GB"/>
        </w:rPr>
        <w:t>and</w:t>
      </w:r>
      <w:r w:rsidRPr="004C1D1A">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m:t>
        </m:r>
      </m:oMath>
      <w:r w:rsidRPr="004C1D1A">
        <w:rPr>
          <w:rFonts w:cs="Times New Roman"/>
          <w:lang w:val="en-GB"/>
        </w:rPr>
        <w:t xml:space="preserve"> 0.09</w:t>
      </w:r>
      <w:r>
        <w:rPr>
          <w:rFonts w:cs="Times New Roman"/>
          <w:lang w:val="en-GB"/>
        </w:rPr>
        <w:t>0</w:t>
      </w:r>
      <w:r w:rsidRPr="004C1D1A">
        <w:rPr>
          <w:rFonts w:cs="Times New Roman"/>
          <w:lang w:val="en-GB"/>
        </w:rPr>
        <w:t xml:space="preserve">. This could be due to finite size effects. In order to keep the density of the system at </w:t>
      </w:r>
      <m:oMath>
        <m:r>
          <w:rPr>
            <w:rFonts w:ascii="Cambria Math" w:hAnsi="Cambria Math" w:cs="Times New Roman"/>
            <w:lang w:val="en-GB"/>
          </w:rPr>
          <m:t>ρ=3</m:t>
        </m:r>
      </m:oMath>
      <w:r w:rsidRPr="004C1D1A">
        <w:rPr>
          <w:rFonts w:cs="Times New Roman"/>
          <w:lang w:val="en-GB"/>
        </w:rPr>
        <w:t xml:space="preserve"> the number of surfactants cannot exceed a maximum value and thus the length of the formed micelle </w:t>
      </w:r>
      <w:r>
        <w:rPr>
          <w:rFonts w:cs="Times New Roman"/>
          <w:lang w:val="en-GB"/>
        </w:rPr>
        <w:t>should</w:t>
      </w:r>
      <w:r w:rsidRPr="004C1D1A">
        <w:rPr>
          <w:rFonts w:cs="Times New Roman"/>
          <w:lang w:val="en-GB"/>
        </w:rPr>
        <w:t xml:space="preserve"> never exceed a specific length, in this case </w:t>
      </w:r>
      <w:r>
        <w:rPr>
          <w:rFonts w:cs="Times New Roman"/>
          <w:lang w:val="en-GB"/>
        </w:rPr>
        <w:t xml:space="preserve">based on the box size, 24. The amplitude of the stem points in </w:t>
      </w:r>
      <w:r>
        <w:rPr>
          <w:rFonts w:cs="Times New Roman"/>
          <w:lang w:val="en-GB"/>
        </w:rPr>
        <w:fldChar w:fldCharType="begin"/>
      </w:r>
      <w:r>
        <w:rPr>
          <w:rFonts w:cs="Times New Roman"/>
          <w:lang w:val="en-GB"/>
        </w:rPr>
        <w:instrText xml:space="preserve"> REF _Ref6506479 \h </w:instrText>
      </w:r>
      <w:r>
        <w:rPr>
          <w:rFonts w:cs="Times New Roman"/>
          <w:lang w:val="en-GB"/>
        </w:rPr>
      </w:r>
      <w:r>
        <w:rPr>
          <w:rFonts w:cs="Times New Roman"/>
          <w:lang w:val="en-GB"/>
        </w:rPr>
        <w:fldChar w:fldCharType="separate"/>
      </w:r>
      <w:r w:rsidRPr="00042B1A">
        <w:rPr>
          <w:lang w:val="en-GB"/>
        </w:rPr>
        <w:t>Fig.</w:t>
      </w:r>
      <w:r w:rsidRPr="00042B1A">
        <w:rPr>
          <w:noProof/>
          <w:lang w:val="en-GB"/>
        </w:rPr>
        <w:t>9</w:t>
      </w:r>
      <w:r>
        <w:rPr>
          <w:rFonts w:cs="Times New Roman"/>
          <w:lang w:val="en-GB"/>
        </w:rPr>
        <w:fldChar w:fldCharType="end"/>
      </w:r>
      <w:r>
        <w:rPr>
          <w:rFonts w:cs="Times New Roman"/>
          <w:lang w:val="en-GB"/>
        </w:rPr>
        <w:t xml:space="preserve"> depicts the distance (error) of the training points from the fitted surface. The maximum residual observed was 3.175 and the minimum was -2.179.</w:t>
      </w:r>
    </w:p>
    <w:p w:rsidR="004833BB" w:rsidRPr="004C1D1A" w:rsidRDefault="004833BB" w:rsidP="004833BB">
      <w:pPr>
        <w:jc w:val="both"/>
        <w:rPr>
          <w:rFonts w:cs="Times New Roman"/>
          <w:lang w:val="en-GB"/>
        </w:rPr>
      </w:pPr>
      <w:r w:rsidRPr="004C1D1A">
        <w:rPr>
          <w:rFonts w:cs="Times New Roman"/>
          <w:lang w:val="en-GB"/>
        </w:rPr>
        <w:tab/>
        <w:t>The model was verified using a data set of 6 test points (</w:t>
      </w:r>
      <w:r>
        <w:rPr>
          <w:rFonts w:cs="Times New Roman"/>
          <w:lang w:val="en-GB"/>
        </w:rPr>
        <w:fldChar w:fldCharType="begin"/>
      </w:r>
      <w:r>
        <w:rPr>
          <w:rFonts w:cs="Times New Roman"/>
          <w:lang w:val="en-GB"/>
        </w:rPr>
        <w:instrText xml:space="preserve"> REF _Ref12453620 \h </w:instrText>
      </w:r>
      <w:r>
        <w:rPr>
          <w:rFonts w:cs="Times New Roman"/>
          <w:lang w:val="en-GB"/>
        </w:rPr>
      </w:r>
      <w:r>
        <w:rPr>
          <w:rFonts w:cs="Times New Roman"/>
          <w:lang w:val="en-GB"/>
        </w:rPr>
        <w:fldChar w:fldCharType="separate"/>
      </w:r>
      <w:r w:rsidRPr="00042B1A">
        <w:rPr>
          <w:lang w:val="en-GB"/>
        </w:rPr>
        <w:t xml:space="preserve">Table </w:t>
      </w:r>
      <w:r w:rsidRPr="00042B1A">
        <w:rPr>
          <w:noProof/>
          <w:lang w:val="en-GB"/>
        </w:rPr>
        <w:t>6</w:t>
      </w:r>
      <w:r>
        <w:rPr>
          <w:rFonts w:cs="Times New Roman"/>
          <w:lang w:val="en-GB"/>
        </w:rPr>
        <w:fldChar w:fldCharType="end"/>
      </w:r>
      <w:r w:rsidRPr="004C1D1A">
        <w:rPr>
          <w:rFonts w:cs="Times New Roman"/>
          <w:lang w:val="en-GB"/>
        </w:rPr>
        <w:t xml:space="preserve">) that lie within the optimization boundaries and the mean percentage error (MPE) is calculated to be </w:t>
      </w:r>
      <w:r>
        <w:rPr>
          <w:rFonts w:cs="Times New Roman"/>
          <w:lang w:val="en-GB"/>
        </w:rPr>
        <w:t>14.370</w:t>
      </w:r>
      <w:r w:rsidRPr="004C1D1A">
        <w:rPr>
          <w:rFonts w:cs="Times New Roman"/>
          <w:lang w:val="en-GB"/>
        </w:rPr>
        <w:t xml:space="preserve">%. In the obtained phase diagram the </w:t>
      </w:r>
      <w:r>
        <w:rPr>
          <w:rFonts w:cs="Times New Roman"/>
          <w:lang w:val="en-GB"/>
        </w:rPr>
        <w:t>WLM</w:t>
      </w:r>
      <w:r w:rsidRPr="004C1D1A">
        <w:rPr>
          <w:rFonts w:cs="Times New Roman"/>
          <w:lang w:val="en-GB"/>
        </w:rPr>
        <w:t xml:space="preserve"> region extends beyond the boundaries shown in </w:t>
      </w:r>
      <w:r w:rsidRPr="004C1D1A">
        <w:rPr>
          <w:rFonts w:cs="Times New Roman"/>
          <w:lang w:val="en-GB"/>
        </w:rPr>
        <w:fldChar w:fldCharType="begin"/>
      </w:r>
      <w:r w:rsidRPr="004C1D1A">
        <w:rPr>
          <w:rFonts w:cs="Times New Roman"/>
          <w:lang w:val="en-GB"/>
        </w:rPr>
        <w:instrText xml:space="preserve"> REF _Ref533291 \h  \* MERGEFORMAT </w:instrText>
      </w:r>
      <w:r w:rsidRPr="004C1D1A">
        <w:rPr>
          <w:rFonts w:cs="Times New Roman"/>
          <w:lang w:val="en-GB"/>
        </w:rPr>
      </w:r>
      <w:r w:rsidRPr="004C1D1A">
        <w:rPr>
          <w:rFonts w:cs="Times New Roman"/>
          <w:lang w:val="en-GB"/>
        </w:rPr>
        <w:fldChar w:fldCharType="separate"/>
      </w:r>
      <w:r w:rsidRPr="00127399">
        <w:rPr>
          <w:rFonts w:cs="Times New Roman"/>
          <w:lang w:val="en-GB"/>
        </w:rPr>
        <w:t>Fig.</w:t>
      </w:r>
      <w:r w:rsidRPr="00127399">
        <w:rPr>
          <w:rFonts w:cs="Times New Roman"/>
          <w:noProof/>
          <w:lang w:val="en-GB"/>
        </w:rPr>
        <w:t>8</w:t>
      </w:r>
      <w:r w:rsidRPr="004C1D1A">
        <w:rPr>
          <w:rFonts w:cs="Times New Roman"/>
          <w:lang w:val="en-GB"/>
        </w:rPr>
        <w:fldChar w:fldCharType="end"/>
      </w:r>
      <w:r w:rsidRPr="004C1D1A">
        <w:rPr>
          <w:rFonts w:cs="Times New Roman"/>
          <w:lang w:val="en-GB"/>
        </w:rPr>
        <w:t xml:space="preserve">, </w:t>
      </w:r>
      <w:r w:rsidRPr="004C1D1A">
        <w:rPr>
          <w:rFonts w:cs="Times New Roman"/>
          <w:i/>
          <w:lang w:val="en-GB"/>
        </w:rPr>
        <w:t>i.e.</w:t>
      </w:r>
      <w:r w:rsidRPr="004C1D1A">
        <w:rPr>
          <w:rFonts w:cs="Times New Roman"/>
          <w:lang w:val="en-GB"/>
        </w:rPr>
        <w:t xml:space="preserve">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=0.120, c=0.05</m:t>
        </m:r>
      </m:oMath>
      <w:r>
        <w:rPr>
          <w:rFonts w:cs="Times New Roman"/>
          <w:lang w:val="en-GB"/>
        </w:rPr>
        <w:t>0</w:t>
      </w:r>
      <w:r w:rsidRPr="004C1D1A">
        <w:rPr>
          <w:rFonts w:cs="Times New Roman"/>
          <w:lang w:val="en-GB"/>
        </w:rPr>
        <w:t xml:space="preserve">. However these regions </w:t>
      </w:r>
      <w:r>
        <w:rPr>
          <w:rFonts w:cs="Times New Roman"/>
          <w:lang w:val="en-GB"/>
        </w:rPr>
        <w:t xml:space="preserve">are not included in the optimization process due to the significantly low number of micelles in the simulation box. Thus the regions that provide an insufficient sample were </w:t>
      </w:r>
      <w:r w:rsidRPr="004C1D1A">
        <w:rPr>
          <w:rFonts w:cs="Times New Roman"/>
          <w:lang w:val="en-GB"/>
        </w:rPr>
        <w:t xml:space="preserve">excluded from the domain of eq. (3.1). </w:t>
      </w:r>
    </w:p>
    <w:p w:rsidR="004833BB" w:rsidRPr="004C1D1A" w:rsidRDefault="004833BB" w:rsidP="004833BB">
      <w:pPr>
        <w:jc w:val="both"/>
        <w:rPr>
          <w:rFonts w:cs="Times New Roman"/>
          <w:lang w:val="en-GB"/>
        </w:rPr>
      </w:pPr>
      <w:r w:rsidRPr="004C1D1A">
        <w:rPr>
          <w:rFonts w:cs="Times New Roman"/>
          <w:lang w:val="en-GB"/>
        </w:rPr>
        <w:t xml:space="preserve">With eq. </w:t>
      </w:r>
      <w:r>
        <w:rPr>
          <w:rFonts w:cs="Times New Roman"/>
          <w:lang w:val="en-GB"/>
        </w:rPr>
        <w:t>(</w:t>
      </w:r>
      <w:r w:rsidRPr="004C1D1A">
        <w:rPr>
          <w:rFonts w:cs="Times New Roman"/>
          <w:lang w:val="en-GB"/>
        </w:rPr>
        <w:t>3.1</w:t>
      </w:r>
      <w:r>
        <w:rPr>
          <w:rFonts w:cs="Times New Roman"/>
          <w:lang w:val="en-GB"/>
        </w:rPr>
        <w:t>)</w:t>
      </w:r>
      <w:r w:rsidRPr="004C1D1A">
        <w:rPr>
          <w:rFonts w:cs="Times New Roman"/>
          <w:lang w:val="en-GB"/>
        </w:rPr>
        <w:t xml:space="preserve"> it is straightforward to calculate the expected contour length of the micelle without having to run extensive simulations by providing only the desired salt and SLES concentration within the given boundaries.</w:t>
      </w:r>
      <w:bookmarkStart w:id="22" w:name="_Ref1744044"/>
      <w:bookmarkStart w:id="23" w:name="_Ref1744037"/>
      <w:r w:rsidRPr="004C1D1A">
        <w:rPr>
          <w:rFonts w:cs="Times New Roman"/>
          <w:lang w:val="en-GB"/>
        </w:rPr>
        <w:t xml:space="preserve"> This methodology can be also applied for other surfactant solutions and provides a relation between components’ concentrations with associated bulk properties, minimizing the number of simulations needed.</w:t>
      </w:r>
      <w:bookmarkEnd w:id="22"/>
      <w:bookmarkEnd w:id="23"/>
    </w:p>
    <w:p w:rsidR="004833BB" w:rsidRPr="004C1D1A" w:rsidRDefault="004833BB" w:rsidP="004833BB">
      <w:pPr>
        <w:jc w:val="center"/>
        <w:rPr>
          <w:rFonts w:cs="Times New Roman"/>
        </w:rPr>
      </w:pPr>
      <w:r>
        <w:rPr>
          <w:rFonts w:cs="Times New Roman"/>
          <w:noProof/>
          <w:lang w:val="en-GB" w:eastAsia="en-GB" w:bidi="ar-SA"/>
        </w:rPr>
        <w:lastRenderedPageBreak/>
        <w:drawing>
          <wp:inline distT="0" distB="0" distL="0" distR="0" wp14:anchorId="0BBB7849" wp14:editId="3202406B">
            <wp:extent cx="3682257" cy="2833200"/>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emf"/>
                    <pic:cNvPicPr/>
                  </pic:nvPicPr>
                  <pic:blipFill>
                    <a:blip r:embed="rId19">
                      <a:extLst>
                        <a:ext uri="{28A0092B-C50C-407E-A947-70E740481C1C}">
                          <a14:useLocalDpi xmlns:a14="http://schemas.microsoft.com/office/drawing/2010/main" val="0"/>
                        </a:ext>
                      </a:extLst>
                    </a:blip>
                    <a:stretch>
                      <a:fillRect/>
                    </a:stretch>
                  </pic:blipFill>
                  <pic:spPr>
                    <a:xfrm>
                      <a:off x="0" y="0"/>
                      <a:ext cx="3682257" cy="2833200"/>
                    </a:xfrm>
                    <a:prstGeom prst="rect">
                      <a:avLst/>
                    </a:prstGeom>
                  </pic:spPr>
                </pic:pic>
              </a:graphicData>
            </a:graphic>
          </wp:inline>
        </w:drawing>
      </w:r>
    </w:p>
    <w:p w:rsidR="004833BB" w:rsidRDefault="004833BB" w:rsidP="004833BB">
      <w:pPr>
        <w:pStyle w:val="Caption"/>
        <w:rPr>
          <w:rFonts w:cs="Times New Roman"/>
        </w:rPr>
      </w:pPr>
      <w:bookmarkStart w:id="24" w:name="_Ref533291"/>
      <w:bookmarkStart w:id="25" w:name="_Ref2934630"/>
      <w:bookmarkStart w:id="26" w:name="_Toc12449937"/>
      <w:r>
        <w:rPr>
          <w:rFonts w:cs="Times New Roman"/>
        </w:rPr>
        <w:t>Fig.</w:t>
      </w:r>
      <w:r w:rsidRPr="004C1D1A">
        <w:rPr>
          <w:rFonts w:cs="Times New Roman"/>
        </w:rPr>
        <w:fldChar w:fldCharType="begin"/>
      </w:r>
      <w:r w:rsidRPr="004C1D1A">
        <w:rPr>
          <w:rFonts w:cs="Times New Roman"/>
        </w:rPr>
        <w:instrText xml:space="preserve"> SEQ Figure \* ARABIC </w:instrText>
      </w:r>
      <w:r w:rsidRPr="004C1D1A">
        <w:rPr>
          <w:rFonts w:cs="Times New Roman"/>
        </w:rPr>
        <w:fldChar w:fldCharType="separate"/>
      </w:r>
      <w:r>
        <w:rPr>
          <w:rFonts w:cs="Times New Roman"/>
          <w:noProof/>
        </w:rPr>
        <w:t>8</w:t>
      </w:r>
      <w:r w:rsidRPr="004C1D1A">
        <w:rPr>
          <w:rFonts w:cs="Times New Roman"/>
        </w:rPr>
        <w:fldChar w:fldCharType="end"/>
      </w:r>
      <w:bookmarkEnd w:id="24"/>
      <w:r w:rsidRPr="004C1D1A">
        <w:rPr>
          <w:rFonts w:cs="Times New Roman"/>
        </w:rPr>
        <w:t>: Optimal fitted surface on contour length points for SLES</w:t>
      </w:r>
      <w:r w:rsidRPr="004C1D1A">
        <w:rPr>
          <w:rFonts w:cs="Times New Roman"/>
          <w:vertAlign w:val="subscript"/>
        </w:rPr>
        <w:t>1</w:t>
      </w:r>
      <w:r w:rsidRPr="004C1D1A">
        <w:rPr>
          <w:rFonts w:cs="Times New Roman"/>
        </w:rPr>
        <w:t>EO. The dots represent simulation results; black dots are the training points and the red dots the testing points. The grey area depicts the fitted surface.</w:t>
      </w:r>
      <w:bookmarkEnd w:id="25"/>
      <w:bookmarkEnd w:id="26"/>
      <w:r w:rsidRPr="004C1D1A">
        <w:rPr>
          <w:rFonts w:cs="Times New Roman"/>
        </w:rPr>
        <w:t xml:space="preserve"> </w:t>
      </w:r>
    </w:p>
    <w:p w:rsidR="004833BB" w:rsidRDefault="004833BB" w:rsidP="004833BB">
      <w:pPr>
        <w:keepNext/>
        <w:jc w:val="center"/>
      </w:pPr>
      <w:r>
        <w:rPr>
          <w:noProof/>
          <w:lang w:val="en-GB" w:eastAsia="en-GB" w:bidi="ar-SA"/>
        </w:rPr>
        <w:drawing>
          <wp:inline distT="0" distB="0" distL="0" distR="0" wp14:anchorId="1B6E0FAE" wp14:editId="685C52A3">
            <wp:extent cx="3775777" cy="28332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als.emf"/>
                    <pic:cNvPicPr/>
                  </pic:nvPicPr>
                  <pic:blipFill>
                    <a:blip r:embed="rId20">
                      <a:extLst>
                        <a:ext uri="{28A0092B-C50C-407E-A947-70E740481C1C}">
                          <a14:useLocalDpi xmlns:a14="http://schemas.microsoft.com/office/drawing/2010/main" val="0"/>
                        </a:ext>
                      </a:extLst>
                    </a:blip>
                    <a:stretch>
                      <a:fillRect/>
                    </a:stretch>
                  </pic:blipFill>
                  <pic:spPr>
                    <a:xfrm>
                      <a:off x="0" y="0"/>
                      <a:ext cx="3775777" cy="2833200"/>
                    </a:xfrm>
                    <a:prstGeom prst="rect">
                      <a:avLst/>
                    </a:prstGeom>
                  </pic:spPr>
                </pic:pic>
              </a:graphicData>
            </a:graphic>
          </wp:inline>
        </w:drawing>
      </w:r>
    </w:p>
    <w:p w:rsidR="004833BB" w:rsidRPr="001C11E1" w:rsidRDefault="004833BB" w:rsidP="004833BB">
      <w:pPr>
        <w:pStyle w:val="Caption"/>
        <w:jc w:val="left"/>
      </w:pPr>
      <w:bookmarkStart w:id="27" w:name="_Ref6506479"/>
      <w:bookmarkStart w:id="28" w:name="_Toc12449938"/>
      <w:r>
        <w:t>Fig.</w:t>
      </w:r>
      <w:r w:rsidR="00A70B57">
        <w:fldChar w:fldCharType="begin"/>
      </w:r>
      <w:r w:rsidR="00A70B57">
        <w:instrText xml:space="preserve"> SEQ Figure \* ARABIC </w:instrText>
      </w:r>
      <w:r w:rsidR="00A70B57">
        <w:fldChar w:fldCharType="separate"/>
      </w:r>
      <w:r>
        <w:rPr>
          <w:noProof/>
        </w:rPr>
        <w:t>9</w:t>
      </w:r>
      <w:r w:rsidR="00A70B57">
        <w:rPr>
          <w:noProof/>
        </w:rPr>
        <w:fldChar w:fldCharType="end"/>
      </w:r>
      <w:bookmarkEnd w:id="27"/>
      <w:r>
        <w:t xml:space="preserve">: Residuals of training points from the optimal fitted surface in </w:t>
      </w:r>
      <w:r>
        <w:fldChar w:fldCharType="begin"/>
      </w:r>
      <w:r>
        <w:instrText xml:space="preserve"> REF _Ref533291 \h </w:instrText>
      </w:r>
      <w:r>
        <w:fldChar w:fldCharType="separate"/>
      </w:r>
      <w:r>
        <w:rPr>
          <w:rFonts w:cs="Times New Roman"/>
        </w:rPr>
        <w:t>Fig.</w:t>
      </w:r>
      <w:r>
        <w:rPr>
          <w:rFonts w:cs="Times New Roman"/>
          <w:noProof/>
        </w:rPr>
        <w:t>8</w:t>
      </w:r>
      <w:r>
        <w:fldChar w:fldCharType="end"/>
      </w:r>
      <w:r>
        <w:t>.</w:t>
      </w:r>
      <w:bookmarkEnd w:id="28"/>
    </w:p>
    <w:p w:rsidR="004833BB" w:rsidRPr="004C1D1A" w:rsidRDefault="004833BB" w:rsidP="004833BB">
      <w:pPr>
        <w:pStyle w:val="Heading2"/>
        <w:numPr>
          <w:ilvl w:val="0"/>
          <w:numId w:val="5"/>
        </w:numPr>
        <w:rPr>
          <w:rFonts w:cs="Times New Roman"/>
          <w:lang w:val="en-GB"/>
        </w:rPr>
      </w:pPr>
      <w:r w:rsidRPr="004C1D1A">
        <w:rPr>
          <w:rFonts w:cs="Times New Roman"/>
          <w:lang w:val="en-GB"/>
        </w:rPr>
        <w:t>CONCLUSIONS</w:t>
      </w:r>
    </w:p>
    <w:p w:rsidR="004833BB" w:rsidRPr="004C1D1A" w:rsidRDefault="004833BB" w:rsidP="004833BB">
      <w:pPr>
        <w:rPr>
          <w:rFonts w:cs="Times New Roman"/>
          <w:lang w:val="en-GB"/>
        </w:rPr>
      </w:pPr>
    </w:p>
    <w:p w:rsidR="004833BB" w:rsidRDefault="004833BB" w:rsidP="004833BB">
      <w:pPr>
        <w:ind w:firstLine="567"/>
        <w:jc w:val="both"/>
        <w:rPr>
          <w:rFonts w:cs="Times New Roman"/>
          <w:lang w:val="en-GB"/>
        </w:rPr>
      </w:pPr>
      <w:r>
        <w:rPr>
          <w:rFonts w:cs="Times New Roman"/>
          <w:lang w:val="en-GB"/>
        </w:rPr>
        <w:t xml:space="preserve">Due to the complicated and tedious synthetic route and the difficulty to experimentally characterise phase diagram of ionic surfactants </w:t>
      </w:r>
      <w:r>
        <w:rPr>
          <w:rFonts w:cs="Times New Roman"/>
          <w:lang w:val="en-GB"/>
        </w:rPr>
        <w:fldChar w:fldCharType="begin" w:fldLock="1"/>
      </w:r>
      <w:r>
        <w:rPr>
          <w:rFonts w:cs="Times New Roman"/>
          <w:lang w:val="en-GB"/>
        </w:rPr>
        <w:instrText>ADDIN CSL_CITATION {"citationItems":[{"id":"ITEM-1","itemData":{"DOI":"10.1016/j.jcis.2011.04.110","ISBN":"0021-9797","ISSN":"10957103","PMID":"21621216","abstract":"Two agro-based anionic surfactants containing an isosorbide moiety have been synthesized and their amphiphilic properties evaluated. Since isosorbide is now considered as an important platform chemical of the starch industry, these compounds could represent bio-sourced alternatives to the alkyl ether sulfates (notably lauryl ether sulfate, LES) that are based on petroleum-derived ethylene oxides. As isosorbide is an asymmetric diol, two isomers can be prepared (2-O-dodecyl isosorbide sulfate and 5-O-dodecyl isosorbide sulfate) that show significantly different aqueous properties as regards to their Krafft temperatures and critical micellar concentrations. 5-O-dodecyl isosorbide sulfate is the most soluble and the most efficient surfactant. It possesses a much lower critical micelle concentration (cmc) than sodium dodecyl sulfate, SDS, leading to comparable foaming properties with a three times lower concentration. Its behavior compares well with the one of pure diethoxylated dodecyl sulfate that has also been prepared and evaluated in this work. © 2011 Elsevier Inc.","author":[{"dropping-particle":"","family":"Lavergne","given":"Aurélie","non-dropping-particle":"","parse-names":false,"suffix":""},{"dropping-particle":"","family":"Zhu","given":"Ying","non-dropping-particle":"","parse-names":false,"suffix":""},{"dropping-particle":"","family":"Pizzino","given":"Aldo","non-dropping-particle":"","parse-names":false,"suffix":""},{"dropping-particle":"","family":"Molinier","given":"Valérie","non-dropping-particle":"","parse-names":false,"suffix":""},{"dropping-particle":"","family":"Aubry","given":"Jean Marie","non-dropping-particle":"","parse-names":false,"suffix":""}],"container-title":"Journal of Colloid and Interface Science","id":"ITEM-1","issue":"2","issued":{"date-parts":[["2011"]]},"page":"645-653","title":"Synthesis and foaming properties of new anionic surfactants based on a renewable building block: Sodium dodecyl isosorbide sulfates","type":"article-journal","volume":"360"},"uris":["http://www.mendeley.com/documents/?uuid=535dc269-3cf3-4fba-8e82-081ae21f1e6f"]},{"id":"ITEM-2","itemData":{"DOI":"10.1039/c5nj00937e","ISSN":"13699261","abstract":"&lt;p&gt; Efficient ion transport and photo-deactivation was achieved from the self-assembled channel of &lt;italic&gt;o&lt;/italic&gt; -nitrobenzyl-based amphiphilic small molecules. &lt;/p&gt;","author":[{"dropping-particle":"","family":"Bao","given":"Chunyan","non-dropping-particle":"","parse-names":false,"suffix":""},{"dropping-particle":"","family":"Ma","given":"Meixin","non-dropping-particle":"","parse-names":false,"suffix":""},{"dropping-particle":"","family":"Meng","given":"Funa","non-dropping-particle":"","parse-names":false,"suffix":""},{"dropping-particle":"","family":"Lin","given":"Qiuning","non-dropping-particle":"","parse-names":false,"suffix":""},{"dropping-particle":"","family":"Zhu","given":"Linyong","non-dropping-particle":"","parse-names":false,"suffix":""}],"container-title":"New Journal of Chemistry","id":"ITEM-2","issue":"8","issued":{"date-parts":[["2015"]]},"page":"6297-6302","publisher":"Royal Society of Chemistry","title":"Efficient synthetic supramolecular channels and their light-deactivated ion transport in bilayer lipid membranes","type":"article-journal","volume":"39"},"uris":["http://www.mendeley.com/documents/?uuid=c627cd86-ba1a-40ab-988d-1c175b56698c"]}],"mendeley":{"formattedCitation":"[11,62]","plainTextFormattedCitation":"[11,62]","previouslyFormattedCitation":"[11,61]"},"properties":{"noteIndex":0},"schema":"https://github.com/citation-style-language/schema/raw/master/csl-citation.json"}</w:instrText>
      </w:r>
      <w:r>
        <w:rPr>
          <w:rFonts w:cs="Times New Roman"/>
          <w:lang w:val="en-GB"/>
        </w:rPr>
        <w:fldChar w:fldCharType="separate"/>
      </w:r>
      <w:r w:rsidRPr="00AE58EB">
        <w:rPr>
          <w:rFonts w:cs="Times New Roman"/>
          <w:noProof/>
          <w:lang w:val="en-GB"/>
        </w:rPr>
        <w:t>[11,62]</w:t>
      </w:r>
      <w:r>
        <w:rPr>
          <w:rFonts w:cs="Times New Roman"/>
          <w:lang w:val="en-GB"/>
        </w:rPr>
        <w:fldChar w:fldCharType="end"/>
      </w:r>
      <w:r>
        <w:rPr>
          <w:rFonts w:cs="Times New Roman"/>
          <w:lang w:val="en-GB"/>
        </w:rPr>
        <w:t xml:space="preserve">, published data on the mesophases formed by these amphiphilic molecules are scarce and those available refer to the commercially available mixtures which comprise of surfactant with different aliphatic chain lengths and degree of ethoxilation </w:t>
      </w:r>
      <w:r>
        <w:rPr>
          <w:rFonts w:cs="Times New Roman"/>
          <w:lang w:val="en-GB"/>
        </w:rPr>
        <w:fldChar w:fldCharType="begin" w:fldLock="1"/>
      </w:r>
      <w:r>
        <w:rPr>
          <w:rFonts w:cs="Times New Roman"/>
          <w:lang w:val="en-GB"/>
        </w:rPr>
        <w:instrText>ADDIN CSL_CITATION {"citationItems":[{"id":"ITEM-1","itemData":{"DOI":"10.1021/la4031848","ISSN":"07437463","abstract":"Neutron reflectivity, NR, and surface tension, ST, have been used to study the surface adsorption properties at the air-water interface of the anionic surfactant sodium polyethylene glycol monododecyl ether sulfate (sodium lauryl ether sulfate, SLES) in the presence of Al3+ multivalent counterions, by the addition of AlCl3. In the absence of AlCl3 and at low AlCl3 concentrations monolayer adsorption is observed. With increasing AlCl3 concentration, surface multilayer formation is observed, driven by SLES/Al3+ complex formation. The onset of multilayer formation occurs initially as a single bilayer or a multilayer structure with a limited number of bilayers, N, ≤3, and ultimately at higher AlCl3 concentrations N is large, &gt;20. The evolution in the surface structure is determined by the surfactant and AlCl3 concentrations, and the size of the polyethylene oxide group in the different SLES surfactants studied. From the NR data, approximate surface phase diagrams are constructed, and the evolution of the surface structure with surfactant and electrolyte concentration is shown to be dependent on the size of the polyethylene oxide group. As the polyethylene oxide group increases in size the multilayer formation requires increasingly higher surfactant and AlCl3 concentrations to promote the formation. This is attributed to the increased steric hindrance of the polyethylene oxide group disrupting SLES/Al3+ complex formation. © 2013 American Chemical Society.","author":[{"dropping-particle":"","family":"Xu","given":"Hui","non-dropping-particle":"","parse-names":false,"suffix":""},{"dropping-particle":"","family":"Penfold","given":"Jeffrey","non-dropping-particle":"","parse-names":false,"suffix":""},{"dropping-particle":"","family":"Thomas","given":"Robert K.","non-dropping-particle":"","parse-names":false,"suffix":""},{"dropping-particle":"","family":"Petkov","given":"Jordan T.","non-dropping-particle":"","parse-names":false,"suffix":""},{"dropping-particle":"","family":"Tucker","given":"Ian","non-dropping-particle":"","parse-names":false,"suffix":""},{"dropping-particle":"","family":"Webster","given":"John P.R.","non-dropping-particle":"","parse-names":false,"suffix":""}],"container-title":"Langmuir","id":"ITEM-1","issue":"41","issued":{"date-parts":[["2013"]]},"page":"12744-12753","title":"The formation of surface multilayers at the air-water interface from sodium diethylene glycol monoalkyl ether sulfate/AlCl3 solutions: The role of the alkyl chain length","type":"article-journal","volume":"29"},"uris":["http://www.mendeley.com/documents/?uuid=599cdcb3-10cf-4f44-abd8-471749a585b0"]},{"id":"ITEM-2","itemData":{"DOI":"10.1007/s11743-009-1131-9","ISSN":"10973958","abstract":"The effect of ethoxylation on self-aggregation behavior in aqueous media of sodium lauryl ether sulfate (SLES), C12H25 (OCH 2CH2)xOSO3Na, where x = 1 (SLE1S), x = 2 (SLE2S), and x = (SLE3S) was investigated. CMCs were determined from the effect of surfactant concentration on (2,2' -bipyridine dichlororuthenium(II) hexahydrate (Ru(bipy)3 2+ ,2Cl- ) fluorescence emission. Aggregation numbers and micelle concentrations were estimated from the fluorescent quenching of (Ru(bipy)3 2+,2Cl-) by 9-methylanthracene. Interestingly, critical micelle concentrations (0.80 μM), average aggregation numbers (N = 43), and micelle concentrations ([M] = 40 lM) were found to be independent of the degree of ethoxylation. Water solubilization enhancement of naphthalene and pyrene by SLES was also investigated. Water solubility enhancement for naphthalene and pyrene was observed with increasing degrees of ethoxylation and follow the order SLE3S &gt; SLE2S &gt; SLE1S. The higher impact of oxyethylene (OE) groups on solubilization enhancement of naphthalene over pyrene was taken as an indication for a preferential distribution of the relatively polar organic naphthalene molecule at the outer layer of the micelle in close contact with the hydrated oxyethylene units, thereby allowing for a strong polycyclic aromatic hydrocarbon (PAH) - micelle interaction. On the other hand, pyrene molecule is preferentially distributed in the core of the micelle, relatively far away from the OE units located at the micelle-water interface for PAH-micelle interaction to occur. Water solubility enhancement for both PAHs was also was associated with an increase in SLES micelle size with the degree of ethoxylation as well as to the accessibility of the locus solubilization for the solute. Copyright © 2009 AOCS.","author":[{"dropping-particle":"","family":"Aoudia","given":"Mohamed","non-dropping-particle":"","parse-names":false,"suffix":""},{"dropping-particle":"","family":"Al-Haddabi","given":"Butheina","non-dropping-particle":"","parse-names":false,"suffix":""},{"dropping-particle":"","family":"Al-Harthi","given":"Zuleikha","non-dropping-particle":"","parse-names":false,"suffix":""},{"dropping-particle":"","family":"Al-Rubkhi","given":"Aadel","non-dropping-particle":"","parse-names":false,"suffix":""}],"container-title":"Journal of Surfactants and Detergents","id":"ITEM-2","issue":"1","issued":{"date-parts":[["2010"]]},"page":"103-111","title":"Sodium lauryl ether sulfate micellization and water solubility enhancement towards naphthalene and pyrene: Effect of the degree of ethoxylation","type":"article-journal","volume":"13"},"uris":["http://www.mendeley.com/documents/?uuid=3ea85f74-5c1c-46e2-b36d-31275c584838"]},{"id":"ITEM-3","itemData":{"DOI":"10.1016/j.colsurfa.2008.10.026","author":[{"dropping-particle":"","family":"Aoudia","given":"Mohamed","non-dropping-particle":"","parse-names":false,"suffix":""},{"dropping-particle":"","family":"Al-maamari","given":"Thurayia","non-dropping-particle":"","parse-names":false,"suffix":""},{"dropping-particle":"","family":"Al-salmi","given":"Fathiya","non-dropping-particle":"","parse-names":false,"suffix":""}],"id":"ITEM-3","issued":{"date-parts":[["2009"]]},"page":"55-61","title":"Colloids and Surfaces A : Physicochemical and Engineering Aspects Intramolecular and intermolecular ion – dipole interactions in sodium lauryl ether sulfates ( SLES ) self-aggregation and mixed micellization with Triton X-100","type":"article-journal","volume":"335"},"uris":["http://www.mendeley.com/documents/?uuid=b2f7806f-3c25-4e30-93db-a0830ca831fc"]},{"id":"ITEM-4","itemData":{"DOI":"10.1021/la011751x","ISSN":"07437463","abstract":"We have studied equilibrium phase behavior and nonequilibrium particle aggregation in a mixture of charged colloids and ionic wormlike micelles. At high enough concentration of micelles but below the overlap concentration (c*), separation into coexisting colloidal gas and liquid phases occurred. Beyond c*, we observed rapid, nonequilibrium aggregation of the particles to form \"transient gels\". These space-filling structures can show rapid gravitational collapse after an initial \"latency period\", a behavior also found in model colloid-polymer mixtures at high polymer concentrations. The depletion mechanism was found to play an important role in phase separation. Diffusing wave spectroscopy (DWS) was used to study the dynamics of a transient gel. After about one-half of the latency period, the fluctuations in the scattered intensity increased significantly. The particle dynamics slowed during the whole latency period, consistent with the aging of the gel structure. After gravitational collapse, a very broad, logarithmic decay of the correlation function was detected for the sediment.","author":[{"dropping-particle":"","family":"Petekidis","given":"G.","non-dropping-particle":"","parse-names":false,"suffix":""},{"dropping-particle":"","family":"Galloway","given":"L. A.","non-dropping-particle":"","parse-names":false,"suffix":""},{"dropping-particle":"","family":"Egelhaaf","given":"S. U.","non-dropping-particle":"","parse-names":false,"suffix":""},{"dropping-particle":"","family":"Cates","given":"M. E.","non-dropping-particle":"","parse-names":false,"suffix":""},{"dropping-particle":"","family":"Poon","given":"W. C K","non-dropping-particle":"","parse-names":false,"suffix":""}],"container-title":"Langmuir","id":"ITEM-4","issue":"11","issued":{"date-parts":[["2002"]]},"page":"4248-4257","title":"Mixtures of colloids and wormlike micelles: Phase behavior and kinetics","type":"article-journal","volume":"18"},"uris":["http://www.mendeley.com/documents/?uuid=49d7be34-ee34-4cd2-803f-28bd66c3f468"]},{"id":"ITEM-5","itemData":{"author":[{"dropping-particle":"","family":"Cheon","given":"Ho-young","non-dropping-particle":"","parse-names":false,"suffix":""},{"dropping-particle":"","family":"Jeong","given":"Noh-hee","non-dropping-particle":"","parse-names":false,"suffix":""},{"dropping-particle":"","family":"Kim","given":"Hong-un","non-dropping-particle":"","parse-names":false,"suffix":""}],"id":"ITEM-5","issue":"1","issued":{"date-parts":[["2005"]]},"page":"107-114","title":"Spontaneous Vesicle Formation in Aqueous Mixtures of Cationic Gemini Surfactant and Sodium Lauryl Ether Sulfate","type":"article-journal","volume":"26"},"uris":["http://www.mendeley.com/documents/?uuid=55448642-99d2-4113-9a7f-1643ee255f39"]},{"id":"ITEM-6","itemData":{"DOI":"10.1021/acs.jpcb.7b00257","ISSN":"1520-6106","author":[{"dropping-particle":"","family":"Tang","given":"Xueming","non-dropping-particle":"","parse-names":false,"suffix":""},{"dropping-particle":"","family":"Zou","given":"Weizhong","non-dropping-particle":"","parse-names":false,"suffix":""},{"dropping-particle":"","family":"Koenig","given":"Peter H.","non-dropping-particle":"","parse-names":false,"suffix":""},{"dropping-particle":"","family":"McConaughy","given":"Shawn D.","non-dropping-particle":"","parse-names":false,"suffix":""},{"dropping-particle":"","family":"Weaver","given":"Michael R.","non-dropping-particle":"","parse-names":false,"suffix":""},{"dropping-particle":"","family":"Eike","given":"David Michael","non-dropping-particle":"","parse-names":false,"suffix":""},{"dropping-particle":"","family":"Schmidt","given":"Michael J.","non-dropping-particle":"","parse-names":false,"suffix":""},{"dropping-particle":"","family":"Larson","given":"Ronald G.","non-dropping-particle":"","parse-names":false,"suffix":""}],"container-title":"The Journal of Physical Chemistry B","id":"ITEM-6","issue":"11","issued":{"date-parts":[["2017"]]},"page":"2468-2485","title":"Multi-Scale Modeling of the Effects of Salt and Perfume Raw Materials on the Rheological Properties of Commercial Thread-like Micellar Solutions","type":"article-journal","volume":"121"},"uris":["http://www.mendeley.com/documents/?uuid=7b1bf2ad-357f-43e9-8b6d-dae16c5bbdc5"]}],"mendeley":{"formattedCitation":"[7,12–16]","plainTextFormattedCitation":"[7,12–16]","previouslyFormattedCitation":"[7,12–16]"},"properties":{"noteIndex":0},"schema":"https://github.com/citation-style-language/schema/raw/master/csl-citation.json"}</w:instrText>
      </w:r>
      <w:r>
        <w:rPr>
          <w:rFonts w:cs="Times New Roman"/>
          <w:lang w:val="en-GB"/>
        </w:rPr>
        <w:fldChar w:fldCharType="separate"/>
      </w:r>
      <w:r w:rsidRPr="00704A58">
        <w:rPr>
          <w:rFonts w:cs="Times New Roman"/>
          <w:noProof/>
          <w:lang w:val="en-GB"/>
        </w:rPr>
        <w:t>[7,12–16]</w:t>
      </w:r>
      <w:r>
        <w:rPr>
          <w:rFonts w:cs="Times New Roman"/>
          <w:lang w:val="en-GB"/>
        </w:rPr>
        <w:fldChar w:fldCharType="end"/>
      </w:r>
      <w:r>
        <w:rPr>
          <w:rFonts w:cs="Times New Roman"/>
          <w:lang w:val="en-GB"/>
        </w:rPr>
        <w:t>. Due to this wide range of impurities found in the samples,</w:t>
      </w:r>
      <w:r w:rsidRPr="00F56EA3">
        <w:rPr>
          <w:rFonts w:cs="Times New Roman"/>
          <w:lang w:val="en-GB"/>
        </w:rPr>
        <w:t xml:space="preserve"> </w:t>
      </w:r>
      <w:r>
        <w:rPr>
          <w:rFonts w:cs="Times New Roman"/>
          <w:lang w:val="en-GB"/>
        </w:rPr>
        <w:t xml:space="preserve">available experimental data such as </w:t>
      </w:r>
      <w:r w:rsidRPr="00F56EA3">
        <w:rPr>
          <w:rFonts w:cs="Times New Roman"/>
          <w:lang w:val="en-GB"/>
        </w:rPr>
        <w:t xml:space="preserve">CMC are </w:t>
      </w:r>
      <w:r>
        <w:rPr>
          <w:rFonts w:cs="Times New Roman"/>
          <w:lang w:val="en-GB"/>
        </w:rPr>
        <w:t xml:space="preserve">therefore </w:t>
      </w:r>
      <w:r w:rsidRPr="00F56EA3">
        <w:rPr>
          <w:rFonts w:cs="Times New Roman"/>
          <w:lang w:val="en-GB"/>
        </w:rPr>
        <w:t xml:space="preserve">difficult to rationalize </w:t>
      </w:r>
      <w:r>
        <w:rPr>
          <w:rFonts w:cs="Times New Roman"/>
          <w:lang w:val="en-GB"/>
        </w:rPr>
        <w:fldChar w:fldCharType="begin" w:fldLock="1"/>
      </w:r>
      <w:r>
        <w:rPr>
          <w:rFonts w:cs="Times New Roman"/>
          <w:lang w:val="en-GB"/>
        </w:rPr>
        <w:instrText>ADDIN CSL_CITATION {"citationItems":[{"id":"ITEM-1","itemData":{"DOI":"10.1021/acs.jpcb.8b11568","ISSN":"15205207","abstract":"We wished to compile a data set of results from the experimental literature to support the development and validation of accurate computational models (force fields) for an important class of micelle-forming nonionic surfactant compounds, the poly(ethylene oxide) alkyl ethers, usually denoted $\\mathrm{C_nE_m}$. However, careful examination of the experimental literature exposed a striking degree of variation in values reported for critical micelle concentrations (CMC) and mean aggregation numbers ($\\mathrm{N_{agg}}$). This variation was so large that it masked important trends known to exist within this family of molecules, thereby rendering most of the literature data to be of limited utility for force field development. In this work we describe some reasons for the wide variability in the experimental literature, and we present a set of CMC and aggregation number data for twelve $\\mathrm{C_nE_m}$ compounds that we feel {\\em{is}} appropriate to use for the construction of and validation of computational ...","author":[{"dropping-particle":"","family":"Swope","given":"William C.","non-dropping-particle":"","parse-names":false,"suffix":""},{"dropping-particle":"","family":"Johnston","given":"Michael A.","non-dropping-particle":"","parse-names":false,"suffix":""},{"dropping-particle":"","family":"Duff","given":"Andrew Ian","non-dropping-particle":"","parse-names":false,"suffix":""},{"dropping-particle":"","family":"McDonagh","given":"James L.","non-dropping-particle":"","parse-names":false,"suffix":""},{"dropping-particle":"","family":"Anderson","given":"Richard L.","non-dropping-particle":"","parse-names":false,"suffix":""},{"dropping-particle":"","family":"Alva","given":"Gabriela","non-dropping-particle":"","parse-names":false,"suffix":""},{"dropping-particle":"","family":"Tek","given":"Andy T.","non-dropping-particle":"","parse-names":false,"suffix":""},{"dropping-particle":"","family":"Maschino","given":"Alexander P.","non-dropping-particle":"","parse-names":false,"suffix":""}],"container-title":"Journal of Physical Chemistry B","id":"ITEM-1","issue":"7","issued":{"date-parts":[["2019"]]},"page":"1696-1707","title":"Challenge to reconcile experimental micellar properties of the cnem nonionic surfactant family","type":"article-journal","volume":"123"},"uris":["http://www.mendeley.com/documents/?uuid=530ba261-8c81-46f3-a35c-67cd9ebdd2e5"]}],"mendeley":{"formattedCitation":"[63]","plainTextFormattedCitation":"[63]","previouslyFormattedCitation":"[62]"},"properties":{"noteIndex":0},"schema":"https://github.com/citation-style-language/schema/raw/master/csl-citation.json"}</w:instrText>
      </w:r>
      <w:r>
        <w:rPr>
          <w:rFonts w:cs="Times New Roman"/>
          <w:lang w:val="en-GB"/>
        </w:rPr>
        <w:fldChar w:fldCharType="separate"/>
      </w:r>
      <w:r w:rsidRPr="00AE58EB">
        <w:rPr>
          <w:rFonts w:cs="Times New Roman"/>
          <w:noProof/>
          <w:lang w:val="en-GB"/>
        </w:rPr>
        <w:t>[63]</w:t>
      </w:r>
      <w:r>
        <w:rPr>
          <w:rFonts w:cs="Times New Roman"/>
          <w:lang w:val="en-GB"/>
        </w:rPr>
        <w:fldChar w:fldCharType="end"/>
      </w:r>
      <w:r>
        <w:rPr>
          <w:rFonts w:cs="Times New Roman"/>
          <w:lang w:val="en-GB"/>
        </w:rPr>
        <w:t xml:space="preserve"> making impossible to develop rigorous structure-property relationships. Since the rheological properties of the solution and the solubility of the surfactant depend on the morphologies of these mesophases, it is of fundamental importance to characterize pure component systems to disentangle the complicated interplay of enthalpic effects that lead to the formation of specific mesostructures.  </w:t>
      </w:r>
    </w:p>
    <w:p w:rsidR="004833BB" w:rsidRDefault="004833BB" w:rsidP="004833BB">
      <w:pPr>
        <w:ind w:firstLine="567"/>
        <w:jc w:val="both"/>
        <w:rPr>
          <w:rFonts w:cs="Times New Roman"/>
          <w:lang w:val="en-GB"/>
        </w:rPr>
      </w:pPr>
      <w:r w:rsidRPr="004C1D1A">
        <w:rPr>
          <w:rFonts w:cs="Times New Roman"/>
          <w:lang w:val="en-GB"/>
        </w:rPr>
        <w:t xml:space="preserve">In the present paper </w:t>
      </w:r>
      <w:r>
        <w:rPr>
          <w:rFonts w:cs="Times New Roman"/>
          <w:lang w:val="en-GB"/>
        </w:rPr>
        <w:t xml:space="preserve">we present the first </w:t>
      </w:r>
      <w:r w:rsidRPr="004C1D1A">
        <w:rPr>
          <w:rFonts w:cs="Times New Roman"/>
          <w:lang w:val="en-GB"/>
        </w:rPr>
        <w:t>systematic study of the phase behaviour and the structural properties of single component SLES</w:t>
      </w:r>
      <w:r w:rsidRPr="004C1D1A">
        <w:rPr>
          <w:rFonts w:cs="Times New Roman"/>
          <w:vertAlign w:val="subscript"/>
          <w:lang w:val="en-GB"/>
        </w:rPr>
        <w:t>1</w:t>
      </w:r>
      <w:r w:rsidRPr="004C1D1A">
        <w:rPr>
          <w:rFonts w:cs="Times New Roman"/>
          <w:lang w:val="en-GB"/>
        </w:rPr>
        <w:t>EO</w:t>
      </w:r>
      <w:r>
        <w:rPr>
          <w:rFonts w:cs="Times New Roman"/>
          <w:lang w:val="en-GB"/>
        </w:rPr>
        <w:t xml:space="preserve"> surfactant focusing on </w:t>
      </w:r>
      <w:r w:rsidRPr="004C1D1A">
        <w:rPr>
          <w:rFonts w:cs="Times New Roman"/>
          <w:lang w:val="en-GB"/>
        </w:rPr>
        <w:t xml:space="preserve">the effects </w:t>
      </w:r>
      <w:r>
        <w:rPr>
          <w:rFonts w:cs="Times New Roman"/>
          <w:lang w:val="en-GB"/>
        </w:rPr>
        <w:t xml:space="preserve">that the solution </w:t>
      </w:r>
      <w:r w:rsidRPr="004C1D1A">
        <w:rPr>
          <w:rFonts w:cs="Times New Roman"/>
          <w:lang w:val="en-GB"/>
        </w:rPr>
        <w:t xml:space="preserve">salinity </w:t>
      </w:r>
      <w:r>
        <w:rPr>
          <w:rFonts w:cs="Times New Roman"/>
          <w:lang w:val="en-GB"/>
        </w:rPr>
        <w:t xml:space="preserve">have </w:t>
      </w:r>
      <w:r w:rsidRPr="004C1D1A">
        <w:rPr>
          <w:rFonts w:cs="Times New Roman"/>
          <w:lang w:val="en-GB"/>
        </w:rPr>
        <w:t xml:space="preserve">on the </w:t>
      </w:r>
      <w:r>
        <w:rPr>
          <w:rFonts w:cs="Times New Roman"/>
          <w:lang w:val="en-GB"/>
        </w:rPr>
        <w:t>micellar morphology.</w:t>
      </w:r>
      <w:r w:rsidRPr="004C1D1A">
        <w:rPr>
          <w:rFonts w:cs="Times New Roman"/>
          <w:lang w:val="en-GB"/>
        </w:rPr>
        <w:t xml:space="preserve"> </w:t>
      </w:r>
      <w:r>
        <w:rPr>
          <w:rFonts w:cs="Times New Roman"/>
          <w:lang w:val="en-GB"/>
        </w:rPr>
        <w:t>The predicted phases (</w:t>
      </w:r>
      <w:r w:rsidRPr="004C1D1A">
        <w:rPr>
          <w:rFonts w:cs="Times New Roman"/>
          <w:i/>
          <w:iCs/>
          <w:lang w:val="en-GB"/>
        </w:rPr>
        <w:t>i.e.</w:t>
      </w:r>
      <w:r w:rsidRPr="004C1D1A">
        <w:rPr>
          <w:rFonts w:cs="Times New Roman"/>
          <w:lang w:val="en-GB"/>
        </w:rPr>
        <w:t xml:space="preserve"> spherical, rods, worm-</w:t>
      </w:r>
      <w:r w:rsidRPr="004C1D1A">
        <w:rPr>
          <w:rFonts w:cs="Times New Roman"/>
          <w:lang w:val="en-GB"/>
        </w:rPr>
        <w:lastRenderedPageBreak/>
        <w:t>like micelles and branches</w:t>
      </w:r>
      <w:r>
        <w:rPr>
          <w:rFonts w:cs="Times New Roman"/>
          <w:lang w:val="en-GB"/>
        </w:rPr>
        <w:t xml:space="preserve">) are in agreement with the few rheological measurements available </w:t>
      </w:r>
      <w:r>
        <w:rPr>
          <w:rFonts w:cs="Times New Roman"/>
          <w:lang w:val="en-GB"/>
        </w:rPr>
        <w:fldChar w:fldCharType="begin" w:fldLock="1"/>
      </w:r>
      <w:r>
        <w:rPr>
          <w:rFonts w:cs="Times New Roman"/>
          <w:lang w:val="en-GB"/>
        </w:rPr>
        <w:instrText>ADDIN CSL_CITATION {"citationItems":[{"id":"ITEM-1","itemData":{"DOI":"10.1039/C2SM27078A","ISSN":"1744-683X","abstract":"The impact of NaCl and small hydrophobic molecules, used in perfumery, on the viscoelastic properties of aqueous solutions of sodium lauryl ether sulphate is studied. As the salt concentration increases, the viscosity passes through a maximum. Empirically, this behaviour is well known and is referred to as the 'salt curve'. Dynamic rheological measurements revealed a detailed picture of how salt affects the different length scales in the entangled wormlike micelles. Adding hydrophobic molecules does not change the shape of the salt curve, but they can shift the maximum to lower salt concentrations and alter the peak viscosity. The shift in the salt curve can generally be understood as due to either flattening of the interface, caused by insertion of amphiphilic molecules into the surfactant layer, or micellar swelling, caused by solubilization of very hydrophobic molecules in the micellar core. The viscosity decrease at the salt curve maximum is inversely proportional to the hydrophobicity of the added molecules, so less hydrophobic compounds cause larger decreases. It is hypothesized that these molecules interact with the surfactant headgroups and thereby soften the interfacial film. Our analysis suggests that the addition of hydrophobic additives reduces the persistence length and results in an effective shortening of the micelles. Introduction Giant wormlike micelles are elongated, semi-</w:instrText>
      </w:r>
      <w:r>
        <w:rPr>
          <w:rFonts w:cs="Times New Roman" w:hint="eastAsia"/>
          <w:lang w:val="en-GB"/>
        </w:rPr>
        <w:instrText></w:instrText>
      </w:r>
      <w:r>
        <w:rPr>
          <w:rFonts w:cs="Times New Roman"/>
          <w:lang w:val="en-GB"/>
        </w:rPr>
        <w:instrText>exible surfactant aggregates with remarkable rheological properties. Above a certain threshold concentration these surfactant solutions are viscoelastic due to the transient network formed by the entan-gled micelles. The viscoelasticity of giant micelles has been studied extensively, see for example ref. 1–5 and references therein. In contrast to polymers, wormlike micelles are dynamic systems that constantly break and recombine; therefore they are o</w:instrText>
      </w:r>
      <w:r>
        <w:rPr>
          <w:rFonts w:cs="Times New Roman" w:hint="eastAsia"/>
          <w:lang w:val="en-GB"/>
        </w:rPr>
        <w:instrText></w:instrText>
      </w:r>
      <w:r>
        <w:rPr>
          <w:rFonts w:cs="Times New Roman"/>
          <w:lang w:val="en-GB"/>
        </w:rPr>
        <w:instrText xml:space="preserve">en referred to as \" living polymers \" . 6,7 Understanding the viscoelasticity of wormlike micelles is very challenging as there are multiple pertinent length scales and stress relaxation mechanisms. Nevertheless, viscoelasticity gives a fascinating insight into the relationship between the molecular structure of such complex </w:instrText>
      </w:r>
      <w:r>
        <w:rPr>
          <w:rFonts w:cs="Times New Roman" w:hint="eastAsia"/>
          <w:lang w:val="en-GB"/>
        </w:rPr>
        <w:instrText></w:instrText>
      </w:r>
      <w:r>
        <w:rPr>
          <w:rFonts w:cs="Times New Roman"/>
          <w:lang w:val="en-GB"/>
        </w:rPr>
        <w:instrText xml:space="preserve">uids and their mechanical properties, and its understanding is important for the design and the development of industrial products containing giant wormlike micelles. These have many applications, including fracture </w:instrText>
      </w:r>
      <w:r>
        <w:rPr>
          <w:rFonts w:cs="Times New Roman" w:hint="eastAsia"/>
          <w:lang w:val="en-GB"/>
        </w:rPr>
        <w:instrText></w:instrText>
      </w:r>
      <w:r>
        <w:rPr>
          <w:rFonts w:cs="Times New Roman"/>
          <w:lang w:val="en-GB"/>
        </w:rPr>
        <w:instrText xml:space="preserve">uids in oil </w:instrText>
      </w:r>
      <w:r>
        <w:rPr>
          <w:rFonts w:cs="Times New Roman" w:hint="eastAsia"/>
          <w:lang w:val="en-GB"/>
        </w:rPr>
        <w:instrText></w:instrText>
      </w:r>
      <w:r>
        <w:rPr>
          <w:rFonts w:cs="Times New Roman"/>
          <w:lang w:val="en-GB"/>
        </w:rPr>
        <w:instrText>elds, drag reduction agents in hydrodynamic engineering and many home …","author":[{"dropping-particle":"","family":"Parker","given":"Alan","non-dropping-particle":"","parse-names":false,"suffix":""},{"dropping-particle":"","family":"Fieber","given":"Wolfgang","non-dropping-particle":"","parse-names":false,"suffix":""}],"container-title":"Soft Matter","id":"ITEM-1","issue":"4","issued":{"date-parts":[["2013"]]},"page":"1203-1213","title":"Viscoelasticity of anionic wormlike micelles: effects of ionic strength and small hydrophobic molecules","type":"article-journal","volume":"9"},"uris":["http://www.mendeley.com/documents/?uuid=80bba3de-2795-459c-ac2e-286551fb8e87"]}],"mendeley":{"formattedCitation":"[6]","plainTextFormattedCitation":"[6]","previouslyFormattedCitation":"[6]"},"properties":{"noteIndex":0},"schema":"https://github.com/citation-style-language/schema/raw/master/csl-citation.json"}</w:instrText>
      </w:r>
      <w:r>
        <w:rPr>
          <w:rFonts w:cs="Times New Roman"/>
          <w:lang w:val="en-GB"/>
        </w:rPr>
        <w:fldChar w:fldCharType="separate"/>
      </w:r>
      <w:r w:rsidRPr="00BE7489">
        <w:rPr>
          <w:rFonts w:cs="Times New Roman"/>
          <w:noProof/>
          <w:lang w:val="en-GB"/>
        </w:rPr>
        <w:t>[6]</w:t>
      </w:r>
      <w:r>
        <w:rPr>
          <w:rFonts w:cs="Times New Roman"/>
          <w:lang w:val="en-GB"/>
        </w:rPr>
        <w:fldChar w:fldCharType="end"/>
      </w:r>
      <w:r>
        <w:rPr>
          <w:rFonts w:cs="Times New Roman"/>
          <w:lang w:val="en-GB"/>
        </w:rPr>
        <w:t xml:space="preserve"> and with theoretical predictions based on the packing parameter </w:t>
      </w:r>
      <w:r>
        <w:rPr>
          <w:rFonts w:cs="Times New Roman"/>
          <w:lang w:val="en-GB"/>
        </w:rPr>
        <w:fldChar w:fldCharType="begin" w:fldLock="1"/>
      </w:r>
      <w:r>
        <w:rPr>
          <w:rFonts w:cs="Times New Roman"/>
          <w:lang w:val="en-GB"/>
        </w:rPr>
        <w:instrText>ADDIN CSL_CITATION {"citationItems":[{"id":"ITEM-1","itemData":{"ISBN":"0-12-375181-0","author":[{"dropping-particle":"","family":"Jacob N. Israelachvili","given":"","non-dropping-particle":"","parse-names":false,"suffix":""}],"id":"ITEM-1","issued":{"date-parts":[["1991"]]},"publisher":"Academic press LTD","title":"Intermolecular and surface forces","type":"book"},"uris":["http://www.mendeley.com/documents/?uuid=3d6eba62-9619-46c3-8ac1-a559e22b82f8"]}],"mendeley":{"formattedCitation":"[50]","plainTextFormattedCitation":"[50]","previouslyFormattedCitation":"[49]"},"properties":{"noteIndex":0},"schema":"https://github.com/citation-style-language/schema/raw/master/csl-citation.json"}</w:instrText>
      </w:r>
      <w:r>
        <w:rPr>
          <w:rFonts w:cs="Times New Roman"/>
          <w:lang w:val="en-GB"/>
        </w:rPr>
        <w:fldChar w:fldCharType="separate"/>
      </w:r>
      <w:r w:rsidRPr="00AE58EB">
        <w:rPr>
          <w:rFonts w:cs="Times New Roman"/>
          <w:noProof/>
          <w:lang w:val="en-GB"/>
        </w:rPr>
        <w:t>[50]</w:t>
      </w:r>
      <w:r>
        <w:rPr>
          <w:rFonts w:cs="Times New Roman"/>
          <w:lang w:val="en-GB"/>
        </w:rPr>
        <w:fldChar w:fldCharType="end"/>
      </w:r>
      <w:r>
        <w:rPr>
          <w:rFonts w:cs="Times New Roman"/>
          <w:lang w:val="en-GB"/>
        </w:rPr>
        <w:t xml:space="preserve">. </w:t>
      </w:r>
    </w:p>
    <w:p w:rsidR="004833BB" w:rsidRPr="004C1D1A" w:rsidRDefault="004833BB" w:rsidP="004833BB">
      <w:pPr>
        <w:ind w:firstLine="567"/>
        <w:jc w:val="both"/>
        <w:rPr>
          <w:rFonts w:cs="Times New Roman"/>
          <w:lang w:val="en-GB"/>
        </w:rPr>
      </w:pPr>
      <w:r>
        <w:rPr>
          <w:rFonts w:cs="Times New Roman"/>
          <w:lang w:val="en-GB"/>
        </w:rPr>
        <w:t>In particular we observe s</w:t>
      </w:r>
      <w:r w:rsidRPr="004C1D1A">
        <w:rPr>
          <w:rFonts w:cs="Times New Roman"/>
          <w:lang w:val="en-GB"/>
        </w:rPr>
        <w:t>pherical micelles at low salt concentrations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=0.010, 0.020</m:t>
        </m:r>
      </m:oMath>
      <w:r w:rsidRPr="004C1D1A">
        <w:rPr>
          <w:rFonts w:cs="Times New Roman"/>
          <w:lang w:val="en-GB"/>
        </w:rPr>
        <w:t xml:space="preserve">) </w:t>
      </w:r>
      <w:r>
        <w:rPr>
          <w:rFonts w:cs="Times New Roman"/>
          <w:lang w:val="en-GB"/>
        </w:rPr>
        <w:t xml:space="preserve">that </w:t>
      </w:r>
      <w:r w:rsidRPr="004C1D1A">
        <w:rPr>
          <w:rFonts w:cs="Times New Roman"/>
          <w:lang w:val="en-GB"/>
        </w:rPr>
        <w:t xml:space="preserve">transition to rods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=0.040</m:t>
        </m:r>
      </m:oMath>
      <w:r w:rsidRPr="004C1D1A">
        <w:rPr>
          <w:rFonts w:cs="Times New Roman"/>
          <w:lang w:val="en-GB"/>
        </w:rPr>
        <w:t xml:space="preserve">. </w:t>
      </w:r>
      <w:r>
        <w:rPr>
          <w:rFonts w:cs="Times New Roman"/>
          <w:lang w:val="en-GB"/>
        </w:rPr>
        <w:t>For salt concentrations from 0.050 to 0.090, worm-like micelles</w:t>
      </w:r>
      <w:r w:rsidRPr="004C1D1A">
        <w:rPr>
          <w:rFonts w:cs="Times New Roman"/>
          <w:lang w:val="en-GB"/>
        </w:rPr>
        <w:t xml:space="preserve"> </w:t>
      </w:r>
      <w:r>
        <w:rPr>
          <w:rFonts w:cs="Times New Roman"/>
          <w:lang w:val="en-GB"/>
        </w:rPr>
        <w:t>start to form which then exhibit</w:t>
      </w:r>
      <w:r w:rsidRPr="004C1D1A">
        <w:rPr>
          <w:rFonts w:cs="Times New Roman"/>
          <w:lang w:val="en-GB"/>
        </w:rPr>
        <w:t xml:space="preserve"> branches </w:t>
      </w:r>
      <w:r>
        <w:rPr>
          <w:rFonts w:cs="Times New Roman"/>
          <w:lang w:val="en-GB"/>
        </w:rPr>
        <w:t>for</w:t>
      </w:r>
      <w:r w:rsidRPr="004C1D1A">
        <w:rPr>
          <w:rFonts w:cs="Times New Roman"/>
          <w:lang w:val="en-GB"/>
        </w:rPr>
        <w:t xml:space="preserve">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≥0.10</m:t>
        </m:r>
      </m:oMath>
      <w:r>
        <w:rPr>
          <w:rFonts w:cs="Times New Roman"/>
          <w:lang w:val="en-GB"/>
        </w:rPr>
        <w:t>0</w:t>
      </w:r>
      <w:r w:rsidRPr="004C1D1A">
        <w:rPr>
          <w:rFonts w:cs="Times New Roman"/>
          <w:lang w:val="en-GB"/>
        </w:rPr>
        <w:t xml:space="preserve">. </w:t>
      </w:r>
    </w:p>
    <w:p w:rsidR="004833BB" w:rsidRPr="004C1D1A" w:rsidRDefault="004833BB" w:rsidP="004833BB">
      <w:pPr>
        <w:ind w:firstLine="567"/>
        <w:jc w:val="both"/>
        <w:rPr>
          <w:rFonts w:cs="Times New Roman"/>
          <w:lang w:val="en-GB"/>
        </w:rPr>
      </w:pPr>
      <w:r w:rsidRPr="004C1D1A">
        <w:rPr>
          <w:rFonts w:cs="Times New Roman"/>
          <w:lang w:val="en-GB"/>
        </w:rPr>
        <w:t xml:space="preserve">The aggregation number was presented in probability distribution plots as a function of salt concentration and the packing parameters of these systems were calculated by fitting a </w:t>
      </w:r>
      <w:r>
        <w:rPr>
          <w:rFonts w:cs="Times New Roman"/>
          <w:lang w:val="en-GB"/>
        </w:rPr>
        <w:t>second</w:t>
      </w:r>
      <w:r w:rsidRPr="004C1D1A">
        <w:rPr>
          <w:rFonts w:cs="Times New Roman"/>
          <w:lang w:val="en-GB"/>
        </w:rPr>
        <w:t xml:space="preserve"> degree polynomial surface on groups of particles that define the micellar surface. The probability distribution of the packing parameter was reported showing a peak around 0.2</w:t>
      </w:r>
      <w:r>
        <w:rPr>
          <w:rFonts w:cs="Times New Roman"/>
          <w:lang w:val="en-GB"/>
        </w:rPr>
        <w:t>0</w:t>
      </w:r>
      <w:r w:rsidRPr="004C1D1A">
        <w:rPr>
          <w:rFonts w:cs="Times New Roman"/>
          <w:lang w:val="en-GB"/>
        </w:rPr>
        <w:t xml:space="preserve"> for spherical micelles and around 0.5</w:t>
      </w:r>
      <w:r>
        <w:rPr>
          <w:rFonts w:cs="Times New Roman"/>
          <w:lang w:val="en-GB"/>
        </w:rPr>
        <w:t>0</w:t>
      </w:r>
      <w:r w:rsidRPr="004C1D1A">
        <w:rPr>
          <w:rFonts w:cs="Times New Roman"/>
          <w:lang w:val="en-GB"/>
        </w:rPr>
        <w:t xml:space="preserve"> for rods and worm-like micelles confirming the morphologies assigned by visual inspection. The aspect ratio of spherical micelles was found to fluctuate around unity while in rods it resulted in a higher value on the micelle’s longest direction </w:t>
      </w:r>
      <w:r>
        <w:rPr>
          <w:rFonts w:cs="Times New Roman"/>
          <w:lang w:val="en-GB"/>
        </w:rPr>
        <w:t xml:space="preserve">again </w:t>
      </w:r>
      <w:r w:rsidRPr="004C1D1A">
        <w:rPr>
          <w:rFonts w:cs="Times New Roman"/>
          <w:lang w:val="en-GB"/>
        </w:rPr>
        <w:t xml:space="preserve">confirming the presence of rods. The calculation of the </w:t>
      </w:r>
      <w:r>
        <w:rPr>
          <w:rFonts w:cs="Times New Roman"/>
          <w:lang w:val="en-GB"/>
        </w:rPr>
        <w:t>structure factor</w:t>
      </w:r>
      <w:r w:rsidRPr="004C1D1A">
        <w:rPr>
          <w:rFonts w:cs="Times New Roman"/>
          <w:lang w:val="en-GB"/>
        </w:rPr>
        <w:t xml:space="preserve"> confirmed the geometrical analysis and can be used in the future for direct comparison with experimental studies. </w:t>
      </w:r>
    </w:p>
    <w:p w:rsidR="004833BB" w:rsidRDefault="004833BB" w:rsidP="004833BB">
      <w:pPr>
        <w:ind w:firstLine="567"/>
        <w:jc w:val="both"/>
        <w:rPr>
          <w:rFonts w:cs="Times New Roman"/>
          <w:lang w:val="en-GB"/>
        </w:rPr>
      </w:pPr>
      <w:r w:rsidRPr="004C1D1A">
        <w:rPr>
          <w:rFonts w:cs="Times New Roman"/>
          <w:lang w:val="en-GB"/>
        </w:rPr>
        <w:t>By comparing SLES</w:t>
      </w:r>
      <w:r w:rsidRPr="004C1D1A">
        <w:rPr>
          <w:rFonts w:cs="Times New Roman"/>
          <w:vertAlign w:val="subscript"/>
          <w:lang w:val="en-GB"/>
        </w:rPr>
        <w:t>1</w:t>
      </w:r>
      <w:r w:rsidRPr="004C1D1A">
        <w:rPr>
          <w:rFonts w:cs="Times New Roman"/>
          <w:lang w:val="en-GB"/>
        </w:rPr>
        <w:t>EO with SLES</w:t>
      </w:r>
      <w:r w:rsidRPr="004C1D1A">
        <w:rPr>
          <w:rFonts w:cs="Times New Roman"/>
          <w:vertAlign w:val="subscript"/>
          <w:lang w:val="en-GB"/>
        </w:rPr>
        <w:t>2</w:t>
      </w:r>
      <w:r w:rsidRPr="004C1D1A">
        <w:rPr>
          <w:rFonts w:cs="Times New Roman"/>
          <w:lang w:val="en-GB"/>
        </w:rPr>
        <w:t>EO, SLES</w:t>
      </w:r>
      <w:r w:rsidRPr="004C1D1A">
        <w:rPr>
          <w:rFonts w:cs="Times New Roman"/>
          <w:vertAlign w:val="subscript"/>
          <w:lang w:val="en-GB"/>
        </w:rPr>
        <w:t>3</w:t>
      </w:r>
      <w:r w:rsidRPr="004C1D1A">
        <w:rPr>
          <w:rFonts w:cs="Times New Roman"/>
          <w:lang w:val="en-GB"/>
        </w:rPr>
        <w:t xml:space="preserve">EO it was evident that the presence of longer ethoxyl chains within the surfactants resulted in a delayed appearance of rods and worm-like micelles. Surfactants with 3 ethoxyl groups form still spherical micelles at </w:t>
      </w: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m:t>
        </m:r>
      </m:oMath>
      <w:r>
        <w:rPr>
          <w:rFonts w:cs="Times New Roman"/>
          <w:lang w:val="en-GB"/>
        </w:rPr>
        <w:t>0</w:t>
      </w:r>
      <w:r w:rsidRPr="004C1D1A">
        <w:rPr>
          <w:rFonts w:cs="Times New Roman"/>
          <w:lang w:val="en-GB"/>
        </w:rPr>
        <w:t xml:space="preserve"> indicating that the overall phase diagram for SLES</w:t>
      </w:r>
      <w:r w:rsidRPr="004C1D1A">
        <w:rPr>
          <w:rFonts w:cs="Times New Roman"/>
          <w:vertAlign w:val="subscript"/>
          <w:lang w:val="en-GB"/>
        </w:rPr>
        <w:t>2</w:t>
      </w:r>
      <w:r>
        <w:rPr>
          <w:rFonts w:cs="Times New Roman"/>
          <w:lang w:val="en-GB"/>
        </w:rPr>
        <w:t xml:space="preserve">EO and </w:t>
      </w:r>
      <w:r w:rsidRPr="004C1D1A">
        <w:rPr>
          <w:rFonts w:cs="Times New Roman"/>
          <w:lang w:val="en-GB"/>
        </w:rPr>
        <w:t>SLES</w:t>
      </w:r>
      <w:r w:rsidRPr="004C1D1A">
        <w:rPr>
          <w:rFonts w:cs="Times New Roman"/>
          <w:vertAlign w:val="subscript"/>
          <w:lang w:val="en-GB"/>
        </w:rPr>
        <w:t>3</w:t>
      </w:r>
      <w:r w:rsidRPr="004C1D1A">
        <w:rPr>
          <w:rFonts w:cs="Times New Roman"/>
          <w:lang w:val="en-GB"/>
        </w:rPr>
        <w:t>EO</w:t>
      </w:r>
      <w:r w:rsidRPr="004C1D1A" w:rsidDel="001429BE">
        <w:rPr>
          <w:rFonts w:cs="Times New Roman"/>
          <w:lang w:val="en-GB"/>
        </w:rPr>
        <w:t xml:space="preserve"> </w:t>
      </w:r>
      <w:r w:rsidRPr="004C1D1A">
        <w:rPr>
          <w:rFonts w:cs="Times New Roman"/>
          <w:lang w:val="en-GB"/>
        </w:rPr>
        <w:t>is expected to be similar to that of SLES</w:t>
      </w:r>
      <w:r w:rsidRPr="004C1D1A">
        <w:rPr>
          <w:rFonts w:cs="Times New Roman"/>
          <w:vertAlign w:val="subscript"/>
          <w:lang w:val="en-GB"/>
        </w:rPr>
        <w:t>1</w:t>
      </w:r>
      <w:r w:rsidRPr="004C1D1A">
        <w:rPr>
          <w:rFonts w:cs="Times New Roman"/>
          <w:lang w:val="en-GB"/>
        </w:rPr>
        <w:t>EO but shifted to the right. It is interesting to notice that</w:t>
      </w:r>
      <w:r>
        <w:rPr>
          <w:rFonts w:cs="Times New Roman"/>
          <w:lang w:val="en-GB"/>
        </w:rPr>
        <w:t xml:space="preserve">, </w:t>
      </w:r>
      <w:r w:rsidRPr="00996D84">
        <w:rPr>
          <w:rFonts w:cs="Times New Roman"/>
          <w:lang w:val="en-GB"/>
        </w:rPr>
        <w:t>counterintuitively</w:t>
      </w:r>
      <w:r>
        <w:rPr>
          <w:rFonts w:cs="Times New Roman"/>
          <w:lang w:val="en-GB"/>
        </w:rPr>
        <w:t>,</w:t>
      </w:r>
      <w:r w:rsidRPr="004C1D1A">
        <w:rPr>
          <w:rFonts w:cs="Times New Roman"/>
          <w:lang w:val="en-GB"/>
        </w:rPr>
        <w:t xml:space="preserve"> the presence of more ethoxyl groups tends to reduce polydispersity in terms of micellar shapes</w:t>
      </w:r>
      <w:r>
        <w:rPr>
          <w:rFonts w:cs="Times New Roman"/>
          <w:lang w:val="en-GB"/>
        </w:rPr>
        <w:t xml:space="preserve"> </w:t>
      </w:r>
      <w:r>
        <w:rPr>
          <w:rFonts w:cs="Times New Roman"/>
          <w:lang w:val="en-GB"/>
        </w:rPr>
        <w:fldChar w:fldCharType="begin" w:fldLock="1"/>
      </w:r>
      <w:r>
        <w:rPr>
          <w:rFonts w:cs="Times New Roman"/>
          <w:lang w:val="en-GB"/>
        </w:rPr>
        <w:instrText>ADDIN CSL_CITATION {"citationItems":[{"id":"ITEM-1","itemData":{"DOI":"10.1051/jphyslet:019850046020095300","ISSN":"0302-072X","author":[{"dropping-particle":"","family":"Zana","given":"R.;","non-dropping-particle":"","parse-names":false,"suffix":""},{"dropping-particle":"","family":"Weill","given":"C.","non-dropping-particle":"","parse-names":false,"suffix":""}],"container-title":"Journal de Physique Lettres","id":"ITEM-1","issue":"20","issued":{"date-parts":[["1985"]]},"page":"953-960","title":"Effect of temperature on the aggregation behaviour of nonionic surfactants in aqueous solutions","type":"article-journal","volume":"46"},"uris":["http://www.mendeley.com/documents/?uuid=f0d6f7f2-9557-478a-8753-eba616517f87"]}],"mendeley":{"formattedCitation":"[60]","plainTextFormattedCitation":"[60]","previouslyFormattedCitation":"[59]"},"properties":{"noteIndex":0},"schema":"https://github.com/citation-style-language/schema/raw/master/csl-citation.json"}</w:instrText>
      </w:r>
      <w:r>
        <w:rPr>
          <w:rFonts w:cs="Times New Roman"/>
          <w:lang w:val="en-GB"/>
        </w:rPr>
        <w:fldChar w:fldCharType="separate"/>
      </w:r>
      <w:r w:rsidRPr="00AE58EB">
        <w:rPr>
          <w:rFonts w:cs="Times New Roman"/>
          <w:noProof/>
          <w:lang w:val="en-GB"/>
        </w:rPr>
        <w:t>[60]</w:t>
      </w:r>
      <w:r>
        <w:rPr>
          <w:rFonts w:cs="Times New Roman"/>
          <w:lang w:val="en-GB"/>
        </w:rPr>
        <w:fldChar w:fldCharType="end"/>
      </w:r>
      <w:r>
        <w:rPr>
          <w:rFonts w:cs="Times New Roman"/>
          <w:lang w:val="en-GB"/>
        </w:rPr>
        <w:t>.</w:t>
      </w:r>
    </w:p>
    <w:p w:rsidR="004833BB" w:rsidRDefault="004833BB" w:rsidP="004833BB">
      <w:pPr>
        <w:ind w:firstLine="567"/>
        <w:jc w:val="both"/>
        <w:rPr>
          <w:rFonts w:cs="Times New Roman"/>
          <w:lang w:val="en-GB"/>
        </w:rPr>
      </w:pPr>
      <w:r w:rsidRPr="004C1D1A">
        <w:rPr>
          <w:rFonts w:cs="Times New Roman"/>
          <w:lang w:val="en-GB"/>
        </w:rPr>
        <w:t>For worm-like micelles the contour length increases by increasing salt and SLES</w:t>
      </w:r>
      <w:r w:rsidRPr="004C1D1A">
        <w:rPr>
          <w:rFonts w:cs="Times New Roman"/>
          <w:vertAlign w:val="subscript"/>
          <w:lang w:val="en-GB"/>
        </w:rPr>
        <w:t>1</w:t>
      </w:r>
      <w:r w:rsidRPr="004C1D1A">
        <w:rPr>
          <w:rFonts w:cs="Times New Roman"/>
          <w:lang w:val="en-GB"/>
        </w:rPr>
        <w:t>EO concentration.</w:t>
      </w:r>
      <w:r w:rsidRPr="004C1D1A" w:rsidDel="00ED2CD7">
        <w:rPr>
          <w:rFonts w:cs="Times New Roman"/>
          <w:lang w:val="en-GB"/>
        </w:rPr>
        <w:t xml:space="preserve"> </w:t>
      </w:r>
      <w:r w:rsidRPr="004C1D1A">
        <w:rPr>
          <w:rFonts w:cs="Times New Roman"/>
          <w:lang w:val="en-GB"/>
        </w:rPr>
        <w:t>Based on this observation a prediction model of micellar contour length that provides a closed mathematical relation was developed. This methodology can be used as a tool in the design of new surfactants systems to predict the contour length and associated bulk properties (</w:t>
      </w:r>
      <w:r w:rsidRPr="004C1D1A">
        <w:rPr>
          <w:rFonts w:cs="Times New Roman"/>
          <w:i/>
          <w:lang w:val="en-GB"/>
        </w:rPr>
        <w:t>e.g.</w:t>
      </w:r>
      <w:r w:rsidRPr="004C1D1A">
        <w:rPr>
          <w:rFonts w:cs="Times New Roman"/>
          <w:lang w:val="en-GB"/>
        </w:rPr>
        <w:t xml:space="preserve"> viscosity), minimising the number of simulations</w:t>
      </w:r>
      <w:r>
        <w:rPr>
          <w:rFonts w:cs="Times New Roman"/>
          <w:lang w:val="en-GB"/>
        </w:rPr>
        <w:t xml:space="preserve"> and experiments</w:t>
      </w:r>
      <w:r w:rsidRPr="004C1D1A">
        <w:rPr>
          <w:rFonts w:cs="Times New Roman"/>
          <w:lang w:val="en-GB"/>
        </w:rPr>
        <w:t xml:space="preserve"> required. </w:t>
      </w:r>
    </w:p>
    <w:p w:rsidR="004833BB" w:rsidRDefault="004833BB" w:rsidP="004833BB">
      <w:pPr>
        <w:pStyle w:val="Heading2"/>
        <w:numPr>
          <w:ilvl w:val="1"/>
          <w:numId w:val="1"/>
        </w:numPr>
        <w:rPr>
          <w:lang w:val="en-GB"/>
        </w:rPr>
      </w:pPr>
      <w:r w:rsidRPr="00535DA0">
        <w:rPr>
          <w:rFonts w:cs="Times New Roman"/>
          <w:lang w:val="en-GB"/>
        </w:rPr>
        <w:t>ACKNOWLEDGEMENTS</w:t>
      </w:r>
    </w:p>
    <w:p w:rsidR="004833BB" w:rsidRPr="00535DA0" w:rsidRDefault="004833BB" w:rsidP="004833BB">
      <w:pPr>
        <w:jc w:val="both"/>
        <w:rPr>
          <w:rFonts w:cs="Times New Roman"/>
          <w:lang w:val="en-GB"/>
        </w:rPr>
      </w:pPr>
      <w:r w:rsidRPr="00535DA0">
        <w:rPr>
          <w:rFonts w:cs="Times New Roman"/>
          <w:lang w:val="en-GB"/>
        </w:rPr>
        <w:t>This work was carried out as part of the EPSRC and Unilever funded ‘‘CAFE4DM’’ Prosperity Partnership grant as part of a research consortium involving the University of Manchester, the University of Cambridge, STFC and Unilever (EP/R00482X/1).</w:t>
      </w:r>
      <w:r>
        <w:rPr>
          <w:rFonts w:cs="Times New Roman"/>
          <w:lang w:val="en-GB"/>
        </w:rPr>
        <w:t xml:space="preserve"> </w:t>
      </w:r>
      <w:r w:rsidRPr="009F0A06">
        <w:rPr>
          <w:lang w:val="en-GB"/>
        </w:rPr>
        <w:t>R</w:t>
      </w:r>
      <w:r>
        <w:rPr>
          <w:lang w:val="en-GB"/>
        </w:rPr>
        <w:t>.</w:t>
      </w:r>
      <w:r w:rsidRPr="009F0A06">
        <w:rPr>
          <w:lang w:val="en-GB"/>
        </w:rPr>
        <w:t>L</w:t>
      </w:r>
      <w:r>
        <w:rPr>
          <w:lang w:val="en-GB"/>
        </w:rPr>
        <w:t xml:space="preserve">. </w:t>
      </w:r>
      <w:r w:rsidRPr="009F0A06">
        <w:rPr>
          <w:lang w:val="en-GB"/>
        </w:rPr>
        <w:t>A</w:t>
      </w:r>
      <w:r>
        <w:rPr>
          <w:lang w:val="en-GB"/>
        </w:rPr>
        <w:t>nderson</w:t>
      </w:r>
      <w:r w:rsidRPr="009F0A06">
        <w:rPr>
          <w:lang w:val="en-GB"/>
        </w:rPr>
        <w:t xml:space="preserve"> and A</w:t>
      </w:r>
      <w:r>
        <w:rPr>
          <w:lang w:val="en-GB"/>
        </w:rPr>
        <w:t xml:space="preserve">. </w:t>
      </w:r>
      <w:r w:rsidRPr="009F0A06">
        <w:rPr>
          <w:lang w:val="en-GB"/>
        </w:rPr>
        <w:t>D</w:t>
      </w:r>
      <w:r>
        <w:rPr>
          <w:lang w:val="en-GB"/>
        </w:rPr>
        <w:t xml:space="preserve">el </w:t>
      </w:r>
      <w:r w:rsidRPr="009F0A06">
        <w:rPr>
          <w:lang w:val="en-GB"/>
        </w:rPr>
        <w:t>R</w:t>
      </w:r>
      <w:r>
        <w:rPr>
          <w:lang w:val="en-GB"/>
        </w:rPr>
        <w:t>egno</w:t>
      </w:r>
      <w:r w:rsidRPr="009F0A06">
        <w:rPr>
          <w:lang w:val="en-GB"/>
        </w:rPr>
        <w:t xml:space="preserve"> were supported by the STFC Hartree Centre’s Innovation: Return on Resea</w:t>
      </w:r>
      <w:r>
        <w:rPr>
          <w:lang w:val="en-GB"/>
        </w:rPr>
        <w:t>rch programme, funded by the De</w:t>
      </w:r>
      <w:r w:rsidRPr="009F0A06">
        <w:rPr>
          <w:lang w:val="en-GB"/>
        </w:rPr>
        <w:t>partment for Business, Energy &amp; Industrial Strategy.</w:t>
      </w:r>
      <w:r>
        <w:rPr>
          <w:rFonts w:cs="Times New Roman"/>
          <w:lang w:val="en-GB"/>
        </w:rPr>
        <w:t xml:space="preserve"> </w:t>
      </w:r>
      <w:r w:rsidRPr="00535DA0">
        <w:rPr>
          <w:rFonts w:cs="Times New Roman"/>
          <w:lang w:val="en-GB"/>
        </w:rPr>
        <w:t xml:space="preserve">We would also like to show our gratitude to Dr. Patrick Warren (Unilever's R&amp;D centre at Port Sunlight) for </w:t>
      </w:r>
      <w:r>
        <w:rPr>
          <w:rFonts w:cs="Times New Roman"/>
          <w:lang w:val="en-GB"/>
        </w:rPr>
        <w:t>insightful discussions and proof reading the manuscript</w:t>
      </w:r>
      <w:r w:rsidRPr="00535DA0">
        <w:rPr>
          <w:rFonts w:cs="Times New Roman"/>
          <w:lang w:val="en-GB"/>
        </w:rPr>
        <w:t>.</w:t>
      </w:r>
    </w:p>
    <w:p w:rsidR="004833BB" w:rsidRPr="004C1D1A" w:rsidRDefault="004833BB" w:rsidP="004833BB">
      <w:pPr>
        <w:pStyle w:val="Heading2"/>
        <w:numPr>
          <w:ilvl w:val="1"/>
          <w:numId w:val="1"/>
        </w:numPr>
        <w:rPr>
          <w:rFonts w:cs="Times New Roman"/>
          <w:lang w:val="en-GB"/>
        </w:rPr>
      </w:pPr>
      <w:r w:rsidRPr="004C1D1A">
        <w:rPr>
          <w:rFonts w:cs="Times New Roman"/>
          <w:lang w:val="en-GB"/>
        </w:rPr>
        <w:t>REFERENCES</w:t>
      </w:r>
      <w:bookmarkEnd w:id="0"/>
      <w:bookmarkEnd w:id="1"/>
    </w:p>
    <w:p w:rsidR="004833BB" w:rsidRPr="00BD7B27" w:rsidRDefault="004833BB" w:rsidP="004833BB">
      <w:pPr>
        <w:autoSpaceDE w:val="0"/>
        <w:autoSpaceDN w:val="0"/>
        <w:adjustRightInd w:val="0"/>
        <w:ind w:left="640" w:hanging="640"/>
        <w:rPr>
          <w:rFonts w:cs="Times New Roman"/>
          <w:noProof/>
          <w:lang w:val="en-GB"/>
        </w:rPr>
      </w:pPr>
      <w:r w:rsidRPr="004C1D1A">
        <w:rPr>
          <w:rFonts w:cs="Times New Roman"/>
        </w:rPr>
        <w:fldChar w:fldCharType="begin" w:fldLock="1"/>
      </w:r>
      <w:r w:rsidRPr="004C1D1A">
        <w:rPr>
          <w:rFonts w:cs="Times New Roman"/>
          <w:lang w:val="en-GB"/>
        </w:rPr>
        <w:instrText xml:space="preserve">ADDIN Mendeley Bibliography CSL_BIBLIOGRAPHY </w:instrText>
      </w:r>
      <w:r w:rsidRPr="004C1D1A">
        <w:rPr>
          <w:rFonts w:cs="Times New Roman"/>
        </w:rPr>
        <w:fldChar w:fldCharType="separate"/>
      </w:r>
      <w:r w:rsidRPr="00BD7B27">
        <w:rPr>
          <w:rFonts w:cs="Times New Roman"/>
          <w:noProof/>
          <w:lang w:val="en-GB"/>
        </w:rPr>
        <w:t>[1]</w:t>
      </w:r>
      <w:r w:rsidRPr="00BD7B27">
        <w:rPr>
          <w:rFonts w:cs="Times New Roman"/>
          <w:noProof/>
          <w:lang w:val="en-GB"/>
        </w:rPr>
        <w:tab/>
        <w:t>K. Holmberg, J. Bo, B. Kronberg, Surfactants and Polymers in Aqueous solution, John Wiley &amp; Sons, Ltd., 2002. doi:10.1002/0470856424.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w:t>
      </w:r>
      <w:r w:rsidRPr="00BD7B27">
        <w:rPr>
          <w:rFonts w:cs="Times New Roman"/>
          <w:noProof/>
          <w:lang w:val="en-GB"/>
        </w:rPr>
        <w:tab/>
        <w:t>N.M.P. Rocha e Silva, H.M. Meira, F.C.G. Almeida, R. de C.F. Soares da Silva, D.G. Almeida, J.M. Luna, R.D. Rufino, V.A. Santos, L.A. Sarubbo, Natural Surfactants and Their Applications for Heavy Oil Removal in Industry, Sep. Purif. Rev. (2018) 1–15. doi:10.1080/15422119.2018.1474477.</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w:t>
      </w:r>
      <w:r w:rsidRPr="00BD7B27">
        <w:rPr>
          <w:rFonts w:cs="Times New Roman"/>
          <w:noProof/>
          <w:lang w:val="en-GB"/>
        </w:rPr>
        <w:tab/>
        <w:t>P.A. Cornwell, A review of shampoo surfactant technology: consumer benefits, raw materials and recent developments, Int. J. Cosmet. Sci. 40 (2018) 16–30. doi:10.1111/ics.12439.</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w:t>
      </w:r>
      <w:r w:rsidRPr="00BD7B27">
        <w:rPr>
          <w:rFonts w:cs="Times New Roman"/>
          <w:noProof/>
          <w:lang w:val="en-GB"/>
        </w:rPr>
        <w:tab/>
        <w:t>M.C. Prieto-Blanco, M. Fernández-Amado, P. López-Mahía, S. Muniategui-Lorenzo, D. Prada-Rodríguez, Surfactants in Cosmetics: Regulatory Aspects and analytical methods, in: Anal. Cosmet. Prod., Second Edi, Elsevier B.V., 2018: pp. 249–287. doi:10.1007/978-3-319-47164-8_6.</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w:t>
      </w:r>
      <w:r w:rsidRPr="00BD7B27">
        <w:rPr>
          <w:rFonts w:cs="Times New Roman"/>
          <w:noProof/>
          <w:lang w:val="en-GB"/>
        </w:rPr>
        <w:tab/>
        <w:t xml:space="preserve">N.A. Mazer, G.B. Benedek, M.C. Carey, An investigation of the micellar phase of sodium dodecyl sulfate in aqueous sodium chloride solutions using quasielastic light scattering </w:t>
      </w:r>
      <w:r w:rsidRPr="00BD7B27">
        <w:rPr>
          <w:rFonts w:cs="Times New Roman"/>
          <w:noProof/>
          <w:lang w:val="en-GB"/>
        </w:rPr>
        <w:lastRenderedPageBreak/>
        <w:t>spectroscopy, J. Phys. Chem. 80 (1976) 1075–1085. doi:10.1021/j100551a011.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[6]</w:t>
      </w:r>
      <w:r w:rsidRPr="00BD7B27">
        <w:rPr>
          <w:rFonts w:cs="Times New Roman"/>
          <w:noProof/>
          <w:lang w:val="en-GB"/>
        </w:rPr>
        <w:tab/>
        <w:t>A. Parker, W. Fieber, Viscoelasticity of anionic wormlike micelles: effects of ionic strength and small hydrophobic molecules, Soft Matter. 9 (2013) 1203–1213. doi:10.1039/C2SM27078A.</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[7]</w:t>
      </w:r>
      <w:r w:rsidRPr="00BD7B27">
        <w:rPr>
          <w:rFonts w:cs="Times New Roman"/>
          <w:noProof/>
          <w:lang w:val="en-GB"/>
        </w:rPr>
        <w:tab/>
        <w:t>H. Xu, J. Penfold, R.K. Thomas, J.T. Petkov, I. Tucker, J.P.R. Webster, The formation of surface multilayers at the air-water interface from sodium diethylene glycol monoalkyl ether sulfate/AlCl3 solutions: The role of the alkyl chain length, Langmuir. 29 (2013) 12744–12753. doi:10.1021/la4031848.</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[8]</w:t>
      </w:r>
      <w:r w:rsidRPr="00BD7B27">
        <w:rPr>
          <w:rFonts w:cs="Times New Roman"/>
          <w:noProof/>
          <w:lang w:val="en-GB"/>
        </w:rPr>
        <w:tab/>
        <w:t>R. Sowada, On the Lipophilic Nature of Oxyalkyl Groups in Alkyl Ether Sulphates, J. f. Prakt. Chemie. 323 (1981) 269–278. doi:https://doi.org/10.1002/prac.19813230212.</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[9]</w:t>
      </w:r>
      <w:r w:rsidRPr="00BD7B27">
        <w:rPr>
          <w:rFonts w:cs="Times New Roman"/>
          <w:noProof/>
          <w:lang w:val="en-GB"/>
        </w:rPr>
        <w:tab/>
        <w:t>T.F. Tadros, An introduction to surfactants, Cambridge University Press, Cambridge, 2014. doi:10.1017/CBO9781107415324.004.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[10]</w:t>
      </w:r>
      <w:r w:rsidRPr="00BD7B27">
        <w:rPr>
          <w:rFonts w:cs="Times New Roman"/>
          <w:noProof/>
          <w:lang w:val="en-GB"/>
        </w:rPr>
        <w:tab/>
        <w:t>Y. Moroi, Micelles, Theoretical and applied aspects, 1992. doi:10.1007/978-1-4899-0700-4.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[11]</w:t>
      </w:r>
      <w:r w:rsidRPr="00BD7B27">
        <w:rPr>
          <w:rFonts w:cs="Times New Roman"/>
          <w:noProof/>
          <w:lang w:val="en-GB"/>
        </w:rPr>
        <w:tab/>
        <w:t>A. Lavergne, Y. Zhu, A. Pizzino, V. Molinier, J.M. Aubry, Synthesis and foaming properties of new anionic surfactants based on a renewable building block: Sodium dodecyl isosorbide sulfates, J. Colloid Interface Sci. 360 (2011) 645–653. doi:10.1016/j.jcis.2011.04.110.</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[12]</w:t>
      </w:r>
      <w:r w:rsidRPr="00BD7B27">
        <w:rPr>
          <w:rFonts w:cs="Times New Roman"/>
          <w:noProof/>
          <w:lang w:val="en-GB"/>
        </w:rPr>
        <w:tab/>
        <w:t>G. Petekidis, L.A. Galloway, S.U. Egelhaaf, M.E. Cates, W.C.K. Poon, Mixtures of colloids and wormlike micelles: Phase behavior and kinetics, Langmuir. 18 (2002) 4248–4257. doi:10.1021/la011751x.</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[13]</w:t>
      </w:r>
      <w:r w:rsidRPr="00BD7B27">
        <w:rPr>
          <w:rFonts w:cs="Times New Roman"/>
          <w:noProof/>
          <w:lang w:val="en-GB"/>
        </w:rPr>
        <w:tab/>
        <w:t>M. Aoudia, T. Al-maamari, F. Al-salmi, Colloids and Surfaces A : Physicochemical and Engineering Aspects Intramolecular and intermolecular ion – dipole interactions in sodium lauryl ether sulfates ( SLES ) self-aggregation and mixed micellization with Triton X-100, 335 (2009) 55–61. doi:10.1016/j.colsurfa.2008.10.026.</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[14]</w:t>
      </w:r>
      <w:r w:rsidRPr="00BD7B27">
        <w:rPr>
          <w:rFonts w:cs="Times New Roman"/>
          <w:noProof/>
          <w:lang w:val="en-GB"/>
        </w:rPr>
        <w:tab/>
        <w:t>M. Aoudia, B. Al-Haddabi, Z. Al-Harthi, A. Al-Rubkhi, Sodium lauryl ether sulfate micellization and water solubility enhancement towards naphthalene and pyrene: Effect of the degree of ethoxylation, J. Surfactants Deterg. 13 (2010) 103–111. doi:10.1007/s11743-009-1131-9.</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[15]</w:t>
      </w:r>
      <w:r w:rsidRPr="00BD7B27">
        <w:rPr>
          <w:rFonts w:cs="Times New Roman"/>
          <w:noProof/>
          <w:lang w:val="en-GB"/>
        </w:rPr>
        <w:tab/>
        <w:t>H. Cheon, N. Jeong, H. Kim, Spontaneous Vesicle Formation in Aqueous Mixtures of Cationic Gemini Surfactant and Sodium Lauryl Ether Sulfate, 26 (2005) 107–114.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[16]</w:t>
      </w:r>
      <w:r w:rsidRPr="00BD7B27">
        <w:rPr>
          <w:rFonts w:cs="Times New Roman"/>
          <w:noProof/>
          <w:lang w:val="en-GB"/>
        </w:rPr>
        <w:tab/>
        <w:t>X. Tang, W. Zou, P.H. Koenig, S.D. McConaughy, M.R. Weaver, D.M. Eike, M.J. Schmidt, R.G. Larson, Multi-Scale Modeling of the Effects of Salt and Perfume Raw Materials on the Rheological Properties of Commercial Thread-like Micellar Solutions, J. Phys. Chem. B. 121 (2017) 2468–2485. doi:10.1021/acs.jpcb.7b00257.</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[17]</w:t>
      </w:r>
      <w:r w:rsidRPr="00BD7B27">
        <w:rPr>
          <w:rFonts w:cs="Times New Roman"/>
          <w:noProof/>
          <w:lang w:val="en-GB"/>
        </w:rPr>
        <w:tab/>
        <w:t>A.M. Bellocq, J. Biais, B. Clin, A. Gelot, P. Lalanne, B. Lemanceau, Three-dimensional phase diagram of the brine-toluene-butanol-sodium dodecyl sulfate system, J. Colloid Interface Sci. 74 (1980) 311–321. doi:10.1016/0021-9797(80)90200-3.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[18]</w:t>
      </w:r>
      <w:r w:rsidRPr="00BD7B27">
        <w:rPr>
          <w:rFonts w:cs="Times New Roman"/>
          <w:noProof/>
          <w:lang w:val="en-GB"/>
        </w:rPr>
        <w:tab/>
        <w:t>P. Kékicheff, C. Grabielle-Madelmont, M. Ollivon, Phase diagram of sodium dodecyl sulfate-water system. 1. A calorimetric study, J. Colloid Interface Sci. 131 (1989) 112–132. doi:10.1016/0021-9797(89)90151-3.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[19]</w:t>
      </w:r>
      <w:r w:rsidRPr="00BD7B27">
        <w:rPr>
          <w:rFonts w:cs="Times New Roman"/>
          <w:noProof/>
          <w:lang w:val="en-GB"/>
        </w:rPr>
        <w:tab/>
        <w:t>Y. Shi-Ling, C. Zheng-Ting, X. Gui-Ying, Mesoscopic Simulation of Aggregates in Surfactant/Oil/Water Systems, Chinese J. Chem. 21 (2010) 112–116. doi:10.1002/cjoc.20030210205.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[20]</w:t>
      </w:r>
      <w:r w:rsidRPr="00BD7B27">
        <w:rPr>
          <w:rFonts w:cs="Times New Roman"/>
          <w:noProof/>
          <w:lang w:val="en-GB"/>
        </w:rPr>
        <w:tab/>
        <w:t>M.A. Johnston, W.C. Swope, K.E. Jordan, P.B. Warren, M.G. Noro, D.J. Bray, R.L. Anderson, Toward a Standard Protocol for Micelle Simulation, J. Phys. Chem. B. 120 (2016) 6337–6351. doi:10.1021/acs.jpcb.6b03075.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[21]</w:t>
      </w:r>
      <w:r w:rsidRPr="00BD7B27">
        <w:rPr>
          <w:rFonts w:cs="Times New Roman"/>
          <w:noProof/>
          <w:lang w:val="en-GB"/>
        </w:rPr>
        <w:tab/>
        <w:t>L. Rekvig, M. Kranenburg, J. Vreede, B. Hafskjold, B. Smit, Investigation of surfactant efficiency using dissipative particle dynamics, Langmuir. 19 (2003) 8195–8205. doi:10.1021/la0346346.</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[22]</w:t>
      </w:r>
      <w:r w:rsidRPr="00BD7B27">
        <w:rPr>
          <w:rFonts w:cs="Times New Roman"/>
          <w:noProof/>
          <w:lang w:val="en-GB"/>
        </w:rPr>
        <w:tab/>
        <w:t>M.T. Lee, A. Vishnyakov, A. V. Neimark, Calculations of critical micelle concentration by dissipative particle dynamics simulations: The role of chain rigidity, J. Phys. Chem. B. 117 (2013) 10304–10310. doi:10.1021/jp4042028.</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[23]</w:t>
      </w:r>
      <w:r w:rsidRPr="00BD7B27">
        <w:rPr>
          <w:rFonts w:cs="Times New Roman"/>
          <w:noProof/>
          <w:lang w:val="en-GB"/>
        </w:rPr>
        <w:tab/>
        <w:t xml:space="preserve">H. Wang, X. Tang, D.M. Eike, R.G. Larson, P.H. Koenig, Scission Free Energies for </w:t>
      </w:r>
      <w:r w:rsidRPr="00BD7B27">
        <w:rPr>
          <w:rFonts w:cs="Times New Roman"/>
          <w:noProof/>
          <w:lang w:val="en-GB"/>
        </w:rPr>
        <w:lastRenderedPageBreak/>
        <w:t>Wormlike Surfactant Micelles: Development of a Simulation Protocol, Application, and Validation for Personal Care Formulations, Langmuir. 34 (2018) 1564–1573. doi:10.1021/acs.langmuir.7b03552.</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[24]</w:t>
      </w:r>
      <w:r w:rsidRPr="00BD7B27">
        <w:rPr>
          <w:rFonts w:cs="Times New Roman"/>
          <w:noProof/>
          <w:lang w:val="en-GB"/>
        </w:rPr>
        <w:tab/>
        <w:t>A. Vishnyakov, M.T. Lee, A. V. Neimark, Prediction of the critical micelle concentration of nonionic surfactants by dissipative particle dynamics simulations, J. Phys. Chem. Lett. 4 (2013) 797–802. doi:10.1021/jz400066k.</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[25]</w:t>
      </w:r>
      <w:r w:rsidRPr="00BD7B27">
        <w:rPr>
          <w:rFonts w:cs="Times New Roman"/>
          <w:noProof/>
          <w:lang w:val="en-GB"/>
        </w:rPr>
        <w:tab/>
        <w:t>A. Prhashanna, S.A. Khan, S.B. Chen, Micelle morphology and chain conformation of triblock copolymers under shear: LA-DPD study, Colloids Surfaces A Physicochem. Eng. Asp. 506 (2016) 457–466. doi:10.1016/j.colsurfa.2016.07.003.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[26]</w:t>
      </w:r>
      <w:r w:rsidRPr="00BD7B27">
        <w:rPr>
          <w:rFonts w:cs="Times New Roman"/>
          <w:noProof/>
          <w:lang w:val="en-GB"/>
        </w:rPr>
        <w:tab/>
        <w:t>S. Meng, J. Zhang, Y. Wang, X. Li, C. Wu, T. Hou, L. Xiao, G. Lu, Simulating the rheology of surfactant solution using dissipative particle dynamics, Mol. Simul. 41 (2015) 772–778. doi:10.1080/08927022.2014.935373.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[27]</w:t>
      </w:r>
      <w:r w:rsidRPr="00BD7B27">
        <w:rPr>
          <w:rFonts w:cs="Times New Roman"/>
          <w:noProof/>
          <w:lang w:val="en-GB"/>
        </w:rPr>
        <w:tab/>
        <w:t>R. Pasquino, N. Grizzuti, P. Carbone, H. Droghetti, D. Marchisio, S. Mirzaagha, An experimental rheological phase diagram of a tri-block co-polymer in water validated against dissipative particle dynamics simulations, Soft Matter. 15 (2019) 1396–1404. doi:10.1039/c8sm01959b.</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[28]</w:t>
      </w:r>
      <w:r w:rsidRPr="00BD7B27">
        <w:rPr>
          <w:rFonts w:cs="Times New Roman"/>
          <w:noProof/>
          <w:lang w:val="en-GB"/>
        </w:rPr>
        <w:tab/>
        <w:t>H. Droghetti, I. Pagonabarraga, P. Carbone, P. Asinari, D. Marchisio, Dissipative particle dynamics simulations of tri-block co-polymer and water: Phase diagram validation and microstructure identification, J. Chem. Phys. 149 (2018). doi:10.1063/1.5049641.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[29]</w:t>
      </w:r>
      <w:r w:rsidRPr="00BD7B27">
        <w:rPr>
          <w:rFonts w:cs="Times New Roman"/>
          <w:noProof/>
          <w:lang w:val="en-GB"/>
        </w:rPr>
        <w:tab/>
        <w:t>J.M.V.A. Koelman, P.J. Hoogerbrugge, Dynamic simulation of hard-sphere suspensions under steady shear, Eur. Lett. 21 (1993) 363. doi:10.1209/0295-5075/21/3/018.</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[30]</w:t>
      </w:r>
      <w:r w:rsidRPr="00BD7B27">
        <w:rPr>
          <w:rFonts w:cs="Times New Roman"/>
          <w:noProof/>
          <w:lang w:val="en-GB"/>
        </w:rPr>
        <w:tab/>
        <w:t>P. Español, P.B. Warren, Perspective: Dissipative Particle Dynamics, 146 (2016) 1–18. http://arxiv.org/abs/1612.04574.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[31]</w:t>
      </w:r>
      <w:r w:rsidRPr="00BD7B27">
        <w:rPr>
          <w:rFonts w:cs="Times New Roman"/>
          <w:noProof/>
          <w:lang w:val="en-GB"/>
        </w:rPr>
        <w:tab/>
        <w:t>Z. Shen, H. Ye, M. Kröger, Y. Li, Aggregation of polyethylene glycol polymers suppresses receptor-mediated endocytosis of PEGylated liposomes, Nanoscale. 10 (2018) 4545–4560. doi:10.1039/c7nr09011k.</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[32]</w:t>
      </w:r>
      <w:r w:rsidRPr="00BD7B27">
        <w:rPr>
          <w:rFonts w:cs="Times New Roman"/>
          <w:noProof/>
          <w:lang w:val="en-GB"/>
        </w:rPr>
        <w:tab/>
        <w:t>K.B. Lipkowitz, R. Larter, T.R. Cundari, Reviews in Computational Chemistry, John Wiley &amp; Sons, Inc., Hoboken, NJ, USA, 2005. doi:10.1002/0471720895.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[33]</w:t>
      </w:r>
      <w:r w:rsidRPr="00BD7B27">
        <w:rPr>
          <w:rFonts w:cs="Times New Roman"/>
          <w:noProof/>
          <w:lang w:val="en-GB"/>
        </w:rPr>
        <w:tab/>
        <w:t>P.J. Hoogerbrugge, J.M.V.A. Koelman, Simulating Microscopic Hydrodynamic Phenomena with Dissipative Particle Dynamics, Europhys. Lett. 19 (1992) 155–160. doi:10.1209/0295-5075/19/3/001.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[34]</w:t>
      </w:r>
      <w:r w:rsidRPr="00BD7B27">
        <w:rPr>
          <w:rFonts w:cs="Times New Roman"/>
          <w:noProof/>
          <w:lang w:val="en-GB"/>
        </w:rPr>
        <w:tab/>
        <w:t>P. Espanol, P.B. Warren, Statistical mechanics of dissipative particle dynamics, Epl. 30 (1995) 191–196. http://iopscience.iop.org/0295-5075/30/4/001.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[35]</w:t>
      </w:r>
      <w:r w:rsidRPr="00BD7B27">
        <w:rPr>
          <w:rFonts w:cs="Times New Roman"/>
          <w:noProof/>
          <w:lang w:val="en-GB"/>
        </w:rPr>
        <w:tab/>
        <w:t>P. Espanol, Hydrodynamics from dissipative particle dynamics, Phys. Rev. E. 52 (1995) 1734–1742. doi:10.1103/PhysRevE.52.1734.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[36]</w:t>
      </w:r>
      <w:r w:rsidRPr="00BD7B27">
        <w:rPr>
          <w:rFonts w:cs="Times New Roman"/>
          <w:noProof/>
          <w:lang w:val="en-GB"/>
        </w:rPr>
        <w:tab/>
        <w:t>E. MOEENDARBARY, T.Y. NG, M. ZANGENEH, Dissipative Particle Dynamics: Introduction, Methodology and Complex Fluid Applications — a Review, Int. J. Appl. Mech. 01 (2009) 737–763. doi:10.1142/S1758825109000381.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[37]</w:t>
      </w:r>
      <w:r w:rsidRPr="00BD7B27">
        <w:rPr>
          <w:rFonts w:cs="Times New Roman"/>
          <w:noProof/>
          <w:lang w:val="en-GB"/>
        </w:rPr>
        <w:tab/>
        <w:t>R.D. Groot, P.B. Warren, Dissipative Particle Dynamics: Bridging the Gap between Atomistic and Mesoscopic Simulation, J. Chem. Phys. 107 (1997) 4423. doi:10.1063/1.474784.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[38]</w:t>
      </w:r>
      <w:r w:rsidRPr="00BD7B27">
        <w:rPr>
          <w:rFonts w:cs="Times New Roman"/>
          <w:noProof/>
          <w:lang w:val="en-GB"/>
        </w:rPr>
        <w:tab/>
        <w:t>R.L. Anderson, D.J. Bray, A.S. Ferrante, M.G. Noro, I.P. Stott, P.B. Warren, Dissipative particle dynamics: Systematic parametrization using water-octanol partition coefficients, J. Chem. Phys. 147 (2017) 094503. doi:10.1063/1.4992111.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[39]</w:t>
      </w:r>
      <w:r w:rsidRPr="00BD7B27">
        <w:rPr>
          <w:rFonts w:cs="Times New Roman"/>
          <w:noProof/>
          <w:lang w:val="en-GB"/>
        </w:rPr>
        <w:tab/>
        <w:t>R.L. Anderson, D.J. Bray, A. Del Regno, M.A. Seaton, A.S. Ferrante, P.B. Warren, Micelle Formation in Alkyl Sulfate Surfactants Using Dissipative Particle Dynamics, J. Chem. Theory Comput. 14 (2018) 2633–2643. doi:10.1021/acs.jctc.8b00075.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[40]</w:t>
      </w:r>
      <w:r w:rsidRPr="00BD7B27">
        <w:rPr>
          <w:rFonts w:cs="Times New Roman"/>
          <w:noProof/>
          <w:lang w:val="en-GB"/>
        </w:rPr>
        <w:tab/>
        <w:t>R. Mao, M.T. Lee, A. Vishnyakov, A. V. Neimark, Modeling Aggregation of Ionic Surfactants Using a Smeared Charge Approximation in Dissipative Particle Dynamics Simulations, J. Phys. Chem. B. 119 (2015) 11673–11683. doi:10.1021/acs.jpcb.5b05630.</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[41]</w:t>
      </w:r>
      <w:r w:rsidRPr="00BD7B27">
        <w:rPr>
          <w:rFonts w:cs="Times New Roman"/>
          <w:noProof/>
          <w:lang w:val="en-GB"/>
        </w:rPr>
        <w:tab/>
        <w:t>M.E. Fisher, D. Ruelle, The Stability of Many</w:t>
      </w:r>
      <w:r w:rsidRPr="00BD7B27">
        <w:rPr>
          <w:rFonts w:ascii="Cambria Math" w:hAnsi="Cambria Math" w:cs="Cambria Math"/>
          <w:noProof/>
          <w:lang w:val="en-GB"/>
        </w:rPr>
        <w:t>‐</w:t>
      </w:r>
      <w:r w:rsidRPr="00BD7B27">
        <w:rPr>
          <w:rFonts w:cs="Times New Roman"/>
          <w:noProof/>
          <w:lang w:val="en-GB"/>
        </w:rPr>
        <w:t>Particle Systems, J. Math. Phys. 7 (1966) 260–270. doi:10.1063/1.1704928.</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lastRenderedPageBreak/>
        <w:t>[42]</w:t>
      </w:r>
      <w:r w:rsidRPr="00BD7B27">
        <w:rPr>
          <w:rFonts w:cs="Times New Roman"/>
          <w:noProof/>
          <w:lang w:val="en-GB"/>
        </w:rPr>
        <w:tab/>
        <w:t>R.D. Groot, Electrostatic interactions in dissipative particle dynamics-simulation of polyelectrolytes and anionic surfactants, J. Chem. Phys. 118 (2003) 11265–11277. doi:10.1063/1.1574800.</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[43]</w:t>
      </w:r>
      <w:r w:rsidRPr="00BD7B27">
        <w:rPr>
          <w:rFonts w:cs="Times New Roman"/>
          <w:noProof/>
          <w:lang w:val="en-GB"/>
        </w:rPr>
        <w:tab/>
        <w:t>M. González-Melchor, E. Mayoral, M.E. Velázquez, J. Alejandre, Electrostatic interactions in dissipative particle dynamics using the Ewald sums, J. Chem. Phys. 125 (2006) 224107. doi:10.1063/1.2400223.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[44]</w:t>
      </w:r>
      <w:r w:rsidRPr="00BD7B27">
        <w:rPr>
          <w:rFonts w:cs="Times New Roman"/>
          <w:noProof/>
          <w:lang w:val="en-GB"/>
        </w:rPr>
        <w:tab/>
        <w:t>K. Procházka, K. Šindelka, X. Wang, Z. Limpouchová, M. Lísal, Self-assembly and co-assembly of block polyelectrolytes in aqueous solutions. Dissipative particle dynamics with explicit electrostatics, Mol. Phys. 114 (2016) 3077–3092. doi:10.1080/00268976.2016.1225130.</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[45]</w:t>
      </w:r>
      <w:r w:rsidRPr="00BD7B27">
        <w:rPr>
          <w:rFonts w:cs="Times New Roman"/>
          <w:noProof/>
          <w:lang w:val="en-GB"/>
        </w:rPr>
        <w:tab/>
        <w:t>P.B. Warren, A. Vlasov, Screening properties of four mesoscale smoothed charge models, with application to dissipative particle dynamics, J. Chem. Phys. 140 (2014) 084904. doi:10.1063/1.4866375.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[46]</w:t>
      </w:r>
      <w:r w:rsidRPr="00BD7B27">
        <w:rPr>
          <w:rFonts w:cs="Times New Roman"/>
          <w:noProof/>
          <w:lang w:val="en-GB"/>
        </w:rPr>
        <w:tab/>
        <w:t>M.A. Seaton, R.L. Anderson, S. Metz, W. Smith, DL_MESO: highly scalable mesoscale simulations, Mol. Simul. 39 (2013) 796–821. doi:10.1080/08927022.2013.772297.</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[47]</w:t>
      </w:r>
      <w:r w:rsidRPr="00BD7B27">
        <w:rPr>
          <w:rFonts w:cs="Times New Roman"/>
          <w:noProof/>
          <w:lang w:val="en-GB"/>
        </w:rPr>
        <w:tab/>
        <w:t>R.D. Groot, K.L. Rabone, Mesoscopic simulation of cell membrane damage, morphology change and rupture by nonionic surfactants., Biophys. J. 81 (2001) 725–736. doi:10.1016/S0006-3495(01)75737-2.</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[48]</w:t>
      </w:r>
      <w:r w:rsidRPr="00BD7B27">
        <w:rPr>
          <w:rFonts w:cs="Times New Roman"/>
          <w:noProof/>
          <w:lang w:val="en-GB"/>
        </w:rPr>
        <w:tab/>
        <w:t>D.J. Bray, A. Del Regno, R.L. Anderson, UMMAP- A statistical analysis software package for molecular modelling (in preparation), (2019).</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[49]</w:t>
      </w:r>
      <w:r w:rsidRPr="00BD7B27">
        <w:rPr>
          <w:rFonts w:cs="Times New Roman"/>
          <w:noProof/>
          <w:lang w:val="en-GB"/>
        </w:rPr>
        <w:tab/>
        <w:t>W. Humphrey, A. Dalke, K. Schulten, VMD: Visual molecular dynamics, J. Mol. Graph. 14 (1996) 33–38. doi:10.1016/0263-7855(96)00018-5.</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[50]</w:t>
      </w:r>
      <w:r w:rsidRPr="00BD7B27">
        <w:rPr>
          <w:rFonts w:cs="Times New Roman"/>
          <w:noProof/>
          <w:lang w:val="en-GB"/>
        </w:rPr>
        <w:tab/>
        <w:t>Jacob N. Israelachvili, Intermolecular and surface forces, Academic press LTD, 1991.</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[51]</w:t>
      </w:r>
      <w:r w:rsidRPr="00BD7B27">
        <w:rPr>
          <w:rFonts w:cs="Times New Roman"/>
          <w:noProof/>
          <w:lang w:val="en-GB"/>
        </w:rPr>
        <w:tab/>
        <w:t>S. Dhakal, R. Sureshkumar, Topology, length scales, and energetics of surfactant micelles, J. Chem. Phys. 143 (2015) 024905. doi:10.1063/1.4926422.</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[52]</w:t>
      </w:r>
      <w:r w:rsidRPr="00BD7B27">
        <w:rPr>
          <w:rFonts w:cs="Times New Roman"/>
          <w:noProof/>
          <w:lang w:val="en-GB"/>
        </w:rPr>
        <w:tab/>
        <w:t>B.L. Bhargava, R. Devane, M.L. Klein, S. Balasubramanian, Nanoscale organization in room temperature ionic liquids: A coarse grained molecular dynamics simulation study, Soft Matter. 3 (2007) 1395–1400. doi:10.1039/b710801j.</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[53]</w:t>
      </w:r>
      <w:r w:rsidRPr="00BD7B27">
        <w:rPr>
          <w:rFonts w:cs="Times New Roman"/>
          <w:noProof/>
          <w:lang w:val="en-GB"/>
        </w:rPr>
        <w:tab/>
        <w:t>H.A. Karimi-Varzaneh, F. Müller-Plathe, S. Balasubramanian, P. Carbone, Studying long-time dynamics of imidazolium-based ionic liquids with a systematically coarse-grained model, Phys. Chem. Chem. Phys. 12 (2010) 4714–4724. doi:10.1039/b925780b.</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[54]</w:t>
      </w:r>
      <w:r w:rsidRPr="00BD7B27">
        <w:rPr>
          <w:rFonts w:cs="Times New Roman"/>
          <w:noProof/>
          <w:lang w:val="en-GB"/>
        </w:rPr>
        <w:tab/>
        <w:t>A.R. Khokhlov, P.G. Khalatur, Microphase separation in diblock copolymers with amphiphilic block : Local chemical structure can dictate global morphology, 461 (2008) 58–63. doi:10.1016/j.cplett.2008.06.054.</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[55]</w:t>
      </w:r>
      <w:r w:rsidRPr="00BD7B27">
        <w:rPr>
          <w:rFonts w:cs="Times New Roman"/>
          <w:noProof/>
          <w:lang w:val="en-GB"/>
        </w:rPr>
        <w:tab/>
        <w:t>G.A.F. Seber, Discriminant Analysis, in: Multivar. Obs., John Wiley &amp; Sons, Inc., 1984: pp. 279–343.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[56]</w:t>
      </w:r>
      <w:r w:rsidRPr="00BD7B27">
        <w:rPr>
          <w:rFonts w:cs="Times New Roman"/>
          <w:noProof/>
          <w:lang w:val="en-GB"/>
        </w:rPr>
        <w:tab/>
        <w:t>Y. Moroi, Mass action model of micelle formation: Its application to sodium dodecyl sulfate solution, J. Colloid Interface Sci. 122 (1988) 308–314. doi:10.1016/0021-9797(88)90366-9.</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[57]</w:t>
      </w:r>
      <w:r w:rsidRPr="00BD7B27">
        <w:rPr>
          <w:rFonts w:cs="Times New Roman"/>
          <w:noProof/>
          <w:lang w:val="en-GB"/>
        </w:rPr>
        <w:tab/>
        <w:t>K.D. Danov, P.A. Kralchevsky, S.D. Stoyanov, J.L. Cook, I.P. Stott, E.G. Pelan, Growth of wormlike micelles in nonionic surfactant solutions: Quantitative theory vs. experiment, Adv. Colloid Interface Sci. 256 (2018) 1–22. doi:10.1016/j.cis.2018.05.006.</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[58]</w:t>
      </w:r>
      <w:r w:rsidRPr="00BD7B27">
        <w:rPr>
          <w:rFonts w:cs="Times New Roman"/>
          <w:noProof/>
          <w:lang w:val="en-GB"/>
        </w:rPr>
        <w:tab/>
        <w:t>M. Bergstrom, J.S. Pedersen, Structure of pure SDS and DTAB micelles in brine determined by small-angle neutron scattering ( SANS ), 1 (1999) 4437–4446.</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[59]</w:t>
      </w:r>
      <w:r w:rsidRPr="00BD7B27">
        <w:rPr>
          <w:rFonts w:cs="Times New Roman"/>
          <w:noProof/>
          <w:lang w:val="en-GB"/>
        </w:rPr>
        <w:tab/>
        <w:t>W. Zou, G. Tan, H. Jiang, K. Vogtt, M. Weaver, P. Koenig, G. Beaucage, R.G. Larson, From well-entangled to partially-entangled wormlike micelles, Soft Matter. 15 (2019) 642–655. doi:10.1039/C8SM02223B.</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[60]</w:t>
      </w:r>
      <w:r w:rsidRPr="00BD7B27">
        <w:rPr>
          <w:rFonts w:cs="Times New Roman"/>
          <w:noProof/>
          <w:lang w:val="en-GB"/>
        </w:rPr>
        <w:tab/>
        <w:t>R.. Zana, C. Weill, Effect of temperature on the aggregation behaviour of nonionic surfactants in aqueous solutions, J. Phys. Lettres. 46 (1985) 953–960. doi:10.1051/jphyslet:019850046020095300.</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[61]</w:t>
      </w:r>
      <w:r w:rsidRPr="00BD7B27">
        <w:rPr>
          <w:rFonts w:cs="Times New Roman"/>
          <w:noProof/>
          <w:lang w:val="en-GB"/>
        </w:rPr>
        <w:tab/>
        <w:t>T.F. Coleman, Y. Li, An Interior Trust Region Approach for Nonlinear Minimization Subject to Bounds, SIAM J. Optim. 6 (1996) 418–445. doi:10.1137/0806023.</w:t>
      </w:r>
    </w:p>
    <w:p w:rsidR="004833BB" w:rsidRPr="00BD7B27" w:rsidRDefault="004833BB" w:rsidP="004833BB">
      <w:pPr>
        <w:autoSpaceDE w:val="0"/>
        <w:autoSpaceDN w:val="0"/>
        <w:adjustRightInd w:val="0"/>
        <w:ind w:left="640" w:hanging="640"/>
        <w:rPr>
          <w:rFonts w:cs="Times New Roman"/>
          <w:noProof/>
          <w:lang w:val="en-GB"/>
        </w:rPr>
      </w:pPr>
      <w:r w:rsidRPr="00BD7B27">
        <w:rPr>
          <w:rFonts w:cs="Times New Roman"/>
          <w:noProof/>
          <w:lang w:val="en-GB"/>
        </w:rPr>
        <w:t>[62]</w:t>
      </w:r>
      <w:r w:rsidRPr="00BD7B27">
        <w:rPr>
          <w:rFonts w:cs="Times New Roman"/>
          <w:noProof/>
          <w:lang w:val="en-GB"/>
        </w:rPr>
        <w:tab/>
        <w:t xml:space="preserve">C. Bao, M. Ma, F. Meng, Q. Lin, L. Zhu, Efficient synthetic supramolecular channels and </w:t>
      </w:r>
      <w:r w:rsidRPr="00BD7B27">
        <w:rPr>
          <w:rFonts w:cs="Times New Roman"/>
          <w:noProof/>
          <w:lang w:val="en-GB"/>
        </w:rPr>
        <w:lastRenderedPageBreak/>
        <w:t>their light-deactivated ion transport in bilayer lipid membranes, New J. Chem. 39 (2015) 6297–6302. doi:10.1039/c5nj00937e.</w:t>
      </w:r>
    </w:p>
    <w:p w:rsidR="004833BB" w:rsidRPr="00AE58EB" w:rsidRDefault="004833BB" w:rsidP="004833BB">
      <w:pPr>
        <w:autoSpaceDE w:val="0"/>
        <w:autoSpaceDN w:val="0"/>
        <w:adjustRightInd w:val="0"/>
        <w:ind w:left="640" w:hanging="640"/>
        <w:rPr>
          <w:rFonts w:cs="Times New Roman"/>
          <w:noProof/>
        </w:rPr>
      </w:pPr>
      <w:r w:rsidRPr="00BD7B27">
        <w:rPr>
          <w:rFonts w:cs="Times New Roman"/>
          <w:noProof/>
          <w:lang w:val="en-GB"/>
        </w:rPr>
        <w:t>[63]</w:t>
      </w:r>
      <w:r w:rsidRPr="00BD7B27">
        <w:rPr>
          <w:rFonts w:cs="Times New Roman"/>
          <w:noProof/>
          <w:lang w:val="en-GB"/>
        </w:rPr>
        <w:tab/>
        <w:t xml:space="preserve">W.C. Swope, M.A. Johnston, A.I. Duff, J.L. McDonagh, R.L. Anderson, G. Alva, A.T. Tek, A.P. Maschino, Challenge to reconcile experimental micellar properties of the cnem nonionic surfactant family, J. Phys. </w:t>
      </w:r>
      <w:r w:rsidRPr="00AE58EB">
        <w:rPr>
          <w:rFonts w:cs="Times New Roman"/>
          <w:noProof/>
        </w:rPr>
        <w:t>Chem. B. 123 (2019) 1696–1707. doi:10.1021/acs.jpcb.8b11568.</w:t>
      </w:r>
    </w:p>
    <w:p w:rsidR="005F03B7" w:rsidRPr="004C1D1A" w:rsidRDefault="004833BB" w:rsidP="005F03B7">
      <w:pPr>
        <w:autoSpaceDE w:val="0"/>
        <w:autoSpaceDN w:val="0"/>
        <w:adjustRightInd w:val="0"/>
        <w:rPr>
          <w:rFonts w:cs="Times New Roman"/>
          <w:lang w:val="en-GB"/>
        </w:rPr>
      </w:pPr>
      <w:r w:rsidRPr="004C1D1A">
        <w:rPr>
          <w:rFonts w:cs="Times New Roman"/>
        </w:rPr>
        <w:fldChar w:fldCharType="end"/>
      </w:r>
    </w:p>
    <w:p w:rsidR="004833BB" w:rsidRPr="008C3C9E" w:rsidRDefault="004833BB" w:rsidP="004833BB">
      <w:pPr>
        <w:pStyle w:val="Heading2"/>
        <w:numPr>
          <w:ilvl w:val="1"/>
          <w:numId w:val="1"/>
        </w:numPr>
        <w:rPr>
          <w:rFonts w:cs="Times New Roman"/>
          <w:lang w:val="en-GB"/>
        </w:rPr>
      </w:pPr>
      <w:r>
        <w:rPr>
          <w:rFonts w:cs="Times New Roman"/>
          <w:lang w:val="en-GB"/>
        </w:rPr>
        <w:t>TABLES</w:t>
      </w:r>
      <w:r w:rsidRPr="008C3C9E">
        <w:rPr>
          <w:rFonts w:cs="Times New Roman"/>
          <w:lang w:val="en-GB"/>
        </w:rPr>
        <w:t xml:space="preserve"> </w:t>
      </w:r>
    </w:p>
    <w:p w:rsidR="004833BB" w:rsidRPr="006A068C" w:rsidRDefault="004833BB" w:rsidP="004833BB">
      <w:pPr>
        <w:pStyle w:val="Caption"/>
        <w:rPr>
          <w:rFonts w:cs="Times New Roman"/>
        </w:rPr>
      </w:pPr>
      <w:bookmarkStart w:id="29" w:name="_Ref12453328"/>
      <w:r>
        <w:t xml:space="preserve">Table </w:t>
      </w:r>
      <w:r w:rsidR="00A70B57">
        <w:fldChar w:fldCharType="begin"/>
      </w:r>
      <w:r w:rsidR="00A70B57">
        <w:instrText xml:space="preserve"> SEQ Table \* ARABIC </w:instrText>
      </w:r>
      <w:r w:rsidR="00A70B57">
        <w:fldChar w:fldCharType="separate"/>
      </w:r>
      <w:r>
        <w:rPr>
          <w:noProof/>
        </w:rPr>
        <w:t>1</w:t>
      </w:r>
      <w:r w:rsidR="00A70B57">
        <w:rPr>
          <w:noProof/>
        </w:rPr>
        <w:fldChar w:fldCharType="end"/>
      </w:r>
      <w:bookmarkEnd w:id="29"/>
      <w:r>
        <w:t xml:space="preserve">: </w:t>
      </w:r>
      <w:r w:rsidRPr="004C1D1A">
        <w:rPr>
          <w:rFonts w:cs="Times New Roman"/>
        </w:rPr>
        <w:t>Properties of SLES</w:t>
      </w:r>
      <w:r w:rsidRPr="004C1D1A">
        <w:rPr>
          <w:rFonts w:cs="Times New Roman"/>
          <w:vertAlign w:val="subscript"/>
        </w:rPr>
        <w:t>1</w:t>
      </w:r>
      <w:r w:rsidRPr="004C1D1A">
        <w:rPr>
          <w:rFonts w:cs="Times New Roman"/>
        </w:rPr>
        <w:softHyphen/>
        <w:t>EO for spherical and rod micelles. Mean is calculated as the standard average over time and std refers to standard deviation.</w:t>
      </w:r>
    </w:p>
    <w:tbl>
      <w:tblPr>
        <w:tblStyle w:val="LightList-Accent3"/>
        <w:tblW w:w="9720" w:type="dxa"/>
        <w:tblBorders>
          <w:top w:val="single" w:sz="18" w:space="0" w:color="auto"/>
          <w:left w:val="none" w:sz="0" w:space="0" w:color="auto"/>
          <w:bottom w:val="single" w:sz="18" w:space="0" w:color="auto"/>
          <w:right w:val="none" w:sz="0" w:space="0" w:color="auto"/>
          <w:insideH w:val="single" w:sz="18" w:space="0" w:color="auto"/>
        </w:tblBorders>
        <w:tblLook w:val="0420" w:firstRow="1" w:lastRow="0" w:firstColumn="0" w:lastColumn="0" w:noHBand="0" w:noVBand="1"/>
      </w:tblPr>
      <w:tblGrid>
        <w:gridCol w:w="2425"/>
        <w:gridCol w:w="2425"/>
        <w:gridCol w:w="2665"/>
        <w:gridCol w:w="2205"/>
      </w:tblGrid>
      <w:tr w:rsidR="004833BB" w:rsidRPr="00042B1A" w:rsidTr="005E1D95">
        <w:trPr>
          <w:cnfStyle w:val="100000000000" w:firstRow="1" w:lastRow="0" w:firstColumn="0" w:lastColumn="0" w:oddVBand="0" w:evenVBand="0" w:oddHBand="0" w:evenHBand="0" w:firstRowFirstColumn="0" w:firstRowLastColumn="0" w:lastRowFirstColumn="0" w:lastRowLastColumn="0"/>
          <w:trHeight w:val="960"/>
        </w:trPr>
        <w:tc>
          <w:tcPr>
            <w:tcW w:w="2425" w:type="dxa"/>
            <w:tcBorders>
              <w:left w:val="nil"/>
              <w:bottom w:val="single" w:sz="18" w:space="0" w:color="auto"/>
            </w:tcBorders>
            <w:shd w:val="clear" w:color="auto" w:fill="FFFFFF" w:themeFill="background1"/>
            <w:hideMark/>
          </w:tcPr>
          <w:p w:rsidR="004833BB" w:rsidRPr="004C1D1A" w:rsidRDefault="004833BB" w:rsidP="005E1D95">
            <w:pPr>
              <w:jc w:val="both"/>
              <w:rPr>
                <w:rFonts w:cs="Times New Roman"/>
                <w:color w:val="auto"/>
                <w:lang w:val="en-GB"/>
              </w:rPr>
            </w:pPr>
            <w:r w:rsidRPr="004C1D1A">
              <w:rPr>
                <w:rFonts w:cs="Times New Roman"/>
                <w:color w:val="auto"/>
                <w:lang w:val="en-GB"/>
              </w:rPr>
              <w:t>Salt concentration</w:t>
            </w:r>
          </w:p>
          <w:p w:rsidR="004833BB" w:rsidRPr="004C1D1A" w:rsidRDefault="004833BB" w:rsidP="005E1D95">
            <w:pPr>
              <w:jc w:val="center"/>
              <w:rPr>
                <w:rFonts w:cs="Times New Roman"/>
                <w:color w:val="auto"/>
                <w:lang w:val="en-GB"/>
              </w:rPr>
            </w:pPr>
            <w:r w:rsidRPr="004C1D1A">
              <w:rPr>
                <w:rFonts w:cs="Times New Roman"/>
                <w:color w:val="auto"/>
                <w:lang w:val="en-GB"/>
              </w:rPr>
              <w:t>and mean no of micelles</w:t>
            </w:r>
          </w:p>
        </w:tc>
        <w:tc>
          <w:tcPr>
            <w:tcW w:w="242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Mean aggregation no.</w:t>
            </w:r>
          </w:p>
          <w:p w:rsidR="004833BB" w:rsidRPr="004C1D1A" w:rsidRDefault="004833BB" w:rsidP="005E1D95">
            <w:pPr>
              <w:jc w:val="center"/>
              <w:rPr>
                <w:rFonts w:cs="Times New Roman"/>
                <w:color w:val="auto"/>
                <w:lang w:val="en-GB"/>
              </w:rPr>
            </w:pPr>
            <w:r w:rsidRPr="004C1D1A">
              <w:rPr>
                <w:rFonts w:cs="Times New Roman"/>
                <w:color w:val="auto"/>
                <w:lang w:val="en-GB"/>
              </w:rPr>
              <w:t>(</w:t>
            </w:r>
            <w:r w:rsidRPr="004C1D1A">
              <w:rPr>
                <w:rFonts w:cs="Times New Roman"/>
                <w:i/>
                <w:color w:val="auto"/>
                <w:lang w:val="en-GB"/>
              </w:rPr>
              <w:t>in surfactants</w:t>
            </w:r>
            <w:r w:rsidRPr="004C1D1A">
              <w:rPr>
                <w:rFonts w:cs="Times New Roman"/>
                <w:color w:val="auto"/>
                <w:lang w:val="en-GB"/>
              </w:rPr>
              <w:t>)</w:t>
            </w:r>
          </w:p>
        </w:tc>
        <w:tc>
          <w:tcPr>
            <w:tcW w:w="266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std of probability distribution</w:t>
            </w:r>
          </w:p>
        </w:tc>
        <w:tc>
          <w:tcPr>
            <w:tcW w:w="2205" w:type="dxa"/>
            <w:tcBorders>
              <w:bottom w:val="single" w:sz="18" w:space="0" w:color="auto"/>
            </w:tcBorders>
            <w:shd w:val="clear" w:color="auto" w:fill="FFFFFF" w:themeFill="background1"/>
            <w:hideMark/>
          </w:tcPr>
          <w:p w:rsidR="004833BB" w:rsidRPr="004C1D1A" w:rsidRDefault="004833BB" w:rsidP="005E1D95">
            <w:pPr>
              <w:rPr>
                <w:rFonts w:cs="Times New Roman"/>
                <w:color w:val="auto"/>
                <w:lang w:val="en-GB"/>
              </w:rPr>
            </w:pPr>
            <w:r w:rsidRPr="004C1D1A">
              <w:rPr>
                <w:rFonts w:cs="Times New Roman"/>
                <w:color w:val="auto"/>
                <w:lang w:val="en-GB"/>
              </w:rPr>
              <w:t xml:space="preserve"> Mean Radius of micelle (DPD </w:t>
            </w:r>
            <w:r w:rsidRPr="004C1D1A">
              <w:rPr>
                <w:rFonts w:cs="Times New Roman"/>
                <w:i/>
                <w:color w:val="auto"/>
                <w:lang w:val="en-GB"/>
              </w:rPr>
              <w:t>length units</w:t>
            </w:r>
            <w:r w:rsidRPr="004C1D1A">
              <w:rPr>
                <w:rFonts w:cs="Times New Roman"/>
                <w:color w:val="auto"/>
                <w:lang w:val="en-GB"/>
              </w:rPr>
              <w:t>)</w:t>
            </w:r>
          </w:p>
        </w:tc>
      </w:tr>
      <w:tr w:rsidR="004833BB" w:rsidRPr="00370705" w:rsidTr="005E1D95">
        <w:trPr>
          <w:cnfStyle w:val="000000100000" w:firstRow="0" w:lastRow="0" w:firstColumn="0" w:lastColumn="0" w:oddVBand="0" w:evenVBand="0" w:oddHBand="1" w:evenHBand="0" w:firstRowFirstColumn="0" w:firstRowLastColumn="0" w:lastRowFirstColumn="0" w:lastRowLastColumn="0"/>
          <w:trHeight w:val="700"/>
        </w:trPr>
        <w:tc>
          <w:tcPr>
            <w:tcW w:w="2425" w:type="dxa"/>
            <w:tcBorders>
              <w:top w:val="none" w:sz="0" w:space="0" w:color="auto"/>
              <w:left w:val="nil"/>
              <w:bottom w:val="nil"/>
            </w:tcBorders>
            <w:hideMark/>
          </w:tcPr>
          <w:p w:rsidR="004833BB" w:rsidRPr="003B6FF8" w:rsidRDefault="00A70B57" w:rsidP="005E1D95">
            <w:pPr>
              <w:jc w:val="center"/>
              <w:rPr>
                <w:rFonts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=0.01</m:t>
              </m:r>
            </m:oMath>
            <w:r w:rsidR="004833BB">
              <w:rPr>
                <w:rFonts w:cs="Times New Roman"/>
                <w:lang w:val="en-GB"/>
              </w:rPr>
              <w:t>0</w:t>
            </w:r>
          </w:p>
          <w:p w:rsidR="004833BB" w:rsidRPr="004C1D1A" w:rsidRDefault="004833BB" w:rsidP="005E1D95">
            <w:pPr>
              <w:jc w:val="center"/>
              <w:rPr>
                <w:rFonts w:cs="Times New Roman"/>
                <w:lang w:val="en-GB"/>
              </w:rPr>
            </w:pPr>
            <w:r w:rsidRPr="004C1D1A">
              <w:rPr>
                <w:rFonts w:cs="Times New Roman"/>
                <w:lang w:val="en-GB"/>
              </w:rPr>
              <w:t>(35 micelles)</w:t>
            </w:r>
          </w:p>
        </w:tc>
        <w:tc>
          <w:tcPr>
            <w:tcW w:w="2425" w:type="dxa"/>
            <w:tcBorders>
              <w:top w:val="none" w:sz="0" w:space="0" w:color="auto"/>
              <w:bottom w:val="nil"/>
            </w:tcBorders>
            <w:hideMark/>
          </w:tcPr>
          <w:p w:rsidR="004833BB" w:rsidRPr="004C1D1A" w:rsidRDefault="004833BB" w:rsidP="005E1D95">
            <w:pPr>
              <w:jc w:val="center"/>
              <w:rPr>
                <w:rFonts w:cs="Times New Roman"/>
                <w:lang w:val="en-GB"/>
              </w:rPr>
            </w:pPr>
            <w:r>
              <w:rPr>
                <w:rFonts w:cs="Times New Roman"/>
                <w:lang w:val="en-GB"/>
              </w:rPr>
              <w:t>51.848</w:t>
            </w:r>
          </w:p>
        </w:tc>
        <w:tc>
          <w:tcPr>
            <w:tcW w:w="2665" w:type="dxa"/>
            <w:tcBorders>
              <w:top w:val="none" w:sz="0" w:space="0" w:color="auto"/>
              <w:bottom w:val="nil"/>
            </w:tcBorders>
            <w:hideMark/>
          </w:tcPr>
          <w:p w:rsidR="004833BB" w:rsidRPr="004C1D1A" w:rsidRDefault="004833BB" w:rsidP="005E1D95">
            <w:pPr>
              <w:jc w:val="center"/>
              <w:rPr>
                <w:rFonts w:cs="Times New Roman"/>
                <w:lang w:val="en-GB"/>
              </w:rPr>
            </w:pPr>
            <w:r>
              <w:rPr>
                <w:rFonts w:cs="Times New Roman"/>
                <w:lang w:val="en-GB"/>
              </w:rPr>
              <w:t>21.465</w:t>
            </w:r>
          </w:p>
        </w:tc>
        <w:tc>
          <w:tcPr>
            <w:tcW w:w="2205" w:type="dxa"/>
            <w:tcBorders>
              <w:top w:val="none" w:sz="0" w:space="0" w:color="auto"/>
              <w:bottom w:val="nil"/>
              <w:right w:val="none" w:sz="0" w:space="0" w:color="auto"/>
            </w:tcBorders>
            <w:hideMark/>
          </w:tcPr>
          <w:p w:rsidR="004833BB" w:rsidRPr="004C1D1A" w:rsidRDefault="004833BB" w:rsidP="005E1D95">
            <w:pPr>
              <w:jc w:val="center"/>
              <w:rPr>
                <w:rFonts w:cs="Times New Roman"/>
                <w:lang w:val="en-GB"/>
              </w:rPr>
            </w:pPr>
            <w:r>
              <w:rPr>
                <w:rFonts w:cs="Times New Roman"/>
                <w:lang w:val="en-GB"/>
              </w:rPr>
              <w:t>4.565</w:t>
            </w:r>
            <w:r w:rsidRPr="004C1D1A">
              <w:rPr>
                <w:rFonts w:cs="Times New Roman"/>
                <w:lang w:val="en-GB"/>
              </w:rPr>
              <w:t>(</w:t>
            </w:r>
            <m:oMath>
              <m:r>
                <w:rPr>
                  <w:rFonts w:ascii="Cambria Math" w:hAnsi="Cambria Math" w:cs="Times New Roman"/>
                  <w:lang w:val="en-GB"/>
                </w:rPr>
                <m:t>±</m:t>
              </m:r>
            </m:oMath>
            <w:r w:rsidRPr="004C1D1A">
              <w:rPr>
                <w:rFonts w:cs="Times New Roman"/>
                <w:lang w:val="en-GB"/>
              </w:rPr>
              <w:t>0.07</w:t>
            </w:r>
            <w:r>
              <w:rPr>
                <w:rFonts w:cs="Times New Roman"/>
                <w:lang w:val="en-GB"/>
              </w:rPr>
              <w:t>3</w:t>
            </w:r>
            <w:r w:rsidRPr="004C1D1A">
              <w:rPr>
                <w:rFonts w:cs="Times New Roman"/>
                <w:lang w:val="en-GB"/>
              </w:rPr>
              <w:t>)</w:t>
            </w:r>
          </w:p>
        </w:tc>
      </w:tr>
      <w:tr w:rsidR="004833BB" w:rsidRPr="00370705" w:rsidTr="005E1D95">
        <w:trPr>
          <w:trHeight w:val="558"/>
        </w:trPr>
        <w:tc>
          <w:tcPr>
            <w:tcW w:w="2425" w:type="dxa"/>
            <w:tcBorders>
              <w:top w:val="nil"/>
              <w:left w:val="nil"/>
              <w:bottom w:val="nil"/>
            </w:tcBorders>
            <w:hideMark/>
          </w:tcPr>
          <w:p w:rsidR="004833BB" w:rsidRPr="004C1D1A" w:rsidRDefault="00A70B57" w:rsidP="005E1D95">
            <w:pPr>
              <w:jc w:val="center"/>
              <w:rPr>
                <w:rFonts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=0.02</m:t>
              </m:r>
            </m:oMath>
            <w:r w:rsidR="004833BB">
              <w:rPr>
                <w:rFonts w:cs="Times New Roman"/>
                <w:lang w:val="en-GB"/>
              </w:rPr>
              <w:t>0</w:t>
            </w:r>
          </w:p>
          <w:p w:rsidR="004833BB" w:rsidRPr="004C1D1A" w:rsidRDefault="004833BB" w:rsidP="005E1D95">
            <w:pPr>
              <w:jc w:val="center"/>
              <w:rPr>
                <w:rFonts w:cs="Times New Roman"/>
                <w:lang w:val="en-GB"/>
              </w:rPr>
            </w:pPr>
            <w:r w:rsidRPr="004C1D1A">
              <w:rPr>
                <w:rFonts w:cs="Times New Roman"/>
                <w:lang w:val="en-GB"/>
              </w:rPr>
              <w:t>(30 micelles)</w:t>
            </w:r>
          </w:p>
        </w:tc>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68.2</w:t>
            </w:r>
            <w:r>
              <w:rPr>
                <w:rFonts w:cs="Times New Roman"/>
                <w:lang w:val="en-GB"/>
              </w:rPr>
              <w:t>01</w:t>
            </w:r>
          </w:p>
        </w:tc>
        <w:tc>
          <w:tcPr>
            <w:tcW w:w="2665"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27.538</w:t>
            </w:r>
          </w:p>
        </w:tc>
        <w:tc>
          <w:tcPr>
            <w:tcW w:w="2205"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4.694</w:t>
            </w:r>
            <w:r w:rsidRPr="004C1D1A">
              <w:rPr>
                <w:rFonts w:cs="Times New Roman"/>
                <w:lang w:val="en-GB"/>
              </w:rPr>
              <w:t>(</w:t>
            </w:r>
            <m:oMath>
              <m:r>
                <w:rPr>
                  <w:rFonts w:ascii="Cambria Math" w:hAnsi="Cambria Math" w:cs="Times New Roman"/>
                  <w:lang w:val="en-GB"/>
                </w:rPr>
                <m:t>±</m:t>
              </m:r>
            </m:oMath>
            <w:r w:rsidRPr="004C1D1A">
              <w:rPr>
                <w:rFonts w:cs="Times New Roman"/>
                <w:lang w:val="en-GB"/>
              </w:rPr>
              <w:t>0.09</w:t>
            </w:r>
            <w:r>
              <w:rPr>
                <w:rFonts w:cs="Times New Roman"/>
                <w:lang w:val="en-GB"/>
              </w:rPr>
              <w:t>1</w:t>
            </w:r>
            <w:r w:rsidRPr="004C1D1A">
              <w:rPr>
                <w:rFonts w:cs="Times New Roman"/>
                <w:lang w:val="en-GB"/>
              </w:rPr>
              <w:t>)</w:t>
            </w:r>
          </w:p>
        </w:tc>
      </w:tr>
      <w:tr w:rsidR="004833BB" w:rsidRPr="00042B1A" w:rsidTr="005E1D95">
        <w:trPr>
          <w:cnfStyle w:val="000000100000" w:firstRow="0" w:lastRow="0" w:firstColumn="0" w:lastColumn="0" w:oddVBand="0" w:evenVBand="0" w:oddHBand="1" w:evenHBand="0" w:firstRowFirstColumn="0" w:firstRowLastColumn="0" w:lastRowFirstColumn="0" w:lastRowLastColumn="0"/>
          <w:trHeight w:val="597"/>
        </w:trPr>
        <w:tc>
          <w:tcPr>
            <w:tcW w:w="2425" w:type="dxa"/>
            <w:tcBorders>
              <w:top w:val="nil"/>
              <w:left w:val="nil"/>
              <w:bottom w:val="none" w:sz="0" w:space="0" w:color="auto"/>
            </w:tcBorders>
            <w:hideMark/>
          </w:tcPr>
          <w:p w:rsidR="004833BB" w:rsidRDefault="004833BB" w:rsidP="005E1D95">
            <w:pPr>
              <w:jc w:val="both"/>
              <w:rPr>
                <w:lang w:val="en-GB"/>
              </w:rPr>
            </w:pPr>
          </w:p>
          <w:p w:rsidR="004833BB" w:rsidRPr="003B6FF8" w:rsidRDefault="00A70B57" w:rsidP="005E1D95">
            <w:pPr>
              <w:jc w:val="center"/>
              <w:rPr>
                <w:rFonts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c</m:t>
                  </m:r>
                </m:e>
                <m:sub>
                  <m:r>
                    <w:rPr>
                      <w:rFonts w:ascii="Cambria Math" w:hAnsi="Cambria Math" w:cs="Times New Roman"/>
                      <w:lang w:val="en-GB"/>
                    </w:rPr>
                    <m:t>s</m:t>
                  </m:r>
                </m:sub>
              </m:sSub>
              <m:r>
                <w:rPr>
                  <w:rFonts w:ascii="Cambria Math" w:hAnsi="Cambria Math" w:cs="Times New Roman"/>
                  <w:lang w:val="en-GB"/>
                </w:rPr>
                <m:t>=0.04</m:t>
              </m:r>
            </m:oMath>
            <w:r w:rsidR="004833BB">
              <w:rPr>
                <w:rFonts w:cs="Times New Roman"/>
                <w:lang w:val="en-GB"/>
              </w:rPr>
              <w:t>0</w:t>
            </w:r>
          </w:p>
          <w:p w:rsidR="004833BB" w:rsidRPr="004C1D1A" w:rsidRDefault="004833BB" w:rsidP="005E1D95">
            <w:pPr>
              <w:jc w:val="center"/>
              <w:rPr>
                <w:rFonts w:cs="Times New Roman"/>
                <w:lang w:val="en-GB"/>
              </w:rPr>
            </w:pPr>
            <w:r w:rsidRPr="004C1D1A">
              <w:rPr>
                <w:rFonts w:cs="Times New Roman"/>
                <w:lang w:val="en-GB"/>
              </w:rPr>
              <w:t>(20 micelles)</w:t>
            </w:r>
          </w:p>
        </w:tc>
        <w:tc>
          <w:tcPr>
            <w:tcW w:w="2425" w:type="dxa"/>
            <w:tcBorders>
              <w:top w:val="nil"/>
              <w:bottom w:val="none" w:sz="0" w:space="0" w:color="auto"/>
            </w:tcBorders>
            <w:hideMark/>
          </w:tcPr>
          <w:p w:rsidR="004833BB" w:rsidRPr="004C1D1A" w:rsidRDefault="004833BB" w:rsidP="005E1D95">
            <w:pPr>
              <w:rPr>
                <w:rFonts w:cs="Times New Roman"/>
                <w:lang w:val="en-GB"/>
              </w:rPr>
            </w:pPr>
          </w:p>
          <w:p w:rsidR="004833BB" w:rsidRDefault="004833BB" w:rsidP="005E1D95">
            <w:pPr>
              <w:jc w:val="center"/>
              <w:rPr>
                <w:rFonts w:cs="Times New Roman"/>
                <w:lang w:val="en-GB"/>
              </w:rPr>
            </w:pPr>
            <w:r>
              <w:rPr>
                <w:rFonts w:cs="Times New Roman"/>
                <w:lang w:val="en-GB"/>
              </w:rPr>
              <w:t>102.667</w:t>
            </w:r>
          </w:p>
          <w:p w:rsidR="004833BB" w:rsidRPr="004C1D1A" w:rsidRDefault="004833BB" w:rsidP="005E1D95">
            <w:pPr>
              <w:jc w:val="center"/>
              <w:rPr>
                <w:rFonts w:cs="Times New Roman"/>
                <w:lang w:val="en-GB"/>
              </w:rPr>
            </w:pPr>
            <w:r>
              <w:rPr>
                <w:rFonts w:cs="Times New Roman"/>
                <w:lang w:val="en-GB"/>
              </w:rPr>
              <w:t>(</w:t>
            </w:r>
            <w:r>
              <w:rPr>
                <w:rFonts w:cs="Times New Roman"/>
                <w:i/>
                <w:lang w:val="en-GB"/>
              </w:rPr>
              <w:t>assuming normal distribution</w:t>
            </w:r>
            <w:r>
              <w:rPr>
                <w:rFonts w:cs="Times New Roman"/>
                <w:lang w:val="en-GB"/>
              </w:rPr>
              <w:t>)</w:t>
            </w:r>
          </w:p>
        </w:tc>
        <w:tc>
          <w:tcPr>
            <w:tcW w:w="2665" w:type="dxa"/>
            <w:tcBorders>
              <w:top w:val="nil"/>
              <w:bottom w:val="none" w:sz="0" w:space="0" w:color="auto"/>
            </w:tcBorders>
            <w:hideMark/>
          </w:tcPr>
          <w:p w:rsidR="004833BB" w:rsidRPr="004C1D1A" w:rsidRDefault="004833BB" w:rsidP="005E1D95">
            <w:pPr>
              <w:rPr>
                <w:rFonts w:cs="Times New Roman"/>
                <w:lang w:val="en-GB"/>
              </w:rPr>
            </w:pPr>
          </w:p>
          <w:p w:rsidR="004833BB" w:rsidRDefault="004833BB" w:rsidP="005E1D95">
            <w:pPr>
              <w:jc w:val="center"/>
              <w:rPr>
                <w:rFonts w:cs="Times New Roman"/>
                <w:lang w:val="en-GB"/>
              </w:rPr>
            </w:pPr>
            <w:r>
              <w:rPr>
                <w:rFonts w:cs="Times New Roman"/>
                <w:lang w:val="en-GB"/>
              </w:rPr>
              <w:t>60.656</w:t>
            </w:r>
          </w:p>
          <w:p w:rsidR="004833BB" w:rsidRPr="004C1D1A" w:rsidRDefault="004833BB" w:rsidP="005E1D95">
            <w:pPr>
              <w:jc w:val="center"/>
              <w:rPr>
                <w:rFonts w:cs="Times New Roman"/>
                <w:lang w:val="en-GB"/>
              </w:rPr>
            </w:pPr>
            <w:r>
              <w:rPr>
                <w:rFonts w:cs="Times New Roman"/>
                <w:lang w:val="en-GB"/>
              </w:rPr>
              <w:t>(</w:t>
            </w:r>
            <w:r>
              <w:rPr>
                <w:rFonts w:cs="Times New Roman"/>
                <w:i/>
                <w:lang w:val="en-GB"/>
              </w:rPr>
              <w:t>assuming normal distribution</w:t>
            </w:r>
            <w:r>
              <w:rPr>
                <w:rFonts w:cs="Times New Roman"/>
                <w:lang w:val="en-GB"/>
              </w:rPr>
              <w:t>)</w:t>
            </w:r>
          </w:p>
        </w:tc>
        <w:tc>
          <w:tcPr>
            <w:tcW w:w="2205" w:type="dxa"/>
            <w:tcBorders>
              <w:top w:val="nil"/>
              <w:bottom w:val="none" w:sz="0" w:space="0" w:color="auto"/>
              <w:right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6.79</w:t>
            </w:r>
            <w:r>
              <w:rPr>
                <w:rFonts w:cs="Times New Roman"/>
                <w:lang w:val="en-GB"/>
              </w:rPr>
              <w:t>0</w:t>
            </w:r>
            <w:r w:rsidRPr="004C1D1A">
              <w:rPr>
                <w:rFonts w:cs="Times New Roman"/>
                <w:lang w:val="en-GB"/>
              </w:rPr>
              <w:t>(</w:t>
            </w:r>
            <m:oMath>
              <m:r>
                <w:rPr>
                  <w:rFonts w:ascii="Cambria Math" w:hAnsi="Cambria Math" w:cs="Times New Roman"/>
                  <w:lang w:val="en-GB"/>
                </w:rPr>
                <m:t>±</m:t>
              </m:r>
            </m:oMath>
            <w:r w:rsidRPr="004C1D1A">
              <w:rPr>
                <w:rFonts w:cs="Times New Roman"/>
                <w:lang w:val="en-GB"/>
              </w:rPr>
              <w:t>0.13</w:t>
            </w:r>
            <w:r>
              <w:rPr>
                <w:rFonts w:cs="Times New Roman"/>
                <w:lang w:val="en-GB"/>
              </w:rPr>
              <w:t>0</w:t>
            </w:r>
            <w:r w:rsidRPr="004C1D1A">
              <w:rPr>
                <w:rFonts w:cs="Times New Roman"/>
                <w:lang w:val="en-GB"/>
              </w:rPr>
              <w:t>)</w:t>
            </w:r>
          </w:p>
          <w:p w:rsidR="004833BB" w:rsidRPr="004C1D1A" w:rsidRDefault="004833BB" w:rsidP="005E1D95">
            <w:pPr>
              <w:keepNext/>
              <w:jc w:val="center"/>
              <w:rPr>
                <w:rFonts w:cs="Times New Roman"/>
                <w:lang w:val="en-GB"/>
              </w:rPr>
            </w:pPr>
            <w:r w:rsidRPr="004C1D1A">
              <w:rPr>
                <w:rFonts w:cs="Times New Roman"/>
                <w:lang w:val="en-GB"/>
              </w:rPr>
              <w:t>[longest direction]</w:t>
            </w:r>
          </w:p>
          <w:p w:rsidR="004833BB" w:rsidRPr="004C1D1A" w:rsidRDefault="004833BB" w:rsidP="005E1D95">
            <w:pPr>
              <w:keepNext/>
              <w:jc w:val="center"/>
              <w:rPr>
                <w:rFonts w:cs="Times New Roman"/>
                <w:lang w:val="en-GB"/>
              </w:rPr>
            </w:pPr>
            <w:r>
              <w:rPr>
                <w:rFonts w:cs="Times New Roman"/>
                <w:lang w:val="en-GB"/>
              </w:rPr>
              <w:t>4.427</w:t>
            </w:r>
            <m:oMath>
              <m:r>
                <w:rPr>
                  <w:rFonts w:ascii="Cambria Math" w:hAnsi="Cambria Math" w:cs="Times New Roman"/>
                  <w:lang w:val="en-GB"/>
                </w:rPr>
                <m:t>(±</m:t>
              </m:r>
            </m:oMath>
            <w:r w:rsidRPr="004C1D1A">
              <w:rPr>
                <w:rFonts w:cs="Times New Roman"/>
                <w:lang w:val="en-GB"/>
              </w:rPr>
              <w:t>0.22</w:t>
            </w:r>
            <w:r>
              <w:rPr>
                <w:rFonts w:cs="Times New Roman"/>
                <w:lang w:val="en-GB"/>
              </w:rPr>
              <w:t>5</w:t>
            </w:r>
            <w:r w:rsidRPr="004C1D1A">
              <w:rPr>
                <w:rFonts w:cs="Times New Roman"/>
                <w:lang w:val="en-GB"/>
              </w:rPr>
              <w:t xml:space="preserve">) </w:t>
            </w:r>
          </w:p>
          <w:p w:rsidR="004833BB" w:rsidRPr="004C1D1A" w:rsidRDefault="004833BB" w:rsidP="005E1D95">
            <w:pPr>
              <w:keepNext/>
              <w:jc w:val="center"/>
              <w:rPr>
                <w:rFonts w:cs="Times New Roman"/>
                <w:lang w:val="en-GB"/>
              </w:rPr>
            </w:pPr>
            <w:r w:rsidRPr="004C1D1A">
              <w:rPr>
                <w:rFonts w:cs="Times New Roman"/>
                <w:lang w:val="en-GB"/>
              </w:rPr>
              <w:t>[y direction]</w:t>
            </w:r>
          </w:p>
          <w:p w:rsidR="004833BB" w:rsidRPr="004C1D1A" w:rsidRDefault="004833BB" w:rsidP="005E1D95">
            <w:pPr>
              <w:keepNext/>
              <w:jc w:val="center"/>
              <w:rPr>
                <w:rFonts w:cs="Times New Roman"/>
                <w:lang w:val="en-GB"/>
              </w:rPr>
            </w:pPr>
            <w:r w:rsidRPr="004C1D1A">
              <w:rPr>
                <w:rFonts w:cs="Times New Roman"/>
                <w:lang w:val="en-GB"/>
              </w:rPr>
              <w:t>4.42</w:t>
            </w:r>
            <w:r>
              <w:rPr>
                <w:rFonts w:cs="Times New Roman"/>
                <w:lang w:val="en-GB"/>
              </w:rPr>
              <w:t>5</w:t>
            </w:r>
            <m:oMath>
              <m:r>
                <w:rPr>
                  <w:rFonts w:ascii="Cambria Math" w:hAnsi="Cambria Math" w:cs="Times New Roman"/>
                  <w:lang w:val="en-GB"/>
                </w:rPr>
                <m:t>(±</m:t>
              </m:r>
            </m:oMath>
            <w:r w:rsidRPr="004C1D1A">
              <w:rPr>
                <w:rFonts w:cs="Times New Roman"/>
                <w:lang w:val="en-GB"/>
              </w:rPr>
              <w:t>0.23</w:t>
            </w:r>
            <w:r>
              <w:rPr>
                <w:rFonts w:cs="Times New Roman"/>
                <w:lang w:val="en-GB"/>
              </w:rPr>
              <w:t>4</w:t>
            </w:r>
            <w:r w:rsidRPr="004C1D1A">
              <w:rPr>
                <w:rFonts w:cs="Times New Roman"/>
                <w:lang w:val="en-GB"/>
              </w:rPr>
              <w:t xml:space="preserve">) </w:t>
            </w:r>
          </w:p>
          <w:p w:rsidR="004833BB" w:rsidRPr="004C1D1A" w:rsidRDefault="004833BB" w:rsidP="005E1D95">
            <w:pPr>
              <w:keepNext/>
              <w:jc w:val="center"/>
              <w:rPr>
                <w:rFonts w:cs="Times New Roman"/>
                <w:lang w:val="en-GB"/>
              </w:rPr>
            </w:pPr>
            <w:r w:rsidRPr="004C1D1A">
              <w:rPr>
                <w:rFonts w:cs="Times New Roman"/>
                <w:lang w:val="en-GB"/>
              </w:rPr>
              <w:t>[z direction]</w:t>
            </w:r>
          </w:p>
        </w:tc>
      </w:tr>
    </w:tbl>
    <w:p w:rsidR="004833BB" w:rsidRDefault="004833BB" w:rsidP="004833BB">
      <w:pPr>
        <w:widowControl/>
        <w:suppressAutoHyphens w:val="0"/>
        <w:spacing w:after="160" w:line="259" w:lineRule="auto"/>
        <w:rPr>
          <w:rFonts w:cs="Times New Roman"/>
          <w:lang w:val="en-GB"/>
        </w:rPr>
      </w:pPr>
    </w:p>
    <w:p w:rsidR="004833BB" w:rsidRPr="006A068C" w:rsidRDefault="004833BB" w:rsidP="004833BB">
      <w:pPr>
        <w:pStyle w:val="Caption"/>
        <w:keepNext/>
        <w:rPr>
          <w:rFonts w:cs="Times New Roman"/>
        </w:rPr>
      </w:pPr>
      <w:bookmarkStart w:id="30" w:name="_Ref12453424"/>
      <w:r>
        <w:t xml:space="preserve">Table </w:t>
      </w:r>
      <w:r w:rsidR="00A70B57">
        <w:fldChar w:fldCharType="begin"/>
      </w:r>
      <w:r w:rsidR="00A70B57">
        <w:instrText xml:space="preserve"> SEQ Table \* ARABIC </w:instrText>
      </w:r>
      <w:r w:rsidR="00A70B57">
        <w:fldChar w:fldCharType="separate"/>
      </w:r>
      <w:r>
        <w:rPr>
          <w:noProof/>
        </w:rPr>
        <w:t>2</w:t>
      </w:r>
      <w:r w:rsidR="00A70B57">
        <w:rPr>
          <w:noProof/>
        </w:rPr>
        <w:fldChar w:fldCharType="end"/>
      </w:r>
      <w:bookmarkEnd w:id="30"/>
      <w:r>
        <w:t xml:space="preserve">: </w:t>
      </w:r>
      <w:r w:rsidRPr="006A068C">
        <w:rPr>
          <w:rFonts w:cs="Times New Roman"/>
        </w:rPr>
        <w:t>Critical packing parameter (pp and its standard deviation, std) for SLES1EO.</w:t>
      </w:r>
    </w:p>
    <w:tbl>
      <w:tblPr>
        <w:tblStyle w:val="LightList-Accent3"/>
        <w:tblW w:w="7515" w:type="dxa"/>
        <w:jc w:val="center"/>
        <w:tblBorders>
          <w:top w:val="single" w:sz="18" w:space="0" w:color="auto"/>
          <w:left w:val="none" w:sz="0" w:space="0" w:color="auto"/>
          <w:bottom w:val="single" w:sz="12" w:space="0" w:color="auto"/>
          <w:right w:val="none" w:sz="0" w:space="0" w:color="auto"/>
          <w:insideH w:val="single" w:sz="18" w:space="0" w:color="auto"/>
        </w:tblBorders>
        <w:tblLook w:val="0420" w:firstRow="1" w:lastRow="0" w:firstColumn="0" w:lastColumn="0" w:noHBand="0" w:noVBand="1"/>
      </w:tblPr>
      <w:tblGrid>
        <w:gridCol w:w="2425"/>
        <w:gridCol w:w="2425"/>
        <w:gridCol w:w="2665"/>
      </w:tblGrid>
      <w:tr w:rsidR="004833BB" w:rsidRPr="004C1D1A" w:rsidTr="005E1D95">
        <w:trPr>
          <w:cnfStyle w:val="100000000000" w:firstRow="1" w:lastRow="0" w:firstColumn="0" w:lastColumn="0" w:oddVBand="0" w:evenVBand="0" w:oddHBand="0" w:evenHBand="0" w:firstRowFirstColumn="0" w:firstRowLastColumn="0" w:lastRowFirstColumn="0" w:lastRowLastColumn="0"/>
          <w:trHeight w:val="428"/>
          <w:jc w:val="center"/>
        </w:trPr>
        <w:tc>
          <w:tcPr>
            <w:tcW w:w="2425" w:type="dxa"/>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Salt concentration</w:t>
            </w:r>
          </w:p>
          <w:p w:rsidR="004833BB" w:rsidRPr="004C1D1A" w:rsidRDefault="004833BB" w:rsidP="005E1D95">
            <w:pPr>
              <w:jc w:val="center"/>
              <w:rPr>
                <w:rFonts w:cs="Times New Roman"/>
                <w:color w:val="auto"/>
                <w:lang w:val="en-GB"/>
              </w:rPr>
            </w:pPr>
          </w:p>
        </w:tc>
        <w:tc>
          <w:tcPr>
            <w:tcW w:w="2425" w:type="dxa"/>
            <w:shd w:val="clear" w:color="auto" w:fill="FFFFFF" w:themeFill="background1"/>
            <w:hideMark/>
          </w:tcPr>
          <w:p w:rsidR="004833BB" w:rsidRPr="004C1D1A" w:rsidRDefault="004833BB" w:rsidP="005E1D95">
            <w:pPr>
              <w:jc w:val="center"/>
              <w:rPr>
                <w:rFonts w:cs="Times New Roman"/>
                <w:i/>
                <w:color w:val="auto"/>
                <w:lang w:val="en-GB"/>
              </w:rPr>
            </w:pPr>
            <w:r w:rsidRPr="004C1D1A">
              <w:rPr>
                <w:rFonts w:cs="Times New Roman"/>
                <w:color w:val="auto"/>
                <w:lang w:val="en-GB"/>
              </w:rPr>
              <w:t xml:space="preserve">mean </w:t>
            </w:r>
            <w:r w:rsidRPr="007E5DC1">
              <w:rPr>
                <w:rFonts w:cs="Times New Roman"/>
                <w:i/>
                <w:color w:val="auto"/>
                <w:lang w:val="en-GB"/>
              </w:rPr>
              <w:t>pp</w:t>
            </w:r>
          </w:p>
        </w:tc>
        <w:tc>
          <w:tcPr>
            <w:tcW w:w="2665" w:type="dxa"/>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 xml:space="preserve">std of </w:t>
            </w:r>
            <w:r w:rsidRPr="007E5DC1">
              <w:rPr>
                <w:rFonts w:cs="Times New Roman"/>
                <w:i/>
                <w:color w:val="auto"/>
                <w:lang w:val="en-GB"/>
              </w:rPr>
              <w:t>pp</w:t>
            </w:r>
            <w:r w:rsidRPr="004C1D1A">
              <w:rPr>
                <w:rFonts w:cs="Times New Roman"/>
                <w:color w:val="auto"/>
                <w:lang w:val="en-GB"/>
              </w:rPr>
              <w:t xml:space="preserve"> distribution</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82"/>
          <w:jc w:val="center"/>
        </w:trPr>
        <w:tc>
          <w:tcPr>
            <w:tcW w:w="2425" w:type="dxa"/>
            <w:tcBorders>
              <w:top w:val="none" w:sz="0" w:space="0" w:color="auto"/>
              <w:left w:val="none" w:sz="0" w:space="0" w:color="auto"/>
              <w:bottom w:val="nil"/>
            </w:tcBorders>
            <w:hideMark/>
          </w:tcPr>
          <w:p w:rsidR="004833BB" w:rsidRPr="004C1D1A" w:rsidRDefault="004833BB" w:rsidP="005E1D95">
            <w:pPr>
              <w:jc w:val="center"/>
              <w:rPr>
                <w:rFonts w:cs="Times New Roman"/>
                <w:lang w:val="en-GB"/>
              </w:rPr>
            </w:pPr>
            <w:r w:rsidRPr="004C1D1A">
              <w:rPr>
                <w:rFonts w:cs="Times New Roman"/>
                <w:lang w:val="en-GB"/>
              </w:rPr>
              <w:t>0.01</w:t>
            </w:r>
            <w:r>
              <w:rPr>
                <w:rFonts w:cs="Times New Roman"/>
                <w:lang w:val="en-GB"/>
              </w:rPr>
              <w:t>0</w:t>
            </w:r>
          </w:p>
        </w:tc>
        <w:tc>
          <w:tcPr>
            <w:tcW w:w="2425" w:type="dxa"/>
            <w:tcBorders>
              <w:top w:val="none" w:sz="0" w:space="0" w:color="auto"/>
              <w:bottom w:val="nil"/>
            </w:tcBorders>
          </w:tcPr>
          <w:p w:rsidR="004833BB" w:rsidRPr="004C1D1A" w:rsidRDefault="004833BB" w:rsidP="005E1D95">
            <w:pPr>
              <w:jc w:val="center"/>
              <w:rPr>
                <w:rFonts w:cs="Times New Roman"/>
                <w:lang w:val="en-GB"/>
              </w:rPr>
            </w:pPr>
            <w:r w:rsidRPr="004C1D1A">
              <w:rPr>
                <w:rFonts w:cs="Times New Roman"/>
                <w:lang w:val="en-GB"/>
              </w:rPr>
              <w:t>0.22</w:t>
            </w:r>
            <w:r>
              <w:rPr>
                <w:rFonts w:cs="Times New Roman"/>
                <w:lang w:val="en-GB"/>
              </w:rPr>
              <w:t>5</w:t>
            </w:r>
          </w:p>
        </w:tc>
        <w:tc>
          <w:tcPr>
            <w:tcW w:w="2665" w:type="dxa"/>
            <w:tcBorders>
              <w:top w:val="none" w:sz="0" w:space="0" w:color="auto"/>
              <w:bottom w:val="nil"/>
              <w:right w:val="none" w:sz="0" w:space="0" w:color="auto"/>
            </w:tcBorders>
            <w:hideMark/>
          </w:tcPr>
          <w:p w:rsidR="004833BB" w:rsidRPr="004C1D1A" w:rsidRDefault="004833BB" w:rsidP="005E1D95">
            <w:pPr>
              <w:jc w:val="center"/>
              <w:rPr>
                <w:rFonts w:cs="Times New Roman"/>
                <w:lang w:val="en-GB"/>
              </w:rPr>
            </w:pPr>
            <w:r>
              <w:rPr>
                <w:rFonts w:cs="Times New Roman"/>
                <w:lang w:val="en-GB"/>
              </w:rPr>
              <w:t>0.137</w:t>
            </w:r>
          </w:p>
        </w:tc>
      </w:tr>
      <w:tr w:rsidR="004833BB" w:rsidRPr="004C1D1A" w:rsidTr="005E1D95">
        <w:trPr>
          <w:trHeight w:val="279"/>
          <w:jc w:val="center"/>
        </w:trPr>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0.02</w:t>
            </w:r>
            <w:r>
              <w:rPr>
                <w:rFonts w:cs="Times New Roman"/>
                <w:lang w:val="en-GB"/>
              </w:rPr>
              <w:t>0</w:t>
            </w:r>
          </w:p>
        </w:tc>
        <w:tc>
          <w:tcPr>
            <w:tcW w:w="2425"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0.238</w:t>
            </w:r>
          </w:p>
        </w:tc>
        <w:tc>
          <w:tcPr>
            <w:tcW w:w="2665"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0.117</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83"/>
          <w:jc w:val="center"/>
        </w:trPr>
        <w:tc>
          <w:tcPr>
            <w:tcW w:w="2425" w:type="dxa"/>
            <w:tcBorders>
              <w:top w:val="nil"/>
              <w:left w:val="none" w:sz="0" w:space="0" w:color="auto"/>
              <w:bottom w:val="nil"/>
            </w:tcBorders>
            <w:hideMark/>
          </w:tcPr>
          <w:p w:rsidR="004833BB" w:rsidRPr="004C1D1A" w:rsidRDefault="004833BB" w:rsidP="005E1D95">
            <w:pPr>
              <w:jc w:val="center"/>
              <w:rPr>
                <w:rFonts w:cs="Times New Roman"/>
                <w:lang w:val="en-GB"/>
              </w:rPr>
            </w:pPr>
            <w:r w:rsidRPr="004C1D1A">
              <w:rPr>
                <w:rFonts w:cs="Times New Roman"/>
                <w:lang w:val="en-GB"/>
              </w:rPr>
              <w:t>0.04</w:t>
            </w:r>
            <w:r>
              <w:rPr>
                <w:rFonts w:cs="Times New Roman"/>
                <w:lang w:val="en-GB"/>
              </w:rPr>
              <w:t>0</w:t>
            </w:r>
          </w:p>
        </w:tc>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0.49</w:t>
            </w:r>
            <w:r>
              <w:rPr>
                <w:rFonts w:cs="Times New Roman"/>
                <w:lang w:val="en-GB"/>
              </w:rPr>
              <w:t>4</w:t>
            </w:r>
          </w:p>
        </w:tc>
        <w:tc>
          <w:tcPr>
            <w:tcW w:w="2665" w:type="dxa"/>
            <w:tcBorders>
              <w:top w:val="nil"/>
              <w:bottom w:val="nil"/>
              <w:right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0.13</w:t>
            </w:r>
            <w:r>
              <w:rPr>
                <w:rFonts w:cs="Times New Roman"/>
                <w:lang w:val="en-GB"/>
              </w:rPr>
              <w:t>0</w:t>
            </w:r>
          </w:p>
        </w:tc>
      </w:tr>
      <w:tr w:rsidR="004833BB" w:rsidRPr="004C1D1A" w:rsidTr="005E1D95">
        <w:trPr>
          <w:trHeight w:val="242"/>
          <w:jc w:val="center"/>
        </w:trPr>
        <w:tc>
          <w:tcPr>
            <w:tcW w:w="2425" w:type="dxa"/>
            <w:tcBorders>
              <w:top w:val="nil"/>
              <w:bottom w:val="single" w:sz="18" w:space="0" w:color="auto"/>
            </w:tcBorders>
          </w:tcPr>
          <w:p w:rsidR="004833BB" w:rsidRPr="004C1D1A" w:rsidRDefault="004833BB" w:rsidP="005E1D95">
            <w:pPr>
              <w:jc w:val="center"/>
              <w:rPr>
                <w:rFonts w:cs="Times New Roman"/>
                <w:lang w:val="en-GB"/>
              </w:rPr>
            </w:pPr>
            <w:r w:rsidRPr="004C1D1A">
              <w:rPr>
                <w:rFonts w:cs="Times New Roman"/>
                <w:lang w:val="en-GB"/>
              </w:rPr>
              <w:t>0.05</w:t>
            </w:r>
            <w:r>
              <w:rPr>
                <w:rFonts w:cs="Times New Roman"/>
                <w:lang w:val="en-GB"/>
              </w:rPr>
              <w:t>0</w:t>
            </w:r>
          </w:p>
        </w:tc>
        <w:tc>
          <w:tcPr>
            <w:tcW w:w="2425" w:type="dxa"/>
            <w:tcBorders>
              <w:top w:val="nil"/>
              <w:bottom w:val="single" w:sz="18" w:space="0" w:color="auto"/>
            </w:tcBorders>
          </w:tcPr>
          <w:p w:rsidR="004833BB" w:rsidRPr="004C1D1A" w:rsidRDefault="004833BB" w:rsidP="005E1D95">
            <w:pPr>
              <w:jc w:val="center"/>
              <w:rPr>
                <w:rFonts w:cs="Times New Roman"/>
                <w:lang w:val="en-GB"/>
              </w:rPr>
            </w:pPr>
            <w:r w:rsidRPr="004C1D1A">
              <w:rPr>
                <w:rFonts w:cs="Times New Roman"/>
                <w:lang w:val="en-GB"/>
              </w:rPr>
              <w:t>0.56</w:t>
            </w:r>
            <w:r>
              <w:rPr>
                <w:rFonts w:cs="Times New Roman"/>
                <w:lang w:val="en-GB"/>
              </w:rPr>
              <w:t>4</w:t>
            </w:r>
          </w:p>
        </w:tc>
        <w:tc>
          <w:tcPr>
            <w:tcW w:w="2665" w:type="dxa"/>
            <w:tcBorders>
              <w:top w:val="nil"/>
              <w:bottom w:val="single" w:sz="18" w:space="0" w:color="auto"/>
            </w:tcBorders>
          </w:tcPr>
          <w:p w:rsidR="004833BB" w:rsidRPr="004C1D1A" w:rsidRDefault="004833BB" w:rsidP="005E1D95">
            <w:pPr>
              <w:keepNext/>
              <w:jc w:val="center"/>
              <w:rPr>
                <w:rFonts w:cs="Times New Roman"/>
                <w:lang w:val="en-GB"/>
              </w:rPr>
            </w:pPr>
            <w:r w:rsidRPr="004C1D1A">
              <w:rPr>
                <w:rFonts w:cs="Times New Roman"/>
                <w:lang w:val="en-GB"/>
              </w:rPr>
              <w:t>0.1</w:t>
            </w:r>
            <w:r>
              <w:rPr>
                <w:rFonts w:cs="Times New Roman"/>
                <w:lang w:val="en-GB"/>
              </w:rPr>
              <w:t>02</w:t>
            </w:r>
          </w:p>
        </w:tc>
      </w:tr>
    </w:tbl>
    <w:p w:rsidR="004833BB" w:rsidRDefault="004833BB" w:rsidP="004833BB">
      <w:pPr>
        <w:widowControl/>
        <w:suppressAutoHyphens w:val="0"/>
        <w:spacing w:after="160" w:line="259" w:lineRule="auto"/>
        <w:rPr>
          <w:rFonts w:cs="Times New Roman"/>
          <w:lang w:val="en-GB"/>
        </w:rPr>
      </w:pPr>
    </w:p>
    <w:p w:rsidR="004833BB" w:rsidRDefault="004833BB" w:rsidP="004833BB">
      <w:pPr>
        <w:pStyle w:val="Caption"/>
        <w:keepNext/>
      </w:pPr>
      <w:bookmarkStart w:id="31" w:name="_Ref12453475"/>
      <w:r>
        <w:t xml:space="preserve">Table </w:t>
      </w:r>
      <w:r w:rsidR="00A70B57">
        <w:fldChar w:fldCharType="begin"/>
      </w:r>
      <w:r w:rsidR="00A70B57">
        <w:instrText xml:space="preserve"> SEQ Table \* ARABIC </w:instrText>
      </w:r>
      <w:r w:rsidR="00A70B57">
        <w:fldChar w:fldCharType="separate"/>
      </w:r>
      <w:r>
        <w:rPr>
          <w:noProof/>
        </w:rPr>
        <w:t>3</w:t>
      </w:r>
      <w:r w:rsidR="00A70B57">
        <w:rPr>
          <w:noProof/>
        </w:rPr>
        <w:fldChar w:fldCharType="end"/>
      </w:r>
      <w:bookmarkEnd w:id="31"/>
      <w:r>
        <w:t xml:space="preserve">: </w:t>
      </w:r>
      <w:r w:rsidRPr="006A068C">
        <w:rPr>
          <w:rFonts w:cs="Times New Roman"/>
        </w:rPr>
        <w:t xml:space="preserve">Aspect ratios of </w:t>
      </w:r>
      <m:oMath>
        <m:r>
          <m:rPr>
            <m:sty m:val="b"/>
          </m:rPr>
          <w:rPr>
            <w:rFonts w:ascii="Cambria Math" w:hAnsi="Cambria Math" w:cs="Times New Roman"/>
          </w:rPr>
          <m:t xml:space="preserve">c=0.1 </m:t>
        </m:r>
      </m:oMath>
      <w:r w:rsidRPr="006A068C">
        <w:rPr>
          <w:rFonts w:cs="Times New Roman"/>
        </w:rPr>
        <w:t>SLES1EO for spherical and rod-like micelles. Standard deviation is indicated in brackets.</w:t>
      </w:r>
    </w:p>
    <w:tbl>
      <w:tblPr>
        <w:tblStyle w:val="LightList-Accent3"/>
        <w:tblW w:w="9720" w:type="dxa"/>
        <w:tblBorders>
          <w:top w:val="single" w:sz="18" w:space="0" w:color="auto"/>
          <w:left w:val="none" w:sz="0" w:space="0" w:color="auto"/>
          <w:bottom w:val="single" w:sz="18" w:space="0" w:color="auto"/>
          <w:right w:val="none" w:sz="0" w:space="0" w:color="auto"/>
          <w:insideH w:val="single" w:sz="18" w:space="0" w:color="auto"/>
        </w:tblBorders>
        <w:tblLook w:val="0420" w:firstRow="1" w:lastRow="0" w:firstColumn="0" w:lastColumn="0" w:noHBand="0" w:noVBand="1"/>
      </w:tblPr>
      <w:tblGrid>
        <w:gridCol w:w="2425"/>
        <w:gridCol w:w="2425"/>
        <w:gridCol w:w="2665"/>
        <w:gridCol w:w="2205"/>
      </w:tblGrid>
      <w:tr w:rsidR="004833BB" w:rsidRPr="004C1D1A" w:rsidTr="005E1D95">
        <w:trPr>
          <w:cnfStyle w:val="100000000000" w:firstRow="1" w:lastRow="0" w:firstColumn="0" w:lastColumn="0" w:oddVBand="0" w:evenVBand="0" w:oddHBand="0" w:evenHBand="0" w:firstRowFirstColumn="0" w:firstRowLastColumn="0" w:lastRowFirstColumn="0" w:lastRowLastColumn="0"/>
          <w:trHeight w:val="320"/>
        </w:trPr>
        <w:tc>
          <w:tcPr>
            <w:tcW w:w="242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Salt concentration</w:t>
            </w:r>
          </w:p>
          <w:p w:rsidR="004833BB" w:rsidRPr="004C1D1A" w:rsidRDefault="004833BB" w:rsidP="005E1D95">
            <w:pPr>
              <w:jc w:val="center"/>
              <w:rPr>
                <w:rFonts w:cs="Times New Roman"/>
                <w:color w:val="auto"/>
                <w:lang w:val="en-GB"/>
              </w:rPr>
            </w:pPr>
          </w:p>
        </w:tc>
        <w:tc>
          <w:tcPr>
            <w:tcW w:w="242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x/y</w:t>
            </w:r>
          </w:p>
        </w:tc>
        <w:tc>
          <w:tcPr>
            <w:tcW w:w="266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x/z</w:t>
            </w:r>
          </w:p>
        </w:tc>
        <w:tc>
          <w:tcPr>
            <w:tcW w:w="220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y/z</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144"/>
        </w:trPr>
        <w:tc>
          <w:tcPr>
            <w:tcW w:w="2425" w:type="dxa"/>
            <w:tcBorders>
              <w:top w:val="none" w:sz="0" w:space="0" w:color="auto"/>
              <w:left w:val="none" w:sz="0" w:space="0" w:color="auto"/>
              <w:bottom w:val="nil"/>
            </w:tcBorders>
            <w:hideMark/>
          </w:tcPr>
          <w:p w:rsidR="004833BB" w:rsidRPr="004C1D1A" w:rsidRDefault="004833BB" w:rsidP="005E1D95">
            <w:pPr>
              <w:jc w:val="center"/>
              <w:rPr>
                <w:rFonts w:cs="Times New Roman"/>
                <w:lang w:val="en-GB"/>
              </w:rPr>
            </w:pPr>
            <w:r w:rsidRPr="004C1D1A">
              <w:rPr>
                <w:rFonts w:cs="Times New Roman"/>
                <w:lang w:val="en-GB"/>
              </w:rPr>
              <w:t>0.01</w:t>
            </w:r>
            <w:r>
              <w:rPr>
                <w:rFonts w:cs="Times New Roman"/>
                <w:lang w:val="en-GB"/>
              </w:rPr>
              <w:t>0</w:t>
            </w:r>
          </w:p>
        </w:tc>
        <w:tc>
          <w:tcPr>
            <w:tcW w:w="2425" w:type="dxa"/>
            <w:tcBorders>
              <w:top w:val="none" w:sz="0" w:space="0" w:color="auto"/>
              <w:bottom w:val="nil"/>
            </w:tcBorders>
            <w:hideMark/>
          </w:tcPr>
          <w:p w:rsidR="004833BB" w:rsidRPr="004C1D1A" w:rsidRDefault="004833BB" w:rsidP="005E1D95">
            <w:pPr>
              <w:jc w:val="center"/>
              <w:rPr>
                <w:rFonts w:cs="Times New Roman"/>
                <w:lang w:val="en-GB"/>
              </w:rPr>
            </w:pPr>
            <w:r w:rsidRPr="004C1D1A">
              <w:rPr>
                <w:rFonts w:cs="Times New Roman"/>
                <w:lang w:val="en-GB"/>
              </w:rPr>
              <w:t>0.99</w:t>
            </w:r>
            <w:r>
              <w:rPr>
                <w:rFonts w:cs="Times New Roman"/>
                <w:lang w:val="en-GB"/>
              </w:rPr>
              <w:t>9</w:t>
            </w:r>
            <w:r w:rsidRPr="004C1D1A">
              <w:rPr>
                <w:rFonts w:cs="Times New Roman"/>
                <w:lang w:val="en-GB"/>
              </w:rPr>
              <w:t>(</w:t>
            </w:r>
            <m:oMath>
              <m:r>
                <w:rPr>
                  <w:rFonts w:ascii="Cambria Math" w:hAnsi="Cambria Math" w:cs="Times New Roman"/>
                  <w:lang w:val="en-GB"/>
                </w:rPr>
                <m:t>±</m:t>
              </m:r>
            </m:oMath>
            <w:r w:rsidRPr="004C1D1A">
              <w:rPr>
                <w:rFonts w:cs="Times New Roman"/>
                <w:lang w:val="en-GB"/>
              </w:rPr>
              <w:t>0.14</w:t>
            </w:r>
            <w:r>
              <w:rPr>
                <w:rFonts w:cs="Times New Roman"/>
                <w:lang w:val="en-GB"/>
              </w:rPr>
              <w:t>4</w:t>
            </w:r>
            <w:r w:rsidRPr="004C1D1A">
              <w:rPr>
                <w:rFonts w:cs="Times New Roman"/>
                <w:lang w:val="en-GB"/>
              </w:rPr>
              <w:t>)</w:t>
            </w:r>
          </w:p>
        </w:tc>
        <w:tc>
          <w:tcPr>
            <w:tcW w:w="2665" w:type="dxa"/>
            <w:tcBorders>
              <w:top w:val="none" w:sz="0" w:space="0" w:color="auto"/>
              <w:bottom w:val="nil"/>
            </w:tcBorders>
            <w:hideMark/>
          </w:tcPr>
          <w:p w:rsidR="004833BB" w:rsidRPr="004C1D1A" w:rsidRDefault="004833BB" w:rsidP="005E1D95">
            <w:pPr>
              <w:jc w:val="center"/>
              <w:rPr>
                <w:rFonts w:cs="Times New Roman"/>
                <w:lang w:val="en-GB"/>
              </w:rPr>
            </w:pPr>
            <w:r w:rsidRPr="004C1D1A">
              <w:rPr>
                <w:rFonts w:cs="Times New Roman"/>
                <w:lang w:val="en-GB"/>
              </w:rPr>
              <w:t>0.99</w:t>
            </w:r>
            <w:r>
              <w:rPr>
                <w:rFonts w:cs="Times New Roman"/>
                <w:lang w:val="en-GB"/>
              </w:rPr>
              <w:t>9</w:t>
            </w:r>
            <w:r w:rsidRPr="004C1D1A">
              <w:rPr>
                <w:rFonts w:cs="Times New Roman"/>
                <w:lang w:val="en-GB"/>
              </w:rPr>
              <w:t>(</w:t>
            </w:r>
            <m:oMath>
              <m:r>
                <w:rPr>
                  <w:rFonts w:ascii="Cambria Math" w:hAnsi="Cambria Math" w:cs="Times New Roman"/>
                  <w:lang w:val="en-GB"/>
                </w:rPr>
                <m:t>±</m:t>
              </m:r>
            </m:oMath>
            <w:r>
              <w:rPr>
                <w:rFonts w:cs="Times New Roman"/>
                <w:lang w:val="en-GB"/>
              </w:rPr>
              <w:t>0.147</w:t>
            </w:r>
            <w:r w:rsidRPr="004C1D1A">
              <w:rPr>
                <w:rFonts w:cs="Times New Roman"/>
                <w:lang w:val="en-GB"/>
              </w:rPr>
              <w:t>)</w:t>
            </w:r>
          </w:p>
        </w:tc>
        <w:tc>
          <w:tcPr>
            <w:tcW w:w="2205" w:type="dxa"/>
            <w:tcBorders>
              <w:top w:val="none" w:sz="0" w:space="0" w:color="auto"/>
              <w:bottom w:val="nil"/>
              <w:right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1.0</w:t>
            </w:r>
            <w:r>
              <w:rPr>
                <w:rFonts w:cs="Times New Roman"/>
                <w:lang w:val="en-GB"/>
              </w:rPr>
              <w:t>00</w:t>
            </w:r>
            <w:r w:rsidRPr="004C1D1A">
              <w:rPr>
                <w:rFonts w:cs="Times New Roman"/>
                <w:lang w:val="en-GB"/>
              </w:rPr>
              <w:t>(</w:t>
            </w:r>
            <m:oMath>
              <m:r>
                <w:rPr>
                  <w:rFonts w:ascii="Cambria Math" w:hAnsi="Cambria Math" w:cs="Times New Roman"/>
                  <w:lang w:val="en-GB"/>
                </w:rPr>
                <m:t>±</m:t>
              </m:r>
            </m:oMath>
            <w:r>
              <w:rPr>
                <w:rFonts w:cs="Times New Roman"/>
                <w:lang w:val="en-GB"/>
              </w:rPr>
              <w:t>0.158</w:t>
            </w:r>
            <w:r w:rsidRPr="004C1D1A">
              <w:rPr>
                <w:rFonts w:cs="Times New Roman"/>
                <w:lang w:val="en-GB"/>
              </w:rPr>
              <w:t>)</w:t>
            </w:r>
          </w:p>
        </w:tc>
      </w:tr>
      <w:tr w:rsidR="004833BB" w:rsidRPr="004C1D1A" w:rsidTr="005E1D95">
        <w:trPr>
          <w:trHeight w:val="238"/>
        </w:trPr>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0.02</w:t>
            </w:r>
            <w:r>
              <w:rPr>
                <w:rFonts w:cs="Times New Roman"/>
                <w:lang w:val="en-GB"/>
              </w:rPr>
              <w:t>0</w:t>
            </w:r>
          </w:p>
        </w:tc>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0.99</w:t>
            </w:r>
            <w:r>
              <w:rPr>
                <w:rFonts w:cs="Times New Roman"/>
                <w:lang w:val="en-GB"/>
              </w:rPr>
              <w:t>7</w:t>
            </w:r>
            <w:r w:rsidRPr="004C1D1A">
              <w:rPr>
                <w:rFonts w:cs="Times New Roman"/>
                <w:lang w:val="en-GB"/>
              </w:rPr>
              <w:t>(</w:t>
            </w:r>
            <m:oMath>
              <m:r>
                <w:rPr>
                  <w:rFonts w:ascii="Cambria Math" w:hAnsi="Cambria Math" w:cs="Times New Roman"/>
                  <w:lang w:val="en-GB"/>
                </w:rPr>
                <m:t>±</m:t>
              </m:r>
            </m:oMath>
            <w:r w:rsidRPr="004C1D1A">
              <w:rPr>
                <w:rFonts w:cs="Times New Roman"/>
                <w:lang w:val="en-GB"/>
              </w:rPr>
              <w:t>0.15</w:t>
            </w:r>
            <w:r>
              <w:rPr>
                <w:rFonts w:cs="Times New Roman"/>
                <w:lang w:val="en-GB"/>
              </w:rPr>
              <w:t>0</w:t>
            </w:r>
            <w:r w:rsidRPr="004C1D1A">
              <w:rPr>
                <w:rFonts w:cs="Times New Roman"/>
                <w:lang w:val="en-GB"/>
              </w:rPr>
              <w:t>)</w:t>
            </w:r>
          </w:p>
        </w:tc>
        <w:tc>
          <w:tcPr>
            <w:tcW w:w="266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0.99</w:t>
            </w:r>
            <w:r>
              <w:rPr>
                <w:rFonts w:cs="Times New Roman"/>
                <w:lang w:val="en-GB"/>
              </w:rPr>
              <w:t>9</w:t>
            </w:r>
            <w:r w:rsidRPr="004C1D1A">
              <w:rPr>
                <w:rFonts w:cs="Times New Roman"/>
                <w:lang w:val="en-GB"/>
              </w:rPr>
              <w:t>(</w:t>
            </w:r>
            <m:oMath>
              <m:r>
                <w:rPr>
                  <w:rFonts w:ascii="Cambria Math" w:hAnsi="Cambria Math" w:cs="Times New Roman"/>
                  <w:lang w:val="en-GB"/>
                </w:rPr>
                <m:t>±</m:t>
              </m:r>
            </m:oMath>
            <w:r w:rsidRPr="004C1D1A">
              <w:rPr>
                <w:rFonts w:cs="Times New Roman"/>
                <w:lang w:val="en-GB"/>
              </w:rPr>
              <w:t>0.14</w:t>
            </w:r>
            <w:r>
              <w:rPr>
                <w:rFonts w:cs="Times New Roman"/>
                <w:lang w:val="en-GB"/>
              </w:rPr>
              <w:t>4</w:t>
            </w:r>
            <w:r w:rsidRPr="004C1D1A">
              <w:rPr>
                <w:rFonts w:cs="Times New Roman"/>
                <w:lang w:val="en-GB"/>
              </w:rPr>
              <w:t>)</w:t>
            </w:r>
          </w:p>
        </w:tc>
        <w:tc>
          <w:tcPr>
            <w:tcW w:w="220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1.0</w:t>
            </w:r>
            <w:r>
              <w:rPr>
                <w:rFonts w:cs="Times New Roman"/>
                <w:lang w:val="en-GB"/>
              </w:rPr>
              <w:t>02</w:t>
            </w:r>
            <w:r w:rsidRPr="004C1D1A">
              <w:rPr>
                <w:rFonts w:cs="Times New Roman"/>
                <w:lang w:val="en-GB"/>
              </w:rPr>
              <w:t>(</w:t>
            </w:r>
            <m:oMath>
              <m:r>
                <w:rPr>
                  <w:rFonts w:ascii="Cambria Math" w:hAnsi="Cambria Math" w:cs="Times New Roman"/>
                  <w:lang w:val="en-GB"/>
                </w:rPr>
                <m:t>±</m:t>
              </m:r>
            </m:oMath>
            <w:r>
              <w:rPr>
                <w:rFonts w:cs="Times New Roman"/>
                <w:lang w:val="en-GB"/>
              </w:rPr>
              <w:t>0.147</w:t>
            </w:r>
            <w:r w:rsidRPr="004C1D1A">
              <w:rPr>
                <w:rFonts w:cs="Times New Roman"/>
                <w:lang w:val="en-GB"/>
              </w:rPr>
              <w:t>)</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58"/>
        </w:trPr>
        <w:tc>
          <w:tcPr>
            <w:tcW w:w="2425" w:type="dxa"/>
            <w:tcBorders>
              <w:top w:val="nil"/>
              <w:left w:val="none" w:sz="0" w:space="0" w:color="auto"/>
              <w:bottom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0.04</w:t>
            </w:r>
            <w:r>
              <w:rPr>
                <w:rFonts w:cs="Times New Roman"/>
                <w:lang w:val="en-GB"/>
              </w:rPr>
              <w:t>0</w:t>
            </w:r>
          </w:p>
        </w:tc>
        <w:tc>
          <w:tcPr>
            <w:tcW w:w="2425" w:type="dxa"/>
            <w:tcBorders>
              <w:top w:val="nil"/>
              <w:bottom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1.68</w:t>
            </w:r>
            <w:r>
              <w:rPr>
                <w:rFonts w:cs="Times New Roman"/>
                <w:lang w:val="en-GB"/>
              </w:rPr>
              <w:t>9</w:t>
            </w:r>
            <w:r w:rsidRPr="004C1D1A">
              <w:rPr>
                <w:rFonts w:cs="Times New Roman"/>
                <w:lang w:val="en-GB"/>
              </w:rPr>
              <w:t>(</w:t>
            </w:r>
            <m:oMath>
              <m:r>
                <w:rPr>
                  <w:rFonts w:ascii="Cambria Math" w:hAnsi="Cambria Math" w:cs="Times New Roman"/>
                  <w:lang w:val="en-GB"/>
                </w:rPr>
                <m:t>±</m:t>
              </m:r>
            </m:oMath>
            <w:r>
              <w:rPr>
                <w:rFonts w:cs="Times New Roman"/>
                <w:lang w:val="en-GB"/>
              </w:rPr>
              <w:t>0.157</w:t>
            </w:r>
            <w:r w:rsidRPr="004C1D1A">
              <w:rPr>
                <w:rFonts w:cs="Times New Roman"/>
                <w:lang w:val="en-GB"/>
              </w:rPr>
              <w:t>)</w:t>
            </w:r>
          </w:p>
        </w:tc>
        <w:tc>
          <w:tcPr>
            <w:tcW w:w="2665" w:type="dxa"/>
            <w:tcBorders>
              <w:top w:val="nil"/>
              <w:bottom w:val="none" w:sz="0" w:space="0" w:color="auto"/>
            </w:tcBorders>
            <w:hideMark/>
          </w:tcPr>
          <w:p w:rsidR="004833BB" w:rsidRPr="004C1D1A" w:rsidRDefault="004833BB" w:rsidP="005E1D95">
            <w:pPr>
              <w:jc w:val="center"/>
              <w:rPr>
                <w:rFonts w:cs="Times New Roman"/>
                <w:lang w:val="en-GB"/>
              </w:rPr>
            </w:pPr>
            <w:r w:rsidRPr="004C1D1A">
              <w:rPr>
                <w:rFonts w:cs="Times New Roman"/>
                <w:lang w:val="en-GB"/>
              </w:rPr>
              <w:t>1.69</w:t>
            </w:r>
            <w:r>
              <w:rPr>
                <w:rFonts w:cs="Times New Roman"/>
                <w:lang w:val="en-GB"/>
              </w:rPr>
              <w:t>0</w:t>
            </w:r>
            <w:r w:rsidRPr="004C1D1A">
              <w:rPr>
                <w:rFonts w:cs="Times New Roman"/>
                <w:lang w:val="en-GB"/>
              </w:rPr>
              <w:t>(</w:t>
            </w:r>
            <m:oMath>
              <m:r>
                <w:rPr>
                  <w:rFonts w:ascii="Cambria Math" w:hAnsi="Cambria Math" w:cs="Times New Roman"/>
                  <w:lang w:val="en-GB"/>
                </w:rPr>
                <m:t>±</m:t>
              </m:r>
            </m:oMath>
            <w:r w:rsidRPr="004C1D1A">
              <w:rPr>
                <w:rFonts w:cs="Times New Roman"/>
                <w:lang w:val="en-GB"/>
              </w:rPr>
              <w:t>0.15</w:t>
            </w:r>
            <w:r>
              <w:rPr>
                <w:rFonts w:cs="Times New Roman"/>
                <w:lang w:val="en-GB"/>
              </w:rPr>
              <w:t>5</w:t>
            </w:r>
            <w:r w:rsidRPr="004C1D1A">
              <w:rPr>
                <w:rFonts w:cs="Times New Roman"/>
                <w:lang w:val="en-GB"/>
              </w:rPr>
              <w:t>)</w:t>
            </w:r>
          </w:p>
        </w:tc>
        <w:tc>
          <w:tcPr>
            <w:tcW w:w="2205" w:type="dxa"/>
            <w:tcBorders>
              <w:top w:val="nil"/>
              <w:bottom w:val="none" w:sz="0" w:space="0" w:color="auto"/>
              <w:right w:val="none" w:sz="0" w:space="0" w:color="auto"/>
            </w:tcBorders>
            <w:hideMark/>
          </w:tcPr>
          <w:p w:rsidR="004833BB" w:rsidRPr="004C1D1A" w:rsidRDefault="004833BB" w:rsidP="005E1D95">
            <w:pPr>
              <w:keepNext/>
              <w:jc w:val="center"/>
              <w:rPr>
                <w:rFonts w:cs="Times New Roman"/>
                <w:lang w:val="en-GB"/>
              </w:rPr>
            </w:pPr>
            <w:r w:rsidRPr="004C1D1A">
              <w:rPr>
                <w:rFonts w:cs="Times New Roman"/>
                <w:lang w:val="en-GB"/>
              </w:rPr>
              <w:t>1.0</w:t>
            </w:r>
            <w:r>
              <w:rPr>
                <w:rFonts w:cs="Times New Roman"/>
                <w:lang w:val="en-GB"/>
              </w:rPr>
              <w:t>00</w:t>
            </w:r>
            <w:r w:rsidRPr="004C1D1A">
              <w:rPr>
                <w:rFonts w:cs="Times New Roman"/>
                <w:lang w:val="en-GB"/>
              </w:rPr>
              <w:t>(</w:t>
            </w:r>
            <m:oMath>
              <m:r>
                <w:rPr>
                  <w:rFonts w:ascii="Cambria Math" w:hAnsi="Cambria Math" w:cs="Times New Roman"/>
                  <w:lang w:val="en-GB"/>
                </w:rPr>
                <m:t>±</m:t>
              </m:r>
            </m:oMath>
            <w:r w:rsidRPr="004C1D1A">
              <w:rPr>
                <w:rFonts w:cs="Times New Roman"/>
                <w:lang w:val="en-GB"/>
              </w:rPr>
              <w:t>0.16</w:t>
            </w:r>
            <w:r>
              <w:rPr>
                <w:rFonts w:cs="Times New Roman"/>
                <w:lang w:val="en-GB"/>
              </w:rPr>
              <w:t>7</w:t>
            </w:r>
            <w:r w:rsidRPr="004C1D1A">
              <w:rPr>
                <w:rFonts w:cs="Times New Roman"/>
                <w:lang w:val="en-GB"/>
              </w:rPr>
              <w:t>)</w:t>
            </w:r>
          </w:p>
        </w:tc>
      </w:tr>
    </w:tbl>
    <w:p w:rsidR="004833BB" w:rsidRDefault="004833BB" w:rsidP="004833BB">
      <w:pPr>
        <w:widowControl/>
        <w:suppressAutoHyphens w:val="0"/>
        <w:spacing w:after="160" w:line="259" w:lineRule="auto"/>
        <w:rPr>
          <w:rFonts w:cs="Times New Roman"/>
          <w:lang w:val="en-GB"/>
        </w:rPr>
      </w:pPr>
    </w:p>
    <w:p w:rsidR="004833BB" w:rsidRDefault="004833BB" w:rsidP="004833BB">
      <w:pPr>
        <w:pStyle w:val="Caption"/>
        <w:keepNext/>
      </w:pPr>
      <w:bookmarkStart w:id="32" w:name="_Ref12453495"/>
      <w:r>
        <w:t xml:space="preserve">Table </w:t>
      </w:r>
      <w:r w:rsidR="00A70B57">
        <w:fldChar w:fldCharType="begin"/>
      </w:r>
      <w:r w:rsidR="00A70B57">
        <w:instrText xml:space="preserve"> SEQ Table \* ARABIC </w:instrText>
      </w:r>
      <w:r w:rsidR="00A70B57">
        <w:fldChar w:fldCharType="separate"/>
      </w:r>
      <w:r>
        <w:rPr>
          <w:noProof/>
        </w:rPr>
        <w:t>4</w:t>
      </w:r>
      <w:r w:rsidR="00A70B57">
        <w:rPr>
          <w:noProof/>
        </w:rPr>
        <w:fldChar w:fldCharType="end"/>
      </w:r>
      <w:bookmarkEnd w:id="32"/>
      <w:r>
        <w:t xml:space="preserve">: </w:t>
      </w:r>
      <w:r w:rsidRPr="006A068C">
        <w:rPr>
          <w:rFonts w:cs="Times New Roman"/>
        </w:rPr>
        <w:t xml:space="preserve">Mean contour length and aggregation number of worm-like micelles for </w:t>
      </w:r>
      <m:oMath>
        <m:r>
          <m:rPr>
            <m:sty m:val="b"/>
          </m:rPr>
          <w:rPr>
            <w:rFonts w:ascii="Cambria Math" w:hAnsi="Cambria Math" w:cs="Times New Roman"/>
          </w:rPr>
          <m:t>c=0.10</m:t>
        </m:r>
      </m:oMath>
      <w:r w:rsidRPr="006A068C">
        <w:rPr>
          <w:rFonts w:cs="Times New Roman"/>
        </w:rPr>
        <w:t xml:space="preserve"> SLES1EO.</w:t>
      </w:r>
    </w:p>
    <w:tbl>
      <w:tblPr>
        <w:tblStyle w:val="LightList-Accent3"/>
        <w:tblW w:w="7030" w:type="dxa"/>
        <w:jc w:val="center"/>
        <w:tblBorders>
          <w:top w:val="single" w:sz="18" w:space="0" w:color="auto"/>
          <w:left w:val="none" w:sz="0" w:space="0" w:color="auto"/>
          <w:bottom w:val="single" w:sz="18" w:space="0" w:color="auto"/>
          <w:right w:val="none" w:sz="0" w:space="0" w:color="auto"/>
          <w:insideH w:val="single" w:sz="18" w:space="0" w:color="auto"/>
        </w:tblBorders>
        <w:tblLook w:val="0420" w:firstRow="1" w:lastRow="0" w:firstColumn="0" w:lastColumn="0" w:noHBand="0" w:noVBand="1"/>
      </w:tblPr>
      <w:tblGrid>
        <w:gridCol w:w="2059"/>
        <w:gridCol w:w="1693"/>
        <w:gridCol w:w="1736"/>
        <w:gridCol w:w="1542"/>
      </w:tblGrid>
      <w:tr w:rsidR="004833BB" w:rsidRPr="00042B1A" w:rsidTr="005E1D95">
        <w:trPr>
          <w:cnfStyle w:val="100000000000" w:firstRow="1" w:lastRow="0" w:firstColumn="0" w:lastColumn="0" w:oddVBand="0" w:evenVBand="0" w:oddHBand="0" w:evenHBand="0" w:firstRowFirstColumn="0" w:firstRowLastColumn="0" w:lastRowFirstColumn="0" w:lastRowLastColumn="0"/>
          <w:jc w:val="center"/>
        </w:trPr>
        <w:tc>
          <w:tcPr>
            <w:tcW w:w="2059" w:type="dxa"/>
            <w:tcBorders>
              <w:bottom w:val="single" w:sz="18" w:space="0" w:color="auto"/>
            </w:tcBorders>
            <w:shd w:val="clear" w:color="auto" w:fill="FFFFFF" w:themeFill="background1"/>
            <w:hideMark/>
          </w:tcPr>
          <w:p w:rsidR="004833BB" w:rsidRPr="004C1D1A" w:rsidRDefault="004833BB" w:rsidP="005E1D95">
            <w:pPr>
              <w:jc w:val="both"/>
              <w:rPr>
                <w:rFonts w:cs="Times New Roman"/>
                <w:color w:val="auto"/>
                <w:lang w:val="en-GB"/>
              </w:rPr>
            </w:pPr>
            <w:r w:rsidRPr="004C1D1A">
              <w:rPr>
                <w:rFonts w:cs="Times New Roman"/>
                <w:color w:val="auto"/>
                <w:lang w:val="en-GB"/>
              </w:rPr>
              <w:t>Salt concentration</w:t>
            </w:r>
          </w:p>
          <w:p w:rsidR="004833BB" w:rsidRPr="004C1D1A" w:rsidRDefault="004833BB" w:rsidP="005E1D95">
            <w:pPr>
              <w:jc w:val="both"/>
              <w:rPr>
                <w:rFonts w:cs="Times New Roman"/>
                <w:color w:val="auto"/>
                <w:lang w:val="en-GB"/>
              </w:rPr>
            </w:pPr>
          </w:p>
        </w:tc>
        <w:tc>
          <w:tcPr>
            <w:tcW w:w="1693" w:type="dxa"/>
            <w:tcBorders>
              <w:bottom w:val="single" w:sz="18" w:space="0" w:color="auto"/>
            </w:tcBorders>
            <w:shd w:val="clear" w:color="auto" w:fill="FFFFFF" w:themeFill="background1"/>
            <w:hideMark/>
          </w:tcPr>
          <w:p w:rsidR="004833BB" w:rsidRPr="004C1D1A" w:rsidRDefault="004833BB" w:rsidP="005E1D95">
            <w:pPr>
              <w:jc w:val="center"/>
              <w:rPr>
                <w:rFonts w:cs="Times New Roman"/>
                <w:i/>
                <w:color w:val="auto"/>
                <w:lang w:val="en-GB"/>
              </w:rPr>
            </w:pPr>
            <w:r w:rsidRPr="004C1D1A">
              <w:rPr>
                <w:rFonts w:cs="Times New Roman"/>
                <w:color w:val="auto"/>
                <w:lang w:val="en-GB"/>
              </w:rPr>
              <w:t>Mean ℓ</w:t>
            </w:r>
            <w:r w:rsidRPr="004C1D1A">
              <w:rPr>
                <w:rFonts w:cs="Times New Roman"/>
                <w:i/>
                <w:color w:val="auto"/>
                <w:lang w:val="en-GB"/>
              </w:rPr>
              <w:t xml:space="preserve">  in DPD length units</w:t>
            </w:r>
          </w:p>
        </w:tc>
        <w:tc>
          <w:tcPr>
            <w:tcW w:w="1736"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Std of ℓ</w:t>
            </w:r>
          </w:p>
        </w:tc>
        <w:tc>
          <w:tcPr>
            <w:tcW w:w="1542"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Pr>
                <w:rFonts w:cs="Times New Roman"/>
                <w:color w:val="auto"/>
                <w:lang w:val="en-GB"/>
              </w:rPr>
              <w:t xml:space="preserve">Most probable </w:t>
            </w:r>
            <w:r w:rsidRPr="004C1D1A">
              <w:rPr>
                <w:rFonts w:cs="Times New Roman"/>
                <w:color w:val="auto"/>
                <w:lang w:val="en-GB"/>
              </w:rPr>
              <w:t xml:space="preserve">ℓ </w:t>
            </w:r>
          </w:p>
          <w:p w:rsidR="004833BB" w:rsidRPr="004C1D1A" w:rsidRDefault="004833BB" w:rsidP="005E1D95">
            <w:pPr>
              <w:jc w:val="center"/>
              <w:rPr>
                <w:rFonts w:cs="Times New Roman"/>
                <w:color w:val="auto"/>
                <w:lang w:val="en-GB"/>
              </w:rPr>
            </w:pPr>
            <w:r w:rsidRPr="004C1D1A">
              <w:rPr>
                <w:rFonts w:cs="Times New Roman"/>
                <w:i/>
                <w:color w:val="auto"/>
                <w:lang w:val="en-GB"/>
              </w:rPr>
              <w:t>DPD length units</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jc w:val="center"/>
        </w:trPr>
        <w:tc>
          <w:tcPr>
            <w:tcW w:w="2059" w:type="dxa"/>
            <w:tcBorders>
              <w:left w:val="nil"/>
              <w:bottom w:val="nil"/>
            </w:tcBorders>
            <w:hideMark/>
          </w:tcPr>
          <w:p w:rsidR="004833BB" w:rsidRPr="004C1D1A" w:rsidRDefault="004833BB" w:rsidP="005E1D95">
            <w:pPr>
              <w:jc w:val="center"/>
              <w:rPr>
                <w:rFonts w:cs="Times New Roman"/>
                <w:lang w:val="en-GB"/>
              </w:rPr>
            </w:pPr>
            <w:r w:rsidRPr="004C1D1A">
              <w:rPr>
                <w:rFonts w:cs="Times New Roman"/>
                <w:lang w:val="en-GB"/>
              </w:rPr>
              <w:t>0.05</w:t>
            </w:r>
            <w:r>
              <w:rPr>
                <w:rFonts w:cs="Times New Roman"/>
                <w:lang w:val="en-GB"/>
              </w:rPr>
              <w:t>0</w:t>
            </w:r>
          </w:p>
        </w:tc>
        <w:tc>
          <w:tcPr>
            <w:tcW w:w="1693" w:type="dxa"/>
            <w:tcBorders>
              <w:bottom w:val="nil"/>
            </w:tcBorders>
            <w:hideMark/>
          </w:tcPr>
          <w:p w:rsidR="004833BB" w:rsidRPr="004C1D1A" w:rsidRDefault="004833BB" w:rsidP="005E1D95">
            <w:pPr>
              <w:jc w:val="center"/>
              <w:rPr>
                <w:rFonts w:cs="Times New Roman"/>
                <w:lang w:val="en-GB"/>
              </w:rPr>
            </w:pPr>
            <w:r>
              <w:rPr>
                <w:rFonts w:cs="Times New Roman"/>
                <w:lang w:val="en-GB"/>
              </w:rPr>
              <w:t>20.195</w:t>
            </w:r>
          </w:p>
        </w:tc>
        <w:tc>
          <w:tcPr>
            <w:tcW w:w="1736" w:type="dxa"/>
            <w:tcBorders>
              <w:bottom w:val="nil"/>
            </w:tcBorders>
            <w:hideMark/>
          </w:tcPr>
          <w:p w:rsidR="004833BB" w:rsidRPr="004C1D1A" w:rsidRDefault="004833BB" w:rsidP="005E1D95">
            <w:pPr>
              <w:jc w:val="center"/>
              <w:rPr>
                <w:rFonts w:cs="Times New Roman"/>
                <w:lang w:val="en-GB"/>
              </w:rPr>
            </w:pPr>
            <w:r w:rsidRPr="004C1D1A">
              <w:rPr>
                <w:rFonts w:cs="Times New Roman"/>
                <w:lang w:val="en-GB"/>
              </w:rPr>
              <w:t>3.1</w:t>
            </w:r>
            <w:r>
              <w:rPr>
                <w:rFonts w:cs="Times New Roman"/>
                <w:lang w:val="en-GB"/>
              </w:rPr>
              <w:t>05</w:t>
            </w:r>
          </w:p>
        </w:tc>
        <w:tc>
          <w:tcPr>
            <w:tcW w:w="1542" w:type="dxa"/>
            <w:tcBorders>
              <w:bottom w:val="nil"/>
              <w:right w:val="nil"/>
            </w:tcBorders>
            <w:hideMark/>
          </w:tcPr>
          <w:p w:rsidR="004833BB" w:rsidRPr="004C1D1A" w:rsidRDefault="004833BB" w:rsidP="005E1D95">
            <w:pPr>
              <w:jc w:val="center"/>
              <w:rPr>
                <w:rFonts w:cs="Times New Roman"/>
                <w:lang w:val="en-GB"/>
              </w:rPr>
            </w:pPr>
            <w:r w:rsidRPr="004C1D1A">
              <w:rPr>
                <w:rFonts w:cs="Times New Roman"/>
                <w:lang w:val="en-GB"/>
              </w:rPr>
              <w:t>20.27</w:t>
            </w:r>
            <w:r>
              <w:rPr>
                <w:rFonts w:cs="Times New Roman"/>
                <w:lang w:val="en-GB"/>
              </w:rPr>
              <w:t>0</w:t>
            </w:r>
          </w:p>
        </w:tc>
      </w:tr>
      <w:tr w:rsidR="004833BB" w:rsidRPr="004C1D1A" w:rsidTr="005E1D95">
        <w:trPr>
          <w:jc w:val="center"/>
        </w:trPr>
        <w:tc>
          <w:tcPr>
            <w:tcW w:w="2059"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lastRenderedPageBreak/>
              <w:t>0.06</w:t>
            </w:r>
            <w:r>
              <w:rPr>
                <w:rFonts w:cs="Times New Roman"/>
                <w:lang w:val="en-GB"/>
              </w:rPr>
              <w:t>0</w:t>
            </w:r>
          </w:p>
        </w:tc>
        <w:tc>
          <w:tcPr>
            <w:tcW w:w="1693"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23.26</w:t>
            </w:r>
            <w:r>
              <w:rPr>
                <w:rFonts w:cs="Times New Roman"/>
                <w:lang w:val="en-GB"/>
              </w:rPr>
              <w:t>5</w:t>
            </w:r>
          </w:p>
        </w:tc>
        <w:tc>
          <w:tcPr>
            <w:tcW w:w="1736"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3.811</w:t>
            </w:r>
          </w:p>
        </w:tc>
        <w:tc>
          <w:tcPr>
            <w:tcW w:w="1542"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22.16</w:t>
            </w:r>
            <w:r>
              <w:rPr>
                <w:rFonts w:cs="Times New Roman"/>
                <w:lang w:val="en-GB"/>
              </w:rPr>
              <w:t>5</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jc w:val="center"/>
        </w:trPr>
        <w:tc>
          <w:tcPr>
            <w:tcW w:w="2059" w:type="dxa"/>
            <w:tcBorders>
              <w:top w:val="nil"/>
              <w:left w:val="nil"/>
              <w:bottom w:val="nil"/>
            </w:tcBorders>
            <w:hideMark/>
          </w:tcPr>
          <w:p w:rsidR="004833BB" w:rsidRPr="004C1D1A" w:rsidRDefault="004833BB" w:rsidP="005E1D95">
            <w:pPr>
              <w:jc w:val="center"/>
              <w:rPr>
                <w:rFonts w:cs="Times New Roman"/>
                <w:lang w:val="en-GB"/>
              </w:rPr>
            </w:pPr>
            <w:r w:rsidRPr="004C1D1A">
              <w:rPr>
                <w:rFonts w:cs="Times New Roman"/>
                <w:lang w:val="en-GB"/>
              </w:rPr>
              <w:t>0.075</w:t>
            </w:r>
          </w:p>
        </w:tc>
        <w:tc>
          <w:tcPr>
            <w:tcW w:w="1693" w:type="dxa"/>
            <w:tcBorders>
              <w:top w:val="nil"/>
              <w:bottom w:val="nil"/>
            </w:tcBorders>
            <w:hideMark/>
          </w:tcPr>
          <w:p w:rsidR="004833BB" w:rsidRPr="004C1D1A" w:rsidRDefault="004833BB" w:rsidP="005E1D95">
            <w:pPr>
              <w:jc w:val="center"/>
              <w:rPr>
                <w:rFonts w:cs="Times New Roman"/>
                <w:lang w:val="en-GB"/>
              </w:rPr>
            </w:pPr>
            <w:r>
              <w:rPr>
                <w:rFonts w:cs="Times New Roman"/>
                <w:lang w:val="en-GB"/>
              </w:rPr>
              <w:t>21.999</w:t>
            </w:r>
          </w:p>
        </w:tc>
        <w:tc>
          <w:tcPr>
            <w:tcW w:w="1736"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4.54</w:t>
            </w:r>
            <w:r>
              <w:rPr>
                <w:rFonts w:cs="Times New Roman"/>
                <w:lang w:val="en-GB"/>
              </w:rPr>
              <w:t>0</w:t>
            </w:r>
          </w:p>
        </w:tc>
        <w:tc>
          <w:tcPr>
            <w:tcW w:w="1542" w:type="dxa"/>
            <w:tcBorders>
              <w:top w:val="nil"/>
              <w:bottom w:val="nil"/>
              <w:right w:val="nil"/>
            </w:tcBorders>
            <w:hideMark/>
          </w:tcPr>
          <w:p w:rsidR="004833BB" w:rsidRPr="004C1D1A" w:rsidRDefault="004833BB" w:rsidP="005E1D95">
            <w:pPr>
              <w:keepNext/>
              <w:jc w:val="center"/>
              <w:rPr>
                <w:rFonts w:cs="Times New Roman"/>
                <w:lang w:val="en-GB"/>
              </w:rPr>
            </w:pPr>
            <w:r>
              <w:rPr>
                <w:rFonts w:cs="Times New Roman"/>
                <w:lang w:val="en-GB"/>
              </w:rPr>
              <w:t>24.592</w:t>
            </w:r>
          </w:p>
        </w:tc>
      </w:tr>
      <w:tr w:rsidR="004833BB" w:rsidRPr="004C1D1A" w:rsidTr="005E1D95">
        <w:trPr>
          <w:jc w:val="center"/>
        </w:trPr>
        <w:tc>
          <w:tcPr>
            <w:tcW w:w="2059"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0.08</w:t>
            </w:r>
            <w:r>
              <w:rPr>
                <w:rFonts w:cs="Times New Roman"/>
                <w:lang w:val="en-GB"/>
              </w:rPr>
              <w:t>0</w:t>
            </w:r>
          </w:p>
        </w:tc>
        <w:tc>
          <w:tcPr>
            <w:tcW w:w="1693"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21.52</w:t>
            </w:r>
            <w:r>
              <w:rPr>
                <w:rFonts w:cs="Times New Roman"/>
                <w:lang w:val="en-GB"/>
              </w:rPr>
              <w:t>1</w:t>
            </w:r>
          </w:p>
        </w:tc>
        <w:tc>
          <w:tcPr>
            <w:tcW w:w="1736"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4.26</w:t>
            </w:r>
            <w:r>
              <w:rPr>
                <w:rFonts w:cs="Times New Roman"/>
                <w:lang w:val="en-GB"/>
              </w:rPr>
              <w:t>2</w:t>
            </w:r>
          </w:p>
        </w:tc>
        <w:tc>
          <w:tcPr>
            <w:tcW w:w="1542" w:type="dxa"/>
            <w:tcBorders>
              <w:top w:val="nil"/>
              <w:bottom w:val="nil"/>
            </w:tcBorders>
          </w:tcPr>
          <w:p w:rsidR="004833BB" w:rsidRPr="004C1D1A" w:rsidRDefault="004833BB" w:rsidP="005E1D95">
            <w:pPr>
              <w:keepNext/>
              <w:jc w:val="center"/>
              <w:rPr>
                <w:rFonts w:cs="Times New Roman"/>
                <w:lang w:val="en-GB"/>
              </w:rPr>
            </w:pPr>
            <w:r w:rsidRPr="004C1D1A">
              <w:rPr>
                <w:rFonts w:cs="Times New Roman"/>
                <w:lang w:val="en-GB"/>
              </w:rPr>
              <w:t>23.85</w:t>
            </w:r>
            <w:r>
              <w:rPr>
                <w:rFonts w:cs="Times New Roman"/>
                <w:lang w:val="en-GB"/>
              </w:rPr>
              <w:t>2</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jc w:val="center"/>
        </w:trPr>
        <w:tc>
          <w:tcPr>
            <w:tcW w:w="2059" w:type="dxa"/>
            <w:tcBorders>
              <w:top w:val="nil"/>
              <w:left w:val="nil"/>
              <w:bottom w:val="single" w:sz="18" w:space="0" w:color="auto"/>
            </w:tcBorders>
          </w:tcPr>
          <w:p w:rsidR="004833BB" w:rsidRPr="004C1D1A" w:rsidRDefault="004833BB" w:rsidP="005E1D95">
            <w:pPr>
              <w:jc w:val="center"/>
              <w:rPr>
                <w:rFonts w:cs="Times New Roman"/>
                <w:lang w:val="en-GB"/>
              </w:rPr>
            </w:pPr>
            <w:r w:rsidRPr="004C1D1A">
              <w:rPr>
                <w:rFonts w:cs="Times New Roman"/>
                <w:lang w:val="en-GB"/>
              </w:rPr>
              <w:t>0.09</w:t>
            </w:r>
            <w:r>
              <w:rPr>
                <w:rFonts w:cs="Times New Roman"/>
                <w:lang w:val="en-GB"/>
              </w:rPr>
              <w:t>0</w:t>
            </w:r>
          </w:p>
        </w:tc>
        <w:tc>
          <w:tcPr>
            <w:tcW w:w="1693" w:type="dxa"/>
            <w:tcBorders>
              <w:top w:val="nil"/>
              <w:bottom w:val="single" w:sz="18" w:space="0" w:color="auto"/>
            </w:tcBorders>
          </w:tcPr>
          <w:p w:rsidR="004833BB" w:rsidRPr="004C1D1A" w:rsidRDefault="004833BB" w:rsidP="005E1D95">
            <w:pPr>
              <w:jc w:val="center"/>
              <w:rPr>
                <w:rFonts w:cs="Times New Roman"/>
                <w:lang w:val="en-GB"/>
              </w:rPr>
            </w:pPr>
            <w:r>
              <w:rPr>
                <w:rFonts w:cs="Times New Roman"/>
                <w:lang w:val="en-GB"/>
              </w:rPr>
              <w:t>20.927</w:t>
            </w:r>
          </w:p>
        </w:tc>
        <w:tc>
          <w:tcPr>
            <w:tcW w:w="1736" w:type="dxa"/>
            <w:tcBorders>
              <w:top w:val="nil"/>
              <w:bottom w:val="single" w:sz="18" w:space="0" w:color="auto"/>
            </w:tcBorders>
          </w:tcPr>
          <w:p w:rsidR="004833BB" w:rsidRPr="004C1D1A" w:rsidRDefault="004833BB" w:rsidP="005E1D95">
            <w:pPr>
              <w:jc w:val="center"/>
              <w:rPr>
                <w:rFonts w:cs="Times New Roman"/>
                <w:lang w:val="en-GB"/>
              </w:rPr>
            </w:pPr>
            <w:r>
              <w:rPr>
                <w:rFonts w:cs="Times New Roman"/>
                <w:lang w:val="en-GB"/>
              </w:rPr>
              <w:t>5.776</w:t>
            </w:r>
          </w:p>
        </w:tc>
        <w:tc>
          <w:tcPr>
            <w:tcW w:w="1542" w:type="dxa"/>
            <w:tcBorders>
              <w:top w:val="nil"/>
              <w:bottom w:val="single" w:sz="18" w:space="0" w:color="auto"/>
              <w:right w:val="nil"/>
            </w:tcBorders>
          </w:tcPr>
          <w:p w:rsidR="004833BB" w:rsidRPr="004C1D1A" w:rsidRDefault="004833BB" w:rsidP="005E1D95">
            <w:pPr>
              <w:keepNext/>
              <w:jc w:val="center"/>
              <w:rPr>
                <w:rFonts w:cs="Times New Roman"/>
                <w:lang w:val="en-GB"/>
              </w:rPr>
            </w:pPr>
            <w:r>
              <w:rPr>
                <w:rFonts w:cs="Times New Roman"/>
                <w:lang w:val="en-GB"/>
              </w:rPr>
              <w:t>23.837</w:t>
            </w:r>
          </w:p>
        </w:tc>
      </w:tr>
    </w:tbl>
    <w:p w:rsidR="004833BB" w:rsidRDefault="004833BB" w:rsidP="004833BB">
      <w:pPr>
        <w:widowControl/>
        <w:suppressAutoHyphens w:val="0"/>
        <w:spacing w:after="160" w:line="259" w:lineRule="auto"/>
        <w:rPr>
          <w:rFonts w:cs="Times New Roman"/>
          <w:lang w:val="en-GB"/>
        </w:rPr>
      </w:pPr>
    </w:p>
    <w:p w:rsidR="004833BB" w:rsidRPr="005F03B7" w:rsidRDefault="004833BB" w:rsidP="005F03B7">
      <w:pPr>
        <w:rPr>
          <w:rFonts w:eastAsia="MS Mincho" w:cs="Times New Roman"/>
          <w:b/>
          <w:bCs/>
          <w:kern w:val="0"/>
          <w:sz w:val="18"/>
          <w:szCs w:val="18"/>
          <w:lang w:val="en-GB" w:eastAsia="en-US" w:bidi="ar-SA"/>
        </w:rPr>
      </w:pPr>
      <w:bookmarkStart w:id="33" w:name="_Ref12453578"/>
      <w:r w:rsidRPr="00B9736C">
        <w:rPr>
          <w:rFonts w:eastAsia="MS Mincho" w:cs="Times New Roman"/>
          <w:b/>
          <w:bCs/>
          <w:kern w:val="0"/>
          <w:sz w:val="18"/>
          <w:szCs w:val="18"/>
          <w:lang w:val="en-GB" w:eastAsia="en-US" w:bidi="ar-SA"/>
        </w:rPr>
        <w:t xml:space="preserve">Table </w:t>
      </w:r>
      <w:r w:rsidRPr="00B9736C">
        <w:rPr>
          <w:rFonts w:eastAsia="MS Mincho" w:cs="Times New Roman"/>
          <w:b/>
          <w:bCs/>
          <w:kern w:val="0"/>
          <w:sz w:val="18"/>
          <w:szCs w:val="18"/>
          <w:lang w:val="en-GB" w:eastAsia="en-US" w:bidi="ar-SA"/>
        </w:rPr>
        <w:fldChar w:fldCharType="begin"/>
      </w:r>
      <w:r w:rsidRPr="00B9736C">
        <w:rPr>
          <w:rFonts w:eastAsia="MS Mincho" w:cs="Times New Roman"/>
          <w:b/>
          <w:bCs/>
          <w:kern w:val="0"/>
          <w:sz w:val="18"/>
          <w:szCs w:val="18"/>
          <w:lang w:val="en-GB" w:eastAsia="en-US" w:bidi="ar-SA"/>
        </w:rPr>
        <w:instrText xml:space="preserve"> SEQ Table \* ARABIC </w:instrText>
      </w:r>
      <w:r w:rsidRPr="00B9736C">
        <w:rPr>
          <w:rFonts w:eastAsia="MS Mincho" w:cs="Times New Roman"/>
          <w:b/>
          <w:bCs/>
          <w:kern w:val="0"/>
          <w:sz w:val="18"/>
          <w:szCs w:val="18"/>
          <w:lang w:val="en-GB" w:eastAsia="en-US" w:bidi="ar-SA"/>
        </w:rPr>
        <w:fldChar w:fldCharType="separate"/>
      </w:r>
      <w:r>
        <w:rPr>
          <w:rFonts w:eastAsia="MS Mincho" w:cs="Times New Roman"/>
          <w:b/>
          <w:bCs/>
          <w:noProof/>
          <w:kern w:val="0"/>
          <w:sz w:val="18"/>
          <w:szCs w:val="18"/>
          <w:lang w:val="en-GB" w:eastAsia="en-US" w:bidi="ar-SA"/>
        </w:rPr>
        <w:t>5</w:t>
      </w:r>
      <w:r w:rsidRPr="00B9736C">
        <w:rPr>
          <w:rFonts w:eastAsia="MS Mincho" w:cs="Times New Roman"/>
          <w:b/>
          <w:bCs/>
          <w:kern w:val="0"/>
          <w:sz w:val="18"/>
          <w:szCs w:val="18"/>
          <w:lang w:val="en-GB" w:eastAsia="en-US" w:bidi="ar-SA"/>
        </w:rPr>
        <w:fldChar w:fldCharType="end"/>
      </w:r>
      <w:bookmarkEnd w:id="33"/>
      <w:r w:rsidRPr="00B9736C">
        <w:rPr>
          <w:rFonts w:eastAsia="MS Mincho" w:cs="Times New Roman"/>
          <w:b/>
          <w:bCs/>
          <w:kern w:val="0"/>
          <w:sz w:val="18"/>
          <w:szCs w:val="18"/>
          <w:lang w:val="en-GB" w:eastAsia="en-US" w:bidi="ar-SA"/>
        </w:rPr>
        <w:t>: Mean aggregation number of different EO group numbers (in surfactants) at the region comme</w:t>
      </w:r>
      <w:r>
        <w:rPr>
          <w:rFonts w:eastAsia="MS Mincho" w:cs="Times New Roman"/>
          <w:b/>
          <w:bCs/>
          <w:kern w:val="0"/>
          <w:sz w:val="18"/>
          <w:szCs w:val="18"/>
          <w:lang w:val="en-GB" w:eastAsia="en-US" w:bidi="ar-SA"/>
        </w:rPr>
        <w:t xml:space="preserve">nsurate with spherical micelles at </w:t>
      </w:r>
      <m:oMath>
        <m:r>
          <m:rPr>
            <m:sty m:val="bi"/>
          </m:rPr>
          <w:rPr>
            <w:rFonts w:ascii="Cambria Math" w:eastAsia="MS Mincho" w:hAnsi="Cambria Math" w:cs="Times New Roman"/>
            <w:kern w:val="0"/>
            <w:sz w:val="18"/>
            <w:szCs w:val="18"/>
            <w:lang w:val="en-GB" w:eastAsia="en-US" w:bidi="ar-SA"/>
          </w:rPr>
          <m:t>c=0.130</m:t>
        </m:r>
      </m:oMath>
      <w:r>
        <w:rPr>
          <w:rFonts w:eastAsia="MS Mincho" w:cs="Times New Roman"/>
          <w:b/>
          <w:bCs/>
          <w:kern w:val="0"/>
          <w:sz w:val="18"/>
          <w:szCs w:val="18"/>
          <w:lang w:val="en-GB" w:eastAsia="en-US" w:bidi="ar-SA"/>
        </w:rPr>
        <w:t xml:space="preserve">. </w:t>
      </w:r>
      <w:r w:rsidRPr="00B9736C">
        <w:rPr>
          <w:rFonts w:eastAsia="MS Mincho" w:cs="Times New Roman"/>
          <w:b/>
          <w:bCs/>
          <w:kern w:val="0"/>
          <w:sz w:val="18"/>
          <w:szCs w:val="18"/>
          <w:lang w:val="en-GB" w:eastAsia="en-US" w:bidi="ar-SA"/>
        </w:rPr>
        <w:t xml:space="preserve"> </w:t>
      </w:r>
    </w:p>
    <w:tbl>
      <w:tblPr>
        <w:tblStyle w:val="LightList-Accent3"/>
        <w:tblW w:w="4850" w:type="dxa"/>
        <w:jc w:val="center"/>
        <w:tblBorders>
          <w:top w:val="single" w:sz="18" w:space="0" w:color="auto"/>
          <w:left w:val="none" w:sz="0" w:space="0" w:color="auto"/>
          <w:bottom w:val="single" w:sz="12" w:space="0" w:color="auto"/>
          <w:right w:val="none" w:sz="0" w:space="0" w:color="auto"/>
          <w:insideH w:val="single" w:sz="18" w:space="0" w:color="auto"/>
        </w:tblBorders>
        <w:tblLook w:val="0420" w:firstRow="1" w:lastRow="0" w:firstColumn="0" w:lastColumn="0" w:noHBand="0" w:noVBand="1"/>
      </w:tblPr>
      <w:tblGrid>
        <w:gridCol w:w="2425"/>
        <w:gridCol w:w="2425"/>
      </w:tblGrid>
      <w:tr w:rsidR="004833BB" w:rsidRPr="00042B1A" w:rsidTr="005E1D95">
        <w:trPr>
          <w:cnfStyle w:val="100000000000" w:firstRow="1" w:lastRow="0" w:firstColumn="0" w:lastColumn="0" w:oddVBand="0" w:evenVBand="0" w:oddHBand="0" w:evenHBand="0" w:firstRowFirstColumn="0" w:firstRowLastColumn="0" w:lastRowFirstColumn="0" w:lastRowLastColumn="0"/>
          <w:trHeight w:val="428"/>
          <w:jc w:val="center"/>
        </w:trPr>
        <w:tc>
          <w:tcPr>
            <w:tcW w:w="242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Number of EO</w:t>
            </w:r>
          </w:p>
          <w:p w:rsidR="004833BB" w:rsidRPr="004C1D1A" w:rsidRDefault="004833BB" w:rsidP="005E1D95">
            <w:pPr>
              <w:jc w:val="center"/>
              <w:rPr>
                <w:rFonts w:cs="Times New Roman"/>
                <w:color w:val="auto"/>
                <w:lang w:val="en-GB"/>
              </w:rPr>
            </w:pPr>
          </w:p>
        </w:tc>
        <w:tc>
          <w:tcPr>
            <w:tcW w:w="2425" w:type="dxa"/>
            <w:tcBorders>
              <w:bottom w:val="single" w:sz="18" w:space="0" w:color="auto"/>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 xml:space="preserve">Mean aggregation no. at </w:t>
            </w:r>
            <m:oMath>
              <m:sSub>
                <m:sSubPr>
                  <m:ctrlPr>
                    <w:rPr>
                      <w:rFonts w:ascii="Cambria Math" w:hAnsi="Cambria Math" w:cs="Times New Roman"/>
                      <w:color w:val="auto"/>
                      <w:lang w:val="en-GB"/>
                    </w:rPr>
                  </m:ctrlPr>
                </m:sSubPr>
                <m:e>
                  <m:r>
                    <m:rPr>
                      <m:sty m:val="b"/>
                    </m:rPr>
                    <w:rPr>
                      <w:rFonts w:ascii="Cambria Math" w:hAnsi="Cambria Math" w:cs="Times New Roman"/>
                      <w:color w:val="auto"/>
                      <w:lang w:val="en-GB"/>
                    </w:rPr>
                    <m:t>c</m:t>
                  </m:r>
                </m:e>
                <m:sub>
                  <m:r>
                    <m:rPr>
                      <m:sty m:val="b"/>
                    </m:rPr>
                    <w:rPr>
                      <w:rFonts w:ascii="Cambria Math" w:hAnsi="Cambria Math" w:cs="Times New Roman"/>
                      <w:color w:val="auto"/>
                      <w:lang w:val="en-GB"/>
                    </w:rPr>
                    <m:t>s</m:t>
                  </m:r>
                </m:sub>
              </m:sSub>
              <m:r>
                <m:rPr>
                  <m:sty m:val="b"/>
                </m:rPr>
                <w:rPr>
                  <w:rFonts w:ascii="Cambria Math" w:hAnsi="Cambria Math" w:cs="Times New Roman"/>
                  <w:color w:val="auto"/>
                  <w:lang w:val="en-GB"/>
                </w:rPr>
                <m:t>=0.02</m:t>
              </m:r>
            </m:oMath>
            <w:r w:rsidRPr="004C1D1A">
              <w:rPr>
                <w:rFonts w:cs="Times New Roman"/>
                <w:color w:val="auto"/>
                <w:lang w:val="en-GB"/>
              </w:rPr>
              <w:t xml:space="preserve"> salt</w:t>
            </w:r>
          </w:p>
        </w:tc>
      </w:tr>
      <w:tr w:rsidR="004833BB" w:rsidRPr="00A06F81" w:rsidTr="005E1D95">
        <w:trPr>
          <w:cnfStyle w:val="000000100000" w:firstRow="0" w:lastRow="0" w:firstColumn="0" w:lastColumn="0" w:oddVBand="0" w:evenVBand="0" w:oddHBand="1" w:evenHBand="0" w:firstRowFirstColumn="0" w:firstRowLastColumn="0" w:lastRowFirstColumn="0" w:lastRowLastColumn="0"/>
          <w:trHeight w:val="254"/>
          <w:jc w:val="center"/>
        </w:trPr>
        <w:tc>
          <w:tcPr>
            <w:tcW w:w="2425" w:type="dxa"/>
            <w:tcBorders>
              <w:top w:val="single" w:sz="18" w:space="0" w:color="auto"/>
              <w:left w:val="nil"/>
              <w:bottom w:val="nil"/>
            </w:tcBorders>
            <w:hideMark/>
          </w:tcPr>
          <w:p w:rsidR="004833BB" w:rsidRPr="004C1D1A" w:rsidRDefault="004833BB" w:rsidP="005E1D95">
            <w:pPr>
              <w:jc w:val="center"/>
              <w:rPr>
                <w:rFonts w:cs="Times New Roman"/>
                <w:lang w:val="en-GB"/>
              </w:rPr>
            </w:pPr>
            <w:r w:rsidRPr="004C1D1A">
              <w:rPr>
                <w:rFonts w:cs="Times New Roman"/>
                <w:lang w:val="en-GB"/>
              </w:rPr>
              <w:t>1</w:t>
            </w:r>
          </w:p>
        </w:tc>
        <w:tc>
          <w:tcPr>
            <w:tcW w:w="2425" w:type="dxa"/>
            <w:tcBorders>
              <w:top w:val="single" w:sz="18" w:space="0" w:color="auto"/>
              <w:bottom w:val="nil"/>
              <w:right w:val="nil"/>
            </w:tcBorders>
          </w:tcPr>
          <w:p w:rsidR="004833BB" w:rsidRPr="004C1D1A" w:rsidRDefault="004833BB" w:rsidP="005E1D95">
            <w:pPr>
              <w:jc w:val="center"/>
              <w:rPr>
                <w:rFonts w:cs="Times New Roman"/>
                <w:lang w:val="en-GB"/>
              </w:rPr>
            </w:pPr>
            <m:oMathPara>
              <m:oMath>
                <m:r>
                  <w:rPr>
                    <w:rFonts w:ascii="Cambria Math" w:hAnsi="Cambria Math" w:cs="Times New Roman"/>
                    <w:lang w:val="en-GB"/>
                  </w:rPr>
                  <m:t>72.251(±20.658)</m:t>
                </m:r>
              </m:oMath>
            </m:oMathPara>
          </w:p>
        </w:tc>
      </w:tr>
      <w:tr w:rsidR="004833BB" w:rsidRPr="00A06F81" w:rsidTr="005E1D95">
        <w:trPr>
          <w:trHeight w:val="247"/>
          <w:jc w:val="center"/>
        </w:trPr>
        <w:tc>
          <w:tcPr>
            <w:tcW w:w="242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2</w:t>
            </w:r>
          </w:p>
        </w:tc>
        <w:tc>
          <w:tcPr>
            <w:tcW w:w="2425" w:type="dxa"/>
            <w:tcBorders>
              <w:top w:val="nil"/>
              <w:bottom w:val="nil"/>
            </w:tcBorders>
            <w:hideMark/>
          </w:tcPr>
          <w:p w:rsidR="004833BB" w:rsidRPr="004C1D1A" w:rsidRDefault="004833BB" w:rsidP="005E1D95">
            <w:pPr>
              <w:jc w:val="center"/>
              <w:rPr>
                <w:rFonts w:cs="Times New Roman"/>
                <w:lang w:val="en-GB"/>
              </w:rPr>
            </w:pPr>
            <m:oMathPara>
              <m:oMath>
                <m:r>
                  <w:rPr>
                    <w:rFonts w:ascii="Cambria Math" w:hAnsi="Cambria Math" w:cs="Times New Roman"/>
                    <w:lang w:val="en-GB"/>
                  </w:rPr>
                  <m:t>78.136(±29.439)</m:t>
                </m:r>
              </m:oMath>
            </m:oMathPara>
          </w:p>
        </w:tc>
      </w:tr>
      <w:tr w:rsidR="004833BB" w:rsidRPr="00A06F81" w:rsidTr="005E1D95">
        <w:trPr>
          <w:cnfStyle w:val="000000100000" w:firstRow="0" w:lastRow="0" w:firstColumn="0" w:lastColumn="0" w:oddVBand="0" w:evenVBand="0" w:oddHBand="1" w:evenHBand="0" w:firstRowFirstColumn="0" w:firstRowLastColumn="0" w:lastRowFirstColumn="0" w:lastRowLastColumn="0"/>
          <w:trHeight w:val="252"/>
          <w:jc w:val="center"/>
        </w:trPr>
        <w:tc>
          <w:tcPr>
            <w:tcW w:w="2425" w:type="dxa"/>
            <w:tcBorders>
              <w:top w:val="nil"/>
              <w:left w:val="nil"/>
              <w:bottom w:val="single" w:sz="18" w:space="0" w:color="auto"/>
            </w:tcBorders>
            <w:hideMark/>
          </w:tcPr>
          <w:p w:rsidR="004833BB" w:rsidRPr="004C1D1A" w:rsidRDefault="004833BB" w:rsidP="005E1D95">
            <w:pPr>
              <w:jc w:val="center"/>
              <w:rPr>
                <w:rFonts w:cs="Times New Roman"/>
                <w:lang w:val="en-GB"/>
              </w:rPr>
            </w:pPr>
            <w:r w:rsidRPr="004C1D1A">
              <w:rPr>
                <w:rFonts w:cs="Times New Roman"/>
                <w:lang w:val="en-GB"/>
              </w:rPr>
              <w:t>3</w:t>
            </w:r>
          </w:p>
        </w:tc>
        <w:tc>
          <w:tcPr>
            <w:tcW w:w="2425" w:type="dxa"/>
            <w:tcBorders>
              <w:top w:val="nil"/>
              <w:bottom w:val="single" w:sz="18" w:space="0" w:color="auto"/>
              <w:right w:val="nil"/>
            </w:tcBorders>
            <w:hideMark/>
          </w:tcPr>
          <w:p w:rsidR="004833BB" w:rsidRPr="004C1D1A" w:rsidRDefault="004833BB" w:rsidP="005E1D95">
            <w:pPr>
              <w:jc w:val="center"/>
              <w:rPr>
                <w:rFonts w:cs="Times New Roman"/>
                <w:lang w:val="en-GB"/>
              </w:rPr>
            </w:pPr>
            <m:oMathPara>
              <m:oMath>
                <m:r>
                  <w:rPr>
                    <w:rFonts w:ascii="Cambria Math" w:hAnsi="Cambria Math" w:cs="Times New Roman"/>
                    <w:lang w:val="en-GB"/>
                  </w:rPr>
                  <m:t>87.662(±32.760)</m:t>
                </m:r>
              </m:oMath>
            </m:oMathPara>
          </w:p>
        </w:tc>
      </w:tr>
    </w:tbl>
    <w:p w:rsidR="004833BB" w:rsidRDefault="004833BB" w:rsidP="004833BB">
      <w:pPr>
        <w:widowControl/>
        <w:suppressAutoHyphens w:val="0"/>
        <w:spacing w:after="160" w:line="259" w:lineRule="auto"/>
        <w:rPr>
          <w:rFonts w:cs="Times New Roman"/>
          <w:lang w:val="en-GB"/>
        </w:rPr>
      </w:pPr>
    </w:p>
    <w:p w:rsidR="004833BB" w:rsidRDefault="004833BB" w:rsidP="004833BB">
      <w:pPr>
        <w:pStyle w:val="Caption"/>
        <w:keepNext/>
      </w:pPr>
      <w:bookmarkStart w:id="34" w:name="_Ref12453620"/>
      <w:r>
        <w:t xml:space="preserve">Table </w:t>
      </w:r>
      <w:r w:rsidR="00A70B57">
        <w:fldChar w:fldCharType="begin"/>
      </w:r>
      <w:r w:rsidR="00A70B57">
        <w:instrText xml:space="preserve"> SEQ Table \* ARABIC </w:instrText>
      </w:r>
      <w:r w:rsidR="00A70B57">
        <w:fldChar w:fldCharType="separate"/>
      </w:r>
      <w:r>
        <w:rPr>
          <w:noProof/>
        </w:rPr>
        <w:t>6</w:t>
      </w:r>
      <w:r w:rsidR="00A70B57">
        <w:rPr>
          <w:noProof/>
        </w:rPr>
        <w:fldChar w:fldCharType="end"/>
      </w:r>
      <w:bookmarkEnd w:id="34"/>
      <w:r>
        <w:t xml:space="preserve">: </w:t>
      </w:r>
      <w:r w:rsidRPr="004C1D1A">
        <w:rPr>
          <w:rFonts w:cs="Times New Roman"/>
        </w:rPr>
        <w:t>Test points used for the verification of the predictive model of contour length for SLES</w:t>
      </w:r>
      <w:r w:rsidRPr="004C1D1A">
        <w:rPr>
          <w:rFonts w:cs="Times New Roman"/>
          <w:vertAlign w:val="subscript"/>
        </w:rPr>
        <w:t>1</w:t>
      </w:r>
      <w:r w:rsidRPr="004C1D1A">
        <w:rPr>
          <w:rFonts w:cs="Times New Roman"/>
        </w:rPr>
        <w:t>EO.</w:t>
      </w:r>
    </w:p>
    <w:tbl>
      <w:tblPr>
        <w:tblStyle w:val="LightList-Accent3"/>
        <w:tblpPr w:leftFromText="180" w:rightFromText="180" w:vertAnchor="text" w:horzAnchor="margin" w:tblpXSpec="center" w:tblpY="490"/>
        <w:tblW w:w="9854" w:type="dxa"/>
        <w:tblBorders>
          <w:top w:val="single" w:sz="18" w:space="0" w:color="auto"/>
          <w:left w:val="none" w:sz="0" w:space="0" w:color="auto"/>
          <w:bottom w:val="single" w:sz="12" w:space="0" w:color="auto"/>
          <w:right w:val="none" w:sz="0" w:space="0" w:color="auto"/>
          <w:insideH w:val="single" w:sz="18" w:space="0" w:color="auto"/>
        </w:tblBorders>
        <w:tblLook w:val="0420" w:firstRow="1" w:lastRow="0" w:firstColumn="0" w:lastColumn="0" w:noHBand="0" w:noVBand="1"/>
      </w:tblPr>
      <w:tblGrid>
        <w:gridCol w:w="2375"/>
        <w:gridCol w:w="2605"/>
        <w:gridCol w:w="2437"/>
        <w:gridCol w:w="2437"/>
      </w:tblGrid>
      <w:tr w:rsidR="004833BB" w:rsidRPr="004C1D1A" w:rsidTr="005E1D95">
        <w:trPr>
          <w:cnfStyle w:val="100000000000" w:firstRow="1" w:lastRow="0" w:firstColumn="0" w:lastColumn="0" w:oddVBand="0" w:evenVBand="0" w:oddHBand="0" w:evenHBand="0" w:firstRowFirstColumn="0" w:firstRowLastColumn="0" w:lastRowFirstColumn="0" w:lastRowLastColumn="0"/>
          <w:trHeight w:val="428"/>
        </w:trPr>
        <w:tc>
          <w:tcPr>
            <w:tcW w:w="2375" w:type="dxa"/>
            <w:tcBorders>
              <w:left w:val="nil"/>
            </w:tcBorders>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[SLES</w:t>
            </w:r>
            <w:r w:rsidRPr="004C1D1A">
              <w:rPr>
                <w:rFonts w:cs="Times New Roman"/>
                <w:color w:val="auto"/>
                <w:vertAlign w:val="subscript"/>
                <w:lang w:val="en-GB"/>
              </w:rPr>
              <w:t>1</w:t>
            </w:r>
            <w:r w:rsidRPr="004C1D1A">
              <w:rPr>
                <w:rFonts w:cs="Times New Roman"/>
                <w:color w:val="auto"/>
                <w:lang w:val="en-GB"/>
              </w:rPr>
              <w:t>EO]</w:t>
            </w:r>
          </w:p>
        </w:tc>
        <w:tc>
          <w:tcPr>
            <w:tcW w:w="2605" w:type="dxa"/>
            <w:shd w:val="clear" w:color="auto" w:fill="FFFFFF" w:themeFill="background1"/>
            <w:hideMark/>
          </w:tcPr>
          <w:p w:rsidR="004833BB" w:rsidRPr="004C1D1A" w:rsidRDefault="004833BB" w:rsidP="005E1D95">
            <w:pPr>
              <w:jc w:val="center"/>
              <w:rPr>
                <w:rFonts w:cs="Times New Roman"/>
                <w:color w:val="auto"/>
                <w:lang w:val="en-GB"/>
              </w:rPr>
            </w:pPr>
            <w:r w:rsidRPr="004C1D1A">
              <w:rPr>
                <w:rFonts w:cs="Times New Roman"/>
                <w:color w:val="auto"/>
                <w:lang w:val="en-GB"/>
              </w:rPr>
              <w:t>[NaCl]</w:t>
            </w:r>
          </w:p>
        </w:tc>
        <w:tc>
          <w:tcPr>
            <w:tcW w:w="2437" w:type="dxa"/>
            <w:shd w:val="clear" w:color="auto" w:fill="FFFFFF" w:themeFill="background1"/>
          </w:tcPr>
          <w:p w:rsidR="004833BB" w:rsidRPr="004C1D1A" w:rsidRDefault="004833BB" w:rsidP="005E1D95">
            <w:pPr>
              <w:jc w:val="center"/>
              <w:rPr>
                <w:rFonts w:cs="Times New Roman"/>
                <w:color w:val="auto"/>
                <w:lang w:val="en-GB"/>
              </w:rPr>
            </w:pPr>
            <w:r>
              <w:rPr>
                <w:rFonts w:cs="Times New Roman"/>
                <w:color w:val="auto"/>
                <w:lang w:val="en-GB"/>
              </w:rPr>
              <w:t>Mean actual contour length</w:t>
            </w:r>
          </w:p>
        </w:tc>
        <w:tc>
          <w:tcPr>
            <w:tcW w:w="2437" w:type="dxa"/>
            <w:tcBorders>
              <w:right w:val="nil"/>
            </w:tcBorders>
            <w:shd w:val="clear" w:color="auto" w:fill="FFFFFF" w:themeFill="background1"/>
          </w:tcPr>
          <w:p w:rsidR="004833BB" w:rsidRPr="004C1D1A" w:rsidRDefault="004833BB" w:rsidP="005E1D95">
            <w:pPr>
              <w:jc w:val="center"/>
              <w:rPr>
                <w:rFonts w:cs="Times New Roman"/>
                <w:color w:val="auto"/>
                <w:lang w:val="en-GB"/>
              </w:rPr>
            </w:pPr>
            <w:r>
              <w:rPr>
                <w:rFonts w:cs="Times New Roman"/>
                <w:color w:val="auto"/>
                <w:lang w:val="en-GB"/>
              </w:rPr>
              <w:t>Mean p</w:t>
            </w:r>
            <w:r w:rsidRPr="004C1D1A">
              <w:rPr>
                <w:rFonts w:cs="Times New Roman"/>
                <w:color w:val="auto"/>
                <w:lang w:val="en-GB"/>
              </w:rPr>
              <w:t>redicted contour length</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36"/>
        </w:trPr>
        <w:tc>
          <w:tcPr>
            <w:tcW w:w="2375" w:type="dxa"/>
            <w:tcBorders>
              <w:top w:val="nil"/>
              <w:left w:val="nil"/>
              <w:bottom w:val="nil"/>
            </w:tcBorders>
          </w:tcPr>
          <w:p w:rsidR="004833BB" w:rsidRPr="004C1D1A" w:rsidRDefault="004833BB" w:rsidP="005E1D95">
            <w:pPr>
              <w:jc w:val="center"/>
              <w:rPr>
                <w:rFonts w:cs="Times New Roman"/>
                <w:lang w:val="en-GB"/>
              </w:rPr>
            </w:pPr>
            <w:r w:rsidRPr="004C1D1A">
              <w:rPr>
                <w:rFonts w:cs="Times New Roman"/>
                <w:lang w:val="en-GB"/>
              </w:rPr>
              <w:t>0.1</w:t>
            </w:r>
            <w:r>
              <w:rPr>
                <w:rFonts w:cs="Times New Roman"/>
                <w:lang w:val="en-GB"/>
              </w:rPr>
              <w:t>00</w:t>
            </w:r>
          </w:p>
        </w:tc>
        <w:tc>
          <w:tcPr>
            <w:tcW w:w="2605"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0.04</w:t>
            </w:r>
            <w:r>
              <w:rPr>
                <w:rFonts w:cs="Times New Roman"/>
                <w:lang w:val="en-GB"/>
              </w:rPr>
              <w:t>0</w:t>
            </w:r>
          </w:p>
        </w:tc>
        <w:tc>
          <w:tcPr>
            <w:tcW w:w="2437"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13.58</w:t>
            </w:r>
            <w:r>
              <w:rPr>
                <w:rFonts w:cs="Times New Roman"/>
                <w:lang w:val="en-GB"/>
              </w:rPr>
              <w:t>0</w:t>
            </w:r>
          </w:p>
        </w:tc>
        <w:tc>
          <w:tcPr>
            <w:tcW w:w="2437" w:type="dxa"/>
            <w:tcBorders>
              <w:top w:val="nil"/>
              <w:bottom w:val="nil"/>
              <w:right w:val="nil"/>
            </w:tcBorders>
          </w:tcPr>
          <w:p w:rsidR="004833BB" w:rsidRPr="004C1D1A" w:rsidRDefault="004833BB" w:rsidP="005E1D95">
            <w:pPr>
              <w:jc w:val="center"/>
              <w:rPr>
                <w:rFonts w:cs="Times New Roman"/>
                <w:lang w:val="en-GB"/>
              </w:rPr>
            </w:pPr>
            <w:r>
              <w:rPr>
                <w:rFonts w:cs="Times New Roman"/>
                <w:lang w:val="en-GB"/>
              </w:rPr>
              <w:t>19.796</w:t>
            </w:r>
          </w:p>
        </w:tc>
      </w:tr>
      <w:tr w:rsidR="004833BB" w:rsidRPr="004C1D1A" w:rsidTr="005E1D95">
        <w:trPr>
          <w:trHeight w:val="239"/>
        </w:trPr>
        <w:tc>
          <w:tcPr>
            <w:tcW w:w="2375" w:type="dxa"/>
            <w:tcBorders>
              <w:top w:val="nil"/>
              <w:left w:val="nil"/>
              <w:bottom w:val="nil"/>
            </w:tcBorders>
            <w:hideMark/>
          </w:tcPr>
          <w:p w:rsidR="004833BB" w:rsidRPr="004C1D1A" w:rsidRDefault="004833BB" w:rsidP="005E1D95">
            <w:pPr>
              <w:jc w:val="center"/>
              <w:rPr>
                <w:rFonts w:cs="Times New Roman"/>
                <w:lang w:val="en-GB"/>
              </w:rPr>
            </w:pPr>
            <w:r w:rsidRPr="004C1D1A">
              <w:rPr>
                <w:rFonts w:cs="Times New Roman"/>
                <w:lang w:val="en-GB"/>
              </w:rPr>
              <w:t>0.1</w:t>
            </w:r>
            <w:r>
              <w:rPr>
                <w:rFonts w:cs="Times New Roman"/>
                <w:lang w:val="en-GB"/>
              </w:rPr>
              <w:t>00</w:t>
            </w:r>
          </w:p>
        </w:tc>
        <w:tc>
          <w:tcPr>
            <w:tcW w:w="2605" w:type="dxa"/>
            <w:tcBorders>
              <w:top w:val="nil"/>
              <w:bottom w:val="nil"/>
            </w:tcBorders>
            <w:hideMark/>
          </w:tcPr>
          <w:p w:rsidR="004833BB" w:rsidRPr="004C1D1A" w:rsidRDefault="004833BB" w:rsidP="005E1D95">
            <w:pPr>
              <w:jc w:val="center"/>
              <w:rPr>
                <w:rFonts w:cs="Times New Roman"/>
                <w:lang w:val="en-GB"/>
              </w:rPr>
            </w:pPr>
            <w:r w:rsidRPr="004C1D1A">
              <w:rPr>
                <w:rFonts w:cs="Times New Roman"/>
                <w:lang w:val="en-GB"/>
              </w:rPr>
              <w:t>0.06</w:t>
            </w:r>
            <w:r>
              <w:rPr>
                <w:rFonts w:cs="Times New Roman"/>
                <w:lang w:val="en-GB"/>
              </w:rPr>
              <w:t>0</w:t>
            </w:r>
          </w:p>
        </w:tc>
        <w:tc>
          <w:tcPr>
            <w:tcW w:w="2437"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22.16</w:t>
            </w:r>
            <w:r>
              <w:rPr>
                <w:rFonts w:cs="Times New Roman"/>
                <w:lang w:val="en-GB"/>
              </w:rPr>
              <w:t>0</w:t>
            </w:r>
          </w:p>
        </w:tc>
        <w:tc>
          <w:tcPr>
            <w:tcW w:w="2437" w:type="dxa"/>
            <w:tcBorders>
              <w:top w:val="nil"/>
              <w:bottom w:val="nil"/>
              <w:right w:val="nil"/>
            </w:tcBorders>
          </w:tcPr>
          <w:p w:rsidR="004833BB" w:rsidRPr="004C1D1A" w:rsidRDefault="004833BB" w:rsidP="005E1D95">
            <w:pPr>
              <w:jc w:val="center"/>
              <w:rPr>
                <w:rFonts w:cs="Times New Roman"/>
                <w:lang w:val="en-GB"/>
              </w:rPr>
            </w:pPr>
            <w:r>
              <w:rPr>
                <w:rFonts w:cs="Times New Roman"/>
                <w:lang w:val="en-GB"/>
              </w:rPr>
              <w:t>23.235</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44"/>
        </w:trPr>
        <w:tc>
          <w:tcPr>
            <w:tcW w:w="2375" w:type="dxa"/>
            <w:tcBorders>
              <w:top w:val="nil"/>
              <w:left w:val="nil"/>
              <w:bottom w:val="nil"/>
            </w:tcBorders>
          </w:tcPr>
          <w:p w:rsidR="004833BB" w:rsidRPr="004C1D1A" w:rsidRDefault="004833BB" w:rsidP="005E1D95">
            <w:pPr>
              <w:jc w:val="center"/>
              <w:rPr>
                <w:rFonts w:cs="Times New Roman"/>
                <w:lang w:val="en-GB"/>
              </w:rPr>
            </w:pPr>
            <w:r w:rsidRPr="004C1D1A">
              <w:rPr>
                <w:rFonts w:cs="Times New Roman"/>
                <w:lang w:val="en-GB"/>
              </w:rPr>
              <w:t>0.1</w:t>
            </w:r>
            <w:r>
              <w:rPr>
                <w:rFonts w:cs="Times New Roman"/>
                <w:lang w:val="en-GB"/>
              </w:rPr>
              <w:t>00</w:t>
            </w:r>
          </w:p>
        </w:tc>
        <w:tc>
          <w:tcPr>
            <w:tcW w:w="2605"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0.08</w:t>
            </w:r>
            <w:r>
              <w:rPr>
                <w:rFonts w:cs="Times New Roman"/>
                <w:lang w:val="en-GB"/>
              </w:rPr>
              <w:t>0</w:t>
            </w:r>
          </w:p>
        </w:tc>
        <w:tc>
          <w:tcPr>
            <w:tcW w:w="2437"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23.85</w:t>
            </w:r>
            <w:r>
              <w:rPr>
                <w:rFonts w:cs="Times New Roman"/>
                <w:lang w:val="en-GB"/>
              </w:rPr>
              <w:t>0</w:t>
            </w:r>
          </w:p>
        </w:tc>
        <w:tc>
          <w:tcPr>
            <w:tcW w:w="2437" w:type="dxa"/>
            <w:tcBorders>
              <w:top w:val="nil"/>
              <w:bottom w:val="nil"/>
              <w:right w:val="nil"/>
            </w:tcBorders>
          </w:tcPr>
          <w:p w:rsidR="004833BB" w:rsidRPr="004C1D1A" w:rsidRDefault="004833BB" w:rsidP="005E1D95">
            <w:pPr>
              <w:jc w:val="center"/>
              <w:rPr>
                <w:rFonts w:cs="Times New Roman"/>
                <w:lang w:val="en-GB"/>
              </w:rPr>
            </w:pPr>
            <w:r w:rsidRPr="004C1D1A">
              <w:rPr>
                <w:rFonts w:cs="Times New Roman"/>
                <w:lang w:val="en-GB"/>
              </w:rPr>
              <w:t>2</w:t>
            </w:r>
            <w:r w:rsidRPr="004C1D1A">
              <w:rPr>
                <w:rFonts w:cs="Times New Roman"/>
              </w:rPr>
              <w:t>3.</w:t>
            </w:r>
            <w:r>
              <w:rPr>
                <w:rFonts w:cs="Times New Roman"/>
                <w:lang w:val="en-GB"/>
              </w:rPr>
              <w:t>369</w:t>
            </w:r>
          </w:p>
        </w:tc>
      </w:tr>
      <w:tr w:rsidR="004833BB" w:rsidRPr="004C1D1A" w:rsidTr="005E1D95">
        <w:trPr>
          <w:trHeight w:val="261"/>
        </w:trPr>
        <w:tc>
          <w:tcPr>
            <w:tcW w:w="2375" w:type="dxa"/>
            <w:tcBorders>
              <w:top w:val="nil"/>
              <w:left w:val="nil"/>
              <w:bottom w:val="nil"/>
            </w:tcBorders>
          </w:tcPr>
          <w:p w:rsidR="004833BB" w:rsidRPr="004C1D1A" w:rsidRDefault="004833BB" w:rsidP="005E1D95">
            <w:pPr>
              <w:jc w:val="center"/>
              <w:rPr>
                <w:rFonts w:cs="Times New Roman"/>
                <w:lang w:val="en-GB"/>
              </w:rPr>
            </w:pPr>
            <w:r w:rsidRPr="004C1D1A">
              <w:rPr>
                <w:rFonts w:cs="Times New Roman"/>
                <w:lang w:val="en-GB"/>
              </w:rPr>
              <w:t>0.12</w:t>
            </w:r>
            <w:r>
              <w:rPr>
                <w:rFonts w:cs="Times New Roman"/>
                <w:lang w:val="en-GB"/>
              </w:rPr>
              <w:t>0</w:t>
            </w:r>
          </w:p>
        </w:tc>
        <w:tc>
          <w:tcPr>
            <w:tcW w:w="2605"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0.05</w:t>
            </w:r>
            <w:r>
              <w:rPr>
                <w:rFonts w:cs="Times New Roman"/>
                <w:lang w:val="en-GB"/>
              </w:rPr>
              <w:t>0</w:t>
            </w:r>
          </w:p>
        </w:tc>
        <w:tc>
          <w:tcPr>
            <w:tcW w:w="2437"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19.97</w:t>
            </w:r>
            <w:r>
              <w:rPr>
                <w:rFonts w:cs="Times New Roman"/>
                <w:lang w:val="en-GB"/>
              </w:rPr>
              <w:t>0</w:t>
            </w:r>
          </w:p>
        </w:tc>
        <w:tc>
          <w:tcPr>
            <w:tcW w:w="2437" w:type="dxa"/>
            <w:tcBorders>
              <w:top w:val="nil"/>
              <w:bottom w:val="nil"/>
              <w:right w:val="nil"/>
            </w:tcBorders>
          </w:tcPr>
          <w:p w:rsidR="004833BB" w:rsidRPr="004C1D1A" w:rsidRDefault="004833BB" w:rsidP="005E1D95">
            <w:pPr>
              <w:jc w:val="center"/>
              <w:rPr>
                <w:rFonts w:cs="Times New Roman"/>
                <w:lang w:val="en-GB"/>
              </w:rPr>
            </w:pPr>
            <w:r w:rsidRPr="004C1D1A">
              <w:rPr>
                <w:rFonts w:cs="Times New Roman"/>
                <w:lang w:val="en-GB"/>
              </w:rPr>
              <w:t>25.66</w:t>
            </w:r>
            <w:r>
              <w:rPr>
                <w:rFonts w:cs="Times New Roman"/>
                <w:lang w:val="en-GB"/>
              </w:rPr>
              <w:t>3</w:t>
            </w:r>
          </w:p>
        </w:tc>
      </w:tr>
      <w:tr w:rsidR="004833BB" w:rsidRPr="004C1D1A" w:rsidTr="005E1D95">
        <w:trPr>
          <w:cnfStyle w:val="000000100000" w:firstRow="0" w:lastRow="0" w:firstColumn="0" w:lastColumn="0" w:oddVBand="0" w:evenVBand="0" w:oddHBand="1" w:evenHBand="0" w:firstRowFirstColumn="0" w:firstRowLastColumn="0" w:lastRowFirstColumn="0" w:lastRowLastColumn="0"/>
          <w:trHeight w:val="266"/>
        </w:trPr>
        <w:tc>
          <w:tcPr>
            <w:tcW w:w="2375" w:type="dxa"/>
            <w:tcBorders>
              <w:top w:val="nil"/>
              <w:left w:val="nil"/>
              <w:bottom w:val="nil"/>
            </w:tcBorders>
          </w:tcPr>
          <w:p w:rsidR="004833BB" w:rsidRPr="004C1D1A" w:rsidRDefault="004833BB" w:rsidP="005E1D95">
            <w:pPr>
              <w:jc w:val="center"/>
              <w:rPr>
                <w:rFonts w:cs="Times New Roman"/>
                <w:lang w:val="en-GB"/>
              </w:rPr>
            </w:pPr>
            <w:r w:rsidRPr="004C1D1A">
              <w:rPr>
                <w:rFonts w:cs="Times New Roman"/>
                <w:lang w:val="en-GB"/>
              </w:rPr>
              <w:t>0.13</w:t>
            </w:r>
            <w:r>
              <w:rPr>
                <w:rFonts w:cs="Times New Roman"/>
                <w:lang w:val="en-GB"/>
              </w:rPr>
              <w:t>0</w:t>
            </w:r>
          </w:p>
        </w:tc>
        <w:tc>
          <w:tcPr>
            <w:tcW w:w="2605"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0.04</w:t>
            </w:r>
            <w:r>
              <w:rPr>
                <w:rFonts w:cs="Times New Roman"/>
                <w:lang w:val="en-GB"/>
              </w:rPr>
              <w:t>0</w:t>
            </w:r>
          </w:p>
        </w:tc>
        <w:tc>
          <w:tcPr>
            <w:tcW w:w="2437" w:type="dxa"/>
            <w:tcBorders>
              <w:top w:val="nil"/>
              <w:bottom w:val="nil"/>
            </w:tcBorders>
          </w:tcPr>
          <w:p w:rsidR="004833BB" w:rsidRPr="004C1D1A" w:rsidRDefault="004833BB" w:rsidP="005E1D95">
            <w:pPr>
              <w:jc w:val="center"/>
              <w:rPr>
                <w:rFonts w:cs="Times New Roman"/>
                <w:lang w:val="en-GB"/>
              </w:rPr>
            </w:pPr>
            <w:r w:rsidRPr="004C1D1A">
              <w:rPr>
                <w:rFonts w:cs="Times New Roman"/>
                <w:lang w:val="en-GB"/>
              </w:rPr>
              <w:t>24.35</w:t>
            </w:r>
            <w:r>
              <w:rPr>
                <w:rFonts w:cs="Times New Roman"/>
                <w:lang w:val="en-GB"/>
              </w:rPr>
              <w:t>0</w:t>
            </w:r>
          </w:p>
        </w:tc>
        <w:tc>
          <w:tcPr>
            <w:tcW w:w="2437" w:type="dxa"/>
            <w:tcBorders>
              <w:top w:val="nil"/>
              <w:bottom w:val="nil"/>
              <w:right w:val="nil"/>
            </w:tcBorders>
          </w:tcPr>
          <w:p w:rsidR="004833BB" w:rsidRPr="004C1D1A" w:rsidRDefault="004833BB" w:rsidP="005E1D95">
            <w:pPr>
              <w:jc w:val="center"/>
              <w:rPr>
                <w:rFonts w:cs="Times New Roman"/>
                <w:lang w:val="en-GB"/>
              </w:rPr>
            </w:pPr>
            <w:r>
              <w:rPr>
                <w:rFonts w:cs="Times New Roman"/>
                <w:lang w:val="en-GB"/>
              </w:rPr>
              <w:t>24.076</w:t>
            </w:r>
          </w:p>
        </w:tc>
      </w:tr>
      <w:tr w:rsidR="004833BB" w:rsidRPr="004C1D1A" w:rsidTr="005E1D95">
        <w:trPr>
          <w:trHeight w:val="283"/>
        </w:trPr>
        <w:tc>
          <w:tcPr>
            <w:tcW w:w="2375" w:type="dxa"/>
            <w:tcBorders>
              <w:top w:val="nil"/>
              <w:left w:val="nil"/>
              <w:bottom w:val="single" w:sz="18" w:space="0" w:color="auto"/>
            </w:tcBorders>
          </w:tcPr>
          <w:p w:rsidR="004833BB" w:rsidRPr="00AB0162" w:rsidRDefault="004833BB" w:rsidP="005E1D95">
            <w:pPr>
              <w:jc w:val="center"/>
              <w:rPr>
                <w:rFonts w:cs="Times New Roman"/>
                <w:lang w:val="en-GB"/>
              </w:rPr>
            </w:pPr>
            <w:r w:rsidRPr="004C1D1A">
              <w:rPr>
                <w:rFonts w:cs="Times New Roman"/>
                <w:lang w:val="en-GB"/>
              </w:rPr>
              <w:t>0.1</w:t>
            </w:r>
            <w:r w:rsidRPr="004C1D1A">
              <w:rPr>
                <w:rFonts w:cs="Times New Roman"/>
              </w:rPr>
              <w:t>5</w:t>
            </w:r>
            <w:r>
              <w:rPr>
                <w:rFonts w:cs="Times New Roman"/>
                <w:lang w:val="en-GB"/>
              </w:rPr>
              <w:t>0</w:t>
            </w:r>
          </w:p>
        </w:tc>
        <w:tc>
          <w:tcPr>
            <w:tcW w:w="2605" w:type="dxa"/>
            <w:tcBorders>
              <w:top w:val="nil"/>
              <w:bottom w:val="single" w:sz="18" w:space="0" w:color="auto"/>
            </w:tcBorders>
          </w:tcPr>
          <w:p w:rsidR="004833BB" w:rsidRPr="00AB0162" w:rsidRDefault="004833BB" w:rsidP="005E1D95">
            <w:pPr>
              <w:jc w:val="center"/>
              <w:rPr>
                <w:rFonts w:cs="Times New Roman"/>
                <w:lang w:val="en-GB"/>
              </w:rPr>
            </w:pPr>
            <w:r w:rsidRPr="004C1D1A">
              <w:rPr>
                <w:rFonts w:cs="Times New Roman"/>
                <w:lang w:val="en-GB"/>
              </w:rPr>
              <w:t>0.0</w:t>
            </w:r>
            <w:r w:rsidRPr="004C1D1A">
              <w:rPr>
                <w:rFonts w:cs="Times New Roman"/>
              </w:rPr>
              <w:t>5</w:t>
            </w:r>
            <w:r>
              <w:rPr>
                <w:rFonts w:cs="Times New Roman"/>
                <w:lang w:val="en-GB"/>
              </w:rPr>
              <w:t>0</w:t>
            </w:r>
          </w:p>
        </w:tc>
        <w:tc>
          <w:tcPr>
            <w:tcW w:w="2437" w:type="dxa"/>
            <w:tcBorders>
              <w:top w:val="nil"/>
              <w:bottom w:val="single" w:sz="18" w:space="0" w:color="auto"/>
            </w:tcBorders>
          </w:tcPr>
          <w:p w:rsidR="004833BB" w:rsidRPr="001A3A49" w:rsidRDefault="004833BB" w:rsidP="005E1D95">
            <w:pPr>
              <w:jc w:val="center"/>
              <w:rPr>
                <w:rFonts w:cs="Times New Roman"/>
                <w:lang w:val="en-GB"/>
              </w:rPr>
            </w:pPr>
            <w:r w:rsidRPr="004C1D1A">
              <w:rPr>
                <w:rFonts w:cs="Times New Roman"/>
                <w:lang w:val="en-GB"/>
              </w:rPr>
              <w:t>3</w:t>
            </w:r>
            <w:r w:rsidRPr="004C1D1A">
              <w:rPr>
                <w:rFonts w:cs="Times New Roman"/>
              </w:rPr>
              <w:t>2.66</w:t>
            </w:r>
            <w:r>
              <w:rPr>
                <w:rFonts w:cs="Times New Roman"/>
                <w:lang w:val="en-GB"/>
              </w:rPr>
              <w:t>0</w:t>
            </w:r>
          </w:p>
        </w:tc>
        <w:tc>
          <w:tcPr>
            <w:tcW w:w="2437" w:type="dxa"/>
            <w:tcBorders>
              <w:top w:val="nil"/>
              <w:bottom w:val="single" w:sz="18" w:space="0" w:color="auto"/>
              <w:right w:val="nil"/>
            </w:tcBorders>
          </w:tcPr>
          <w:p w:rsidR="004833BB" w:rsidRPr="004C1D1A" w:rsidRDefault="004833BB" w:rsidP="005E1D95">
            <w:pPr>
              <w:jc w:val="center"/>
              <w:rPr>
                <w:rFonts w:cs="Times New Roman"/>
                <w:lang w:val="en-GB"/>
              </w:rPr>
            </w:pPr>
            <w:r w:rsidRPr="004C1D1A">
              <w:rPr>
                <w:rFonts w:cs="Times New Roman"/>
                <w:lang w:val="en-GB"/>
              </w:rPr>
              <w:t>31.37</w:t>
            </w:r>
            <w:r>
              <w:rPr>
                <w:rFonts w:cs="Times New Roman"/>
                <w:lang w:val="en-GB"/>
              </w:rPr>
              <w:t>0</w:t>
            </w:r>
          </w:p>
        </w:tc>
      </w:tr>
    </w:tbl>
    <w:p w:rsidR="00C22122" w:rsidRPr="005F03B7" w:rsidRDefault="00C22122" w:rsidP="005F03B7">
      <w:pPr>
        <w:widowControl/>
        <w:suppressAutoHyphens w:val="0"/>
        <w:spacing w:after="160" w:line="259" w:lineRule="auto"/>
        <w:rPr>
          <w:rFonts w:cs="Times New Roman"/>
          <w:b/>
          <w:sz w:val="36"/>
          <w:szCs w:val="36"/>
          <w:lang w:val="en-GB"/>
        </w:rPr>
      </w:pPr>
    </w:p>
    <w:sectPr w:rsidR="00C22122" w:rsidRPr="005F03B7" w:rsidSect="00E82657">
      <w:footerReference w:type="default" r:id="rId21"/>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B57" w:rsidRDefault="00A70B57" w:rsidP="004833BB">
      <w:r>
        <w:separator/>
      </w:r>
    </w:p>
  </w:endnote>
  <w:endnote w:type="continuationSeparator" w:id="0">
    <w:p w:rsidR="00A70B57" w:rsidRDefault="00A70B57" w:rsidP="0048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roid Sans Fallback">
    <w:altName w:val="Times New Roman"/>
    <w:panose1 w:val="00000000000000000000"/>
    <w:charset w:val="00"/>
    <w:family w:val="roman"/>
    <w:notTrueType/>
    <w:pitch w:val="default"/>
  </w:font>
  <w:font w:name="Free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Liberation Serif">
    <w:altName w:val="Times New Roman"/>
    <w:charset w:val="01"/>
    <w:family w:val="roman"/>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3BB" w:rsidRDefault="004833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B57" w:rsidRDefault="00A70B57" w:rsidP="004833BB">
      <w:r>
        <w:separator/>
      </w:r>
    </w:p>
  </w:footnote>
  <w:footnote w:type="continuationSeparator" w:id="0">
    <w:p w:rsidR="00A70B57" w:rsidRDefault="00A70B57" w:rsidP="004833BB">
      <w:r>
        <w:continuationSeparator/>
      </w:r>
    </w:p>
  </w:footnote>
  <w:footnote w:id="1">
    <w:p w:rsidR="004833BB" w:rsidRPr="0038281A" w:rsidRDefault="004833BB" w:rsidP="004833BB">
      <w:pPr>
        <w:rPr>
          <w:rFonts w:cs="Times New Roman"/>
          <w:sz w:val="22"/>
          <w:lang w:val="en-GB"/>
        </w:rPr>
      </w:pPr>
      <w:r>
        <w:rPr>
          <w:rStyle w:val="FootnoteReference"/>
        </w:rPr>
        <w:footnoteRef/>
      </w:r>
      <w:r w:rsidRPr="0038281A">
        <w:rPr>
          <w:lang w:val="en-GB"/>
        </w:rPr>
        <w:t xml:space="preserve"> </w:t>
      </w:r>
      <w:r>
        <w:rPr>
          <w:rFonts w:cs="Times New Roman"/>
          <w:sz w:val="22"/>
          <w:lang w:val="en-GB"/>
        </w:rPr>
        <w:t>Present address</w:t>
      </w:r>
    </w:p>
    <w:p w:rsidR="004833BB" w:rsidRPr="00725523" w:rsidRDefault="004833BB" w:rsidP="004833BB">
      <w:pPr>
        <w:rPr>
          <w:rFonts w:cs="Times New Roman"/>
          <w:sz w:val="22"/>
          <w:lang w:val="en-GB"/>
        </w:rPr>
      </w:pPr>
      <w:r w:rsidRPr="00725523">
        <w:rPr>
          <w:rFonts w:cs="Times New Roman"/>
          <w:sz w:val="22"/>
          <w:lang w:val="en-GB"/>
        </w:rPr>
        <w:t xml:space="preserve"> </w:t>
      </w:r>
      <w:r w:rsidRPr="00516CD7">
        <w:rPr>
          <w:rFonts w:cs="Times New Roman"/>
          <w:sz w:val="22"/>
          <w:lang w:val="en-GB"/>
        </w:rPr>
        <w:t>BASF SE, Materials Molecular Model</w:t>
      </w:r>
      <w:r>
        <w:rPr>
          <w:rFonts w:cs="Times New Roman"/>
          <w:sz w:val="22"/>
          <w:lang w:val="en-GB"/>
        </w:rPr>
        <w:t>l</w:t>
      </w:r>
      <w:r w:rsidRPr="00516CD7">
        <w:rPr>
          <w:rFonts w:cs="Times New Roman"/>
          <w:sz w:val="22"/>
          <w:lang w:val="en-GB"/>
        </w:rPr>
        <w:t>ing, Carl Bosch Str. 38, 67056, Ludwigshafen, German</w:t>
      </w:r>
      <w:r>
        <w:rPr>
          <w:rFonts w:cs="Times New Roman"/>
          <w:sz w:val="22"/>
          <w:lang w:val="en-GB"/>
        </w:rPr>
        <w:t>y</w:t>
      </w:r>
    </w:p>
    <w:p w:rsidR="004833BB" w:rsidRPr="0038281A" w:rsidRDefault="004833BB" w:rsidP="004833BB">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F30375"/>
    <w:multiLevelType w:val="hybridMultilevel"/>
    <w:tmpl w:val="924AB7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BA1480"/>
    <w:multiLevelType w:val="hybridMultilevel"/>
    <w:tmpl w:val="A498F0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D1C6963"/>
    <w:multiLevelType w:val="multilevel"/>
    <w:tmpl w:val="00D42C3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599E40BA"/>
    <w:multiLevelType w:val="hybridMultilevel"/>
    <w:tmpl w:val="34E80CBC"/>
    <w:lvl w:ilvl="0" w:tplc="2910BA44">
      <w:start w:val="1"/>
      <w:numFmt w:val="decimal"/>
      <w:lvlText w:val="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361F95"/>
    <w:multiLevelType w:val="hybridMultilevel"/>
    <w:tmpl w:val="C9AA218E"/>
    <w:lvl w:ilvl="0" w:tplc="C4F81A92">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3BB"/>
    <w:rsid w:val="0006436A"/>
    <w:rsid w:val="003F312B"/>
    <w:rsid w:val="004833BB"/>
    <w:rsid w:val="005F03B7"/>
    <w:rsid w:val="007F4168"/>
    <w:rsid w:val="00A70B57"/>
    <w:rsid w:val="00B02762"/>
    <w:rsid w:val="00C013F1"/>
    <w:rsid w:val="00C22122"/>
    <w:rsid w:val="00EB0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A4621-9D31-4858-ADCA-CFF012FC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BB"/>
    <w:pPr>
      <w:widowControl w:val="0"/>
      <w:suppressAutoHyphens/>
      <w:jc w:val="left"/>
    </w:pPr>
    <w:rPr>
      <w:rFonts w:ascii="Times New Roman" w:eastAsia="Droid Sans Fallback" w:hAnsi="Times New Roman" w:cs="FreeSans"/>
      <w:kern w:val="1"/>
      <w:sz w:val="24"/>
      <w:szCs w:val="24"/>
      <w:lang w:val="el-GR" w:eastAsia="zh-CN" w:bidi="hi-IN"/>
    </w:rPr>
  </w:style>
  <w:style w:type="paragraph" w:styleId="Heading1">
    <w:name w:val="heading 1"/>
    <w:basedOn w:val="Normal"/>
    <w:next w:val="Normal"/>
    <w:link w:val="Heading1Char"/>
    <w:qFormat/>
    <w:rsid w:val="003F312B"/>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4833BB"/>
    <w:pPr>
      <w:keepNext/>
      <w:tabs>
        <w:tab w:val="num" w:pos="576"/>
      </w:tabs>
      <w:spacing w:before="360" w:after="180"/>
      <w:ind w:left="576" w:hanging="576"/>
      <w:jc w:val="center"/>
      <w:outlineLvl w:val="1"/>
    </w:pPr>
    <w:rPr>
      <w:rFonts w:cs="Arial"/>
      <w:bCs/>
      <w:iCs/>
      <w:sz w:val="26"/>
      <w:szCs w:val="28"/>
    </w:rPr>
  </w:style>
  <w:style w:type="paragraph" w:styleId="Heading3">
    <w:name w:val="heading 3"/>
    <w:basedOn w:val="Normal"/>
    <w:next w:val="Normal"/>
    <w:link w:val="Heading3Char"/>
    <w:uiPriority w:val="9"/>
    <w:unhideWhenUsed/>
    <w:qFormat/>
    <w:rsid w:val="004833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312B"/>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rsid w:val="004833BB"/>
    <w:rPr>
      <w:rFonts w:ascii="Times New Roman" w:eastAsia="Droid Sans Fallback" w:hAnsi="Times New Roman" w:cs="Arial"/>
      <w:bCs/>
      <w:iCs/>
      <w:kern w:val="1"/>
      <w:sz w:val="26"/>
      <w:szCs w:val="28"/>
      <w:lang w:val="el-GR" w:eastAsia="zh-CN" w:bidi="hi-IN"/>
    </w:rPr>
  </w:style>
  <w:style w:type="character" w:customStyle="1" w:styleId="Heading3Char">
    <w:name w:val="Heading 3 Char"/>
    <w:basedOn w:val="DefaultParagraphFont"/>
    <w:link w:val="Heading3"/>
    <w:uiPriority w:val="9"/>
    <w:rsid w:val="004833BB"/>
    <w:rPr>
      <w:rFonts w:asciiTheme="majorHAnsi" w:eastAsiaTheme="majorEastAsia" w:hAnsiTheme="majorHAnsi" w:cstheme="majorBidi"/>
      <w:b/>
      <w:bCs/>
      <w:color w:val="4F81BD" w:themeColor="accent1"/>
      <w:kern w:val="1"/>
      <w:sz w:val="24"/>
      <w:szCs w:val="24"/>
      <w:lang w:val="el-GR" w:eastAsia="zh-CN" w:bidi="hi-IN"/>
    </w:rPr>
  </w:style>
  <w:style w:type="character" w:customStyle="1" w:styleId="institution">
    <w:name w:val="institution"/>
    <w:basedOn w:val="DefaultParagraphFont"/>
    <w:rsid w:val="004833BB"/>
  </w:style>
  <w:style w:type="paragraph" w:customStyle="1" w:styleId="textbox">
    <w:name w:val="textbox"/>
    <w:basedOn w:val="Normal"/>
    <w:rsid w:val="004833BB"/>
    <w:pPr>
      <w:widowControl/>
      <w:suppressAutoHyphens w:val="0"/>
      <w:spacing w:before="100" w:beforeAutospacing="1" w:after="100" w:afterAutospacing="1"/>
    </w:pPr>
    <w:rPr>
      <w:rFonts w:eastAsia="Times New Roman" w:cs="Times New Roman"/>
      <w:kern w:val="0"/>
      <w:lang w:val="en-GB" w:eastAsia="en-GB" w:bidi="ar-SA"/>
    </w:rPr>
  </w:style>
  <w:style w:type="paragraph" w:styleId="Caption">
    <w:name w:val="caption"/>
    <w:basedOn w:val="Normal"/>
    <w:next w:val="Normal"/>
    <w:uiPriority w:val="35"/>
    <w:unhideWhenUsed/>
    <w:qFormat/>
    <w:rsid w:val="004833BB"/>
    <w:pPr>
      <w:widowControl/>
      <w:suppressAutoHyphens w:val="0"/>
      <w:spacing w:after="200"/>
      <w:jc w:val="both"/>
    </w:pPr>
    <w:rPr>
      <w:rFonts w:eastAsia="MS Mincho" w:cstheme="minorBidi"/>
      <w:b/>
      <w:bCs/>
      <w:kern w:val="0"/>
      <w:sz w:val="18"/>
      <w:szCs w:val="18"/>
      <w:lang w:val="en-GB" w:eastAsia="en-US" w:bidi="ar-SA"/>
    </w:rPr>
  </w:style>
  <w:style w:type="character" w:styleId="PlaceholderText">
    <w:name w:val="Placeholder Text"/>
    <w:basedOn w:val="DefaultParagraphFont"/>
    <w:uiPriority w:val="99"/>
    <w:semiHidden/>
    <w:rsid w:val="004833BB"/>
    <w:rPr>
      <w:color w:val="808080"/>
    </w:rPr>
  </w:style>
  <w:style w:type="paragraph" w:styleId="ListParagraph">
    <w:name w:val="List Paragraph"/>
    <w:basedOn w:val="Normal"/>
    <w:uiPriority w:val="34"/>
    <w:qFormat/>
    <w:rsid w:val="004833BB"/>
    <w:pPr>
      <w:widowControl/>
      <w:suppressAutoHyphens w:val="0"/>
      <w:spacing w:before="120" w:after="120"/>
      <w:ind w:left="720" w:firstLine="454"/>
      <w:contextualSpacing/>
      <w:jc w:val="both"/>
    </w:pPr>
    <w:rPr>
      <w:rFonts w:ascii="Georgia" w:eastAsia="MS Mincho" w:hAnsi="Georgia" w:cstheme="minorBidi"/>
      <w:kern w:val="0"/>
      <w:szCs w:val="22"/>
      <w:lang w:eastAsia="en-US" w:bidi="ar-SA"/>
    </w:rPr>
  </w:style>
  <w:style w:type="paragraph" w:styleId="BalloonText">
    <w:name w:val="Balloon Text"/>
    <w:basedOn w:val="Normal"/>
    <w:link w:val="BalloonTextChar"/>
    <w:uiPriority w:val="99"/>
    <w:semiHidden/>
    <w:unhideWhenUsed/>
    <w:rsid w:val="004833BB"/>
    <w:rPr>
      <w:rFonts w:ascii="Tahoma" w:hAnsi="Tahoma" w:cs="Mangal"/>
      <w:sz w:val="16"/>
      <w:szCs w:val="14"/>
    </w:rPr>
  </w:style>
  <w:style w:type="character" w:customStyle="1" w:styleId="BalloonTextChar">
    <w:name w:val="Balloon Text Char"/>
    <w:basedOn w:val="DefaultParagraphFont"/>
    <w:link w:val="BalloonText"/>
    <w:uiPriority w:val="99"/>
    <w:semiHidden/>
    <w:rsid w:val="004833BB"/>
    <w:rPr>
      <w:rFonts w:ascii="Tahoma" w:eastAsia="Droid Sans Fallback" w:hAnsi="Tahoma" w:cs="Mangal"/>
      <w:kern w:val="1"/>
      <w:sz w:val="16"/>
      <w:szCs w:val="14"/>
      <w:lang w:val="el-GR" w:eastAsia="zh-CN" w:bidi="hi-IN"/>
    </w:rPr>
  </w:style>
  <w:style w:type="paragraph" w:styleId="NormalWeb">
    <w:name w:val="Normal (Web)"/>
    <w:basedOn w:val="Normal"/>
    <w:uiPriority w:val="99"/>
    <w:semiHidden/>
    <w:unhideWhenUsed/>
    <w:rsid w:val="004833BB"/>
    <w:pPr>
      <w:widowControl/>
      <w:suppressAutoHyphens w:val="0"/>
      <w:spacing w:before="100" w:beforeAutospacing="1" w:after="100" w:afterAutospacing="1"/>
    </w:pPr>
    <w:rPr>
      <w:rFonts w:eastAsia="Times New Roman" w:cs="Times New Roman"/>
      <w:kern w:val="0"/>
      <w:lang w:val="en-GB" w:eastAsia="en-GB" w:bidi="ar-SA"/>
    </w:rPr>
  </w:style>
  <w:style w:type="table" w:styleId="LightList-Accent3">
    <w:name w:val="Light List Accent 3"/>
    <w:basedOn w:val="TableNormal"/>
    <w:uiPriority w:val="61"/>
    <w:rsid w:val="004833BB"/>
    <w:pPr>
      <w:jc w:val="left"/>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unhideWhenUsed/>
    <w:rsid w:val="004833BB"/>
    <w:rPr>
      <w:color w:val="0000FF" w:themeColor="hyperlink"/>
      <w:u w:val="single"/>
    </w:rPr>
  </w:style>
  <w:style w:type="paragraph" w:styleId="Footer">
    <w:name w:val="footer"/>
    <w:basedOn w:val="Normal"/>
    <w:link w:val="FooterChar"/>
    <w:uiPriority w:val="99"/>
    <w:unhideWhenUsed/>
    <w:rsid w:val="004833BB"/>
    <w:pPr>
      <w:widowControl/>
      <w:tabs>
        <w:tab w:val="center" w:pos="4320"/>
        <w:tab w:val="right" w:pos="8640"/>
      </w:tabs>
      <w:suppressAutoHyphens w:val="0"/>
      <w:ind w:firstLine="454"/>
      <w:jc w:val="both"/>
    </w:pPr>
    <w:rPr>
      <w:rFonts w:ascii="Georgia" w:eastAsia="MS Mincho" w:hAnsi="Georgia" w:cstheme="minorBidi"/>
      <w:kern w:val="0"/>
      <w:szCs w:val="22"/>
      <w:lang w:eastAsia="en-US" w:bidi="ar-SA"/>
    </w:rPr>
  </w:style>
  <w:style w:type="character" w:customStyle="1" w:styleId="FooterChar">
    <w:name w:val="Footer Char"/>
    <w:basedOn w:val="DefaultParagraphFont"/>
    <w:link w:val="Footer"/>
    <w:uiPriority w:val="99"/>
    <w:rsid w:val="004833BB"/>
    <w:rPr>
      <w:rFonts w:ascii="Georgia" w:eastAsia="MS Mincho" w:hAnsi="Georgia"/>
      <w:sz w:val="24"/>
      <w:lang w:val="el-GR"/>
    </w:rPr>
  </w:style>
  <w:style w:type="character" w:styleId="CommentReference">
    <w:name w:val="annotation reference"/>
    <w:basedOn w:val="DefaultParagraphFont"/>
    <w:uiPriority w:val="99"/>
    <w:semiHidden/>
    <w:unhideWhenUsed/>
    <w:rsid w:val="004833BB"/>
    <w:rPr>
      <w:sz w:val="16"/>
      <w:szCs w:val="16"/>
    </w:rPr>
  </w:style>
  <w:style w:type="paragraph" w:styleId="CommentText">
    <w:name w:val="annotation text"/>
    <w:basedOn w:val="Normal"/>
    <w:link w:val="CommentTextChar"/>
    <w:uiPriority w:val="99"/>
    <w:semiHidden/>
    <w:unhideWhenUsed/>
    <w:rsid w:val="004833BB"/>
    <w:rPr>
      <w:rFonts w:cs="Mangal"/>
      <w:sz w:val="20"/>
      <w:szCs w:val="18"/>
    </w:rPr>
  </w:style>
  <w:style w:type="character" w:customStyle="1" w:styleId="CommentTextChar">
    <w:name w:val="Comment Text Char"/>
    <w:basedOn w:val="DefaultParagraphFont"/>
    <w:link w:val="CommentText"/>
    <w:uiPriority w:val="99"/>
    <w:semiHidden/>
    <w:rsid w:val="004833BB"/>
    <w:rPr>
      <w:rFonts w:ascii="Times New Roman" w:eastAsia="Droid Sans Fallback" w:hAnsi="Times New Roman" w:cs="Mangal"/>
      <w:kern w:val="1"/>
      <w:sz w:val="20"/>
      <w:szCs w:val="18"/>
      <w:lang w:val="el-GR" w:eastAsia="zh-CN" w:bidi="hi-IN"/>
    </w:rPr>
  </w:style>
  <w:style w:type="paragraph" w:styleId="CommentSubject">
    <w:name w:val="annotation subject"/>
    <w:basedOn w:val="CommentText"/>
    <w:next w:val="CommentText"/>
    <w:link w:val="CommentSubjectChar"/>
    <w:uiPriority w:val="99"/>
    <w:semiHidden/>
    <w:unhideWhenUsed/>
    <w:rsid w:val="004833BB"/>
    <w:rPr>
      <w:b/>
      <w:bCs/>
    </w:rPr>
  </w:style>
  <w:style w:type="character" w:customStyle="1" w:styleId="CommentSubjectChar">
    <w:name w:val="Comment Subject Char"/>
    <w:basedOn w:val="CommentTextChar"/>
    <w:link w:val="CommentSubject"/>
    <w:uiPriority w:val="99"/>
    <w:semiHidden/>
    <w:rsid w:val="004833BB"/>
    <w:rPr>
      <w:rFonts w:ascii="Times New Roman" w:eastAsia="Droid Sans Fallback" w:hAnsi="Times New Roman" w:cs="Mangal"/>
      <w:b/>
      <w:bCs/>
      <w:kern w:val="1"/>
      <w:sz w:val="20"/>
      <w:szCs w:val="18"/>
      <w:lang w:val="el-GR" w:eastAsia="zh-CN" w:bidi="hi-IN"/>
    </w:rPr>
  </w:style>
  <w:style w:type="paragraph" w:styleId="Header">
    <w:name w:val="header"/>
    <w:basedOn w:val="Normal"/>
    <w:link w:val="HeaderChar"/>
    <w:uiPriority w:val="99"/>
    <w:unhideWhenUsed/>
    <w:rsid w:val="004833BB"/>
    <w:pPr>
      <w:tabs>
        <w:tab w:val="center" w:pos="4153"/>
        <w:tab w:val="right" w:pos="8306"/>
      </w:tabs>
    </w:pPr>
    <w:rPr>
      <w:rFonts w:cs="Mangal"/>
      <w:szCs w:val="21"/>
    </w:rPr>
  </w:style>
  <w:style w:type="character" w:customStyle="1" w:styleId="HeaderChar">
    <w:name w:val="Header Char"/>
    <w:basedOn w:val="DefaultParagraphFont"/>
    <w:link w:val="Header"/>
    <w:uiPriority w:val="99"/>
    <w:rsid w:val="004833BB"/>
    <w:rPr>
      <w:rFonts w:ascii="Times New Roman" w:eastAsia="Droid Sans Fallback" w:hAnsi="Times New Roman" w:cs="Mangal"/>
      <w:kern w:val="1"/>
      <w:sz w:val="24"/>
      <w:szCs w:val="21"/>
      <w:lang w:val="el-GR" w:eastAsia="zh-CN" w:bidi="hi-IN"/>
    </w:rPr>
  </w:style>
  <w:style w:type="character" w:customStyle="1" w:styleId="nlmyear">
    <w:name w:val="nlm_year"/>
    <w:basedOn w:val="DefaultParagraphFont"/>
    <w:rsid w:val="004833BB"/>
  </w:style>
  <w:style w:type="character" w:customStyle="1" w:styleId="nlmvolume">
    <w:name w:val="nlm_volume"/>
    <w:basedOn w:val="DefaultParagraphFont"/>
    <w:rsid w:val="004833BB"/>
  </w:style>
  <w:style w:type="character" w:customStyle="1" w:styleId="nlmfpage">
    <w:name w:val="nlm_fpage"/>
    <w:basedOn w:val="DefaultParagraphFont"/>
    <w:rsid w:val="004833BB"/>
  </w:style>
  <w:style w:type="character" w:customStyle="1" w:styleId="nlmlpage">
    <w:name w:val="nlm_lpage"/>
    <w:basedOn w:val="DefaultParagraphFont"/>
    <w:rsid w:val="004833BB"/>
  </w:style>
  <w:style w:type="character" w:customStyle="1" w:styleId="refdoi">
    <w:name w:val="refdoi"/>
    <w:basedOn w:val="DefaultParagraphFont"/>
    <w:rsid w:val="004833BB"/>
  </w:style>
  <w:style w:type="character" w:customStyle="1" w:styleId="nlmstring-name">
    <w:name w:val="nlm_string-name"/>
    <w:basedOn w:val="DefaultParagraphFont"/>
    <w:rsid w:val="004833BB"/>
  </w:style>
  <w:style w:type="character" w:customStyle="1" w:styleId="nlmarticle-title">
    <w:name w:val="nlm_article-title"/>
    <w:basedOn w:val="DefaultParagraphFont"/>
    <w:rsid w:val="004833BB"/>
  </w:style>
  <w:style w:type="character" w:styleId="Strong">
    <w:name w:val="Strong"/>
    <w:basedOn w:val="DefaultParagraphFont"/>
    <w:uiPriority w:val="22"/>
    <w:qFormat/>
    <w:rsid w:val="004833BB"/>
    <w:rPr>
      <w:b/>
      <w:bCs/>
    </w:rPr>
  </w:style>
  <w:style w:type="paragraph" w:styleId="Revision">
    <w:name w:val="Revision"/>
    <w:hidden/>
    <w:uiPriority w:val="99"/>
    <w:semiHidden/>
    <w:rsid w:val="004833BB"/>
    <w:pPr>
      <w:jc w:val="left"/>
    </w:pPr>
    <w:rPr>
      <w:rFonts w:ascii="Liberation Serif" w:eastAsia="Droid Sans Fallback" w:hAnsi="Liberation Serif" w:cs="FreeSans"/>
      <w:kern w:val="1"/>
      <w:sz w:val="24"/>
      <w:szCs w:val="24"/>
      <w:lang w:val="el-GR" w:eastAsia="zh-CN" w:bidi="hi-IN"/>
    </w:rPr>
  </w:style>
  <w:style w:type="character" w:styleId="FollowedHyperlink">
    <w:name w:val="FollowedHyperlink"/>
    <w:basedOn w:val="DefaultParagraphFont"/>
    <w:uiPriority w:val="99"/>
    <w:semiHidden/>
    <w:unhideWhenUsed/>
    <w:rsid w:val="004833BB"/>
    <w:rPr>
      <w:color w:val="800080" w:themeColor="followedHyperlink"/>
      <w:u w:val="single"/>
    </w:rPr>
  </w:style>
  <w:style w:type="paragraph" w:styleId="FootnoteText">
    <w:name w:val="footnote text"/>
    <w:basedOn w:val="Normal"/>
    <w:link w:val="FootnoteTextChar"/>
    <w:uiPriority w:val="99"/>
    <w:semiHidden/>
    <w:unhideWhenUsed/>
    <w:rsid w:val="004833BB"/>
    <w:rPr>
      <w:rFonts w:cs="Mangal"/>
      <w:sz w:val="20"/>
      <w:szCs w:val="18"/>
    </w:rPr>
  </w:style>
  <w:style w:type="character" w:customStyle="1" w:styleId="FootnoteTextChar">
    <w:name w:val="Footnote Text Char"/>
    <w:basedOn w:val="DefaultParagraphFont"/>
    <w:link w:val="FootnoteText"/>
    <w:uiPriority w:val="99"/>
    <w:semiHidden/>
    <w:rsid w:val="004833BB"/>
    <w:rPr>
      <w:rFonts w:ascii="Times New Roman" w:eastAsia="Droid Sans Fallback" w:hAnsi="Times New Roman" w:cs="Mangal"/>
      <w:kern w:val="1"/>
      <w:sz w:val="20"/>
      <w:szCs w:val="18"/>
      <w:lang w:val="el-GR" w:eastAsia="zh-CN" w:bidi="hi-IN"/>
    </w:rPr>
  </w:style>
  <w:style w:type="character" w:styleId="FootnoteReference">
    <w:name w:val="footnote reference"/>
    <w:basedOn w:val="DefaultParagraphFont"/>
    <w:uiPriority w:val="99"/>
    <w:semiHidden/>
    <w:unhideWhenUsed/>
    <w:rsid w:val="004833BB"/>
    <w:rPr>
      <w:vertAlign w:val="superscript"/>
    </w:rPr>
  </w:style>
  <w:style w:type="paragraph" w:styleId="TOC1">
    <w:name w:val="toc 1"/>
    <w:basedOn w:val="Normal"/>
    <w:next w:val="Normal"/>
    <w:autoRedefine/>
    <w:uiPriority w:val="39"/>
    <w:semiHidden/>
    <w:unhideWhenUsed/>
    <w:rsid w:val="004833BB"/>
    <w:pPr>
      <w:spacing w:after="100"/>
    </w:pPr>
    <w:rPr>
      <w:rFonts w:cs="Mangal"/>
      <w:szCs w:val="21"/>
    </w:rPr>
  </w:style>
  <w:style w:type="paragraph" w:styleId="TableofFigures">
    <w:name w:val="table of figures"/>
    <w:basedOn w:val="Normal"/>
    <w:next w:val="Normal"/>
    <w:uiPriority w:val="99"/>
    <w:unhideWhenUsed/>
    <w:rsid w:val="004833BB"/>
    <w:rPr>
      <w:rFonts w:cs="Mangal"/>
      <w:szCs w:val="21"/>
    </w:rPr>
  </w:style>
  <w:style w:type="paragraph" w:styleId="PlainText">
    <w:name w:val="Plain Text"/>
    <w:basedOn w:val="Normal"/>
    <w:link w:val="PlainTextChar"/>
    <w:uiPriority w:val="99"/>
    <w:unhideWhenUsed/>
    <w:rsid w:val="004833BB"/>
    <w:pPr>
      <w:widowControl/>
      <w:suppressAutoHyphens w:val="0"/>
    </w:pPr>
    <w:rPr>
      <w:rFonts w:ascii="Calibri" w:eastAsiaTheme="minorHAnsi" w:hAnsi="Calibri" w:cstheme="minorBidi"/>
      <w:kern w:val="0"/>
      <w:sz w:val="22"/>
      <w:szCs w:val="21"/>
      <w:lang w:val="en-GB" w:eastAsia="en-US" w:bidi="ar-SA"/>
    </w:rPr>
  </w:style>
  <w:style w:type="character" w:customStyle="1" w:styleId="PlainTextChar">
    <w:name w:val="Plain Text Char"/>
    <w:basedOn w:val="DefaultParagraphFont"/>
    <w:link w:val="PlainText"/>
    <w:uiPriority w:val="99"/>
    <w:rsid w:val="004833B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panoukidou@manchester.ac.uk" TargetMode="External"/><Relationship Id="rId13" Type="http://schemas.openxmlformats.org/officeDocument/2006/relationships/image" Target="media/image2.tif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aola.carbone@manchester.ac.uk" TargetMode="External"/><Relationship Id="rId12" Type="http://schemas.openxmlformats.org/officeDocument/2006/relationships/image" Target="media/image1.tif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chard.anderson@stfc.ac.uk" TargetMode="Externa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mailto:annalaura.del-regno@basf.com"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mailto:charlie.wand@manchester.ac.uk"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34825</Words>
  <Characters>198508</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Kirsten Loach</cp:lastModifiedBy>
  <cp:revision>3</cp:revision>
  <dcterms:created xsi:type="dcterms:W3CDTF">2019-09-10T09:22:00Z</dcterms:created>
  <dcterms:modified xsi:type="dcterms:W3CDTF">2019-09-10T09:22:00Z</dcterms:modified>
</cp:coreProperties>
</file>