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rPr>
          <w:sz w:val="26"/>
          <w:szCs w:val="26"/>
        </w:rPr>
      </w:pPr>
      <w:bookmarkStart w:colFirst="0" w:colLast="0" w:name="_gjdgxs" w:id="0"/>
      <w:bookmarkEnd w:id="0"/>
      <w:r w:rsidDel="00000000" w:rsidR="00000000" w:rsidRPr="00000000">
        <w:rPr>
          <w:sz w:val="40"/>
          <w:szCs w:val="40"/>
          <w:rtl w:val="0"/>
        </w:rPr>
        <w:t xml:space="preserve">Thyroid Scintigraphy Differentiates Subtypes Of Congenital Hypothyroidism</w:t>
      </w:r>
      <w:r w:rsidDel="00000000" w:rsidR="00000000" w:rsidRPr="00000000">
        <w:rPr>
          <w:rtl w:val="0"/>
        </w:rPr>
      </w:r>
    </w:p>
    <w:p w:rsidR="00000000" w:rsidDel="00000000" w:rsidP="00000000" w:rsidRDefault="00000000" w:rsidRPr="00000000" w14:paraId="00000002">
      <w:pPr>
        <w:pStyle w:val="Heading2"/>
        <w:rPr/>
      </w:pPr>
      <w:bookmarkStart w:colFirst="0" w:colLast="0" w:name="_30j0zll" w:id="1"/>
      <w:bookmarkEnd w:id="1"/>
      <w:r w:rsidDel="00000000" w:rsidR="00000000" w:rsidRPr="00000000">
        <w:rPr>
          <w:sz w:val="24"/>
          <w:szCs w:val="24"/>
          <w:rtl w:val="0"/>
        </w:rPr>
        <w:t xml:space="preserve">Christopher Worth</w:t>
      </w:r>
      <w:r w:rsidDel="00000000" w:rsidR="00000000" w:rsidRPr="00000000">
        <w:rPr>
          <w:sz w:val="24"/>
          <w:szCs w:val="24"/>
          <w:vertAlign w:val="superscript"/>
          <w:rtl w:val="0"/>
        </w:rPr>
        <w:t xml:space="preserve">1</w:t>
      </w:r>
      <w:r w:rsidDel="00000000" w:rsidR="00000000" w:rsidRPr="00000000">
        <w:rPr>
          <w:sz w:val="24"/>
          <w:szCs w:val="24"/>
          <w:rtl w:val="0"/>
        </w:rPr>
        <w:t xml:space="preserve">, Beverly Hird</w:t>
      </w:r>
      <w:r w:rsidDel="00000000" w:rsidR="00000000" w:rsidRPr="00000000">
        <w:rPr>
          <w:sz w:val="24"/>
          <w:szCs w:val="24"/>
          <w:vertAlign w:val="superscript"/>
          <w:rtl w:val="0"/>
        </w:rPr>
        <w:t xml:space="preserve">2</w:t>
      </w:r>
      <w:r w:rsidDel="00000000" w:rsidR="00000000" w:rsidRPr="00000000">
        <w:rPr>
          <w:sz w:val="24"/>
          <w:szCs w:val="24"/>
          <w:rtl w:val="0"/>
        </w:rPr>
        <w:t xml:space="preserve">, Lesley Tetlow</w:t>
      </w:r>
      <w:r w:rsidDel="00000000" w:rsidR="00000000" w:rsidRPr="00000000">
        <w:rPr>
          <w:sz w:val="24"/>
          <w:szCs w:val="24"/>
          <w:vertAlign w:val="superscript"/>
          <w:rtl w:val="0"/>
        </w:rPr>
        <w:t xml:space="preserve">2</w:t>
      </w:r>
      <w:r w:rsidDel="00000000" w:rsidR="00000000" w:rsidRPr="00000000">
        <w:rPr>
          <w:sz w:val="24"/>
          <w:szCs w:val="24"/>
          <w:rtl w:val="0"/>
        </w:rPr>
        <w:t xml:space="preserve">, Neville Wright</w:t>
      </w:r>
      <w:r w:rsidDel="00000000" w:rsidR="00000000" w:rsidRPr="00000000">
        <w:rPr>
          <w:sz w:val="24"/>
          <w:szCs w:val="24"/>
          <w:vertAlign w:val="superscript"/>
          <w:rtl w:val="0"/>
        </w:rPr>
        <w:t xml:space="preserve">3</w:t>
      </w:r>
      <w:r w:rsidDel="00000000" w:rsidR="00000000" w:rsidRPr="00000000">
        <w:rPr>
          <w:sz w:val="24"/>
          <w:szCs w:val="24"/>
          <w:rtl w:val="0"/>
        </w:rPr>
        <w:t xml:space="preserve">, Leena Patel</w:t>
      </w:r>
      <w:r w:rsidDel="00000000" w:rsidR="00000000" w:rsidRPr="00000000">
        <w:rPr>
          <w:sz w:val="24"/>
          <w:szCs w:val="24"/>
          <w:vertAlign w:val="superscript"/>
          <w:rtl w:val="0"/>
        </w:rPr>
        <w:t xml:space="preserve">1</w:t>
      </w:r>
      <w:r w:rsidDel="00000000" w:rsidR="00000000" w:rsidRPr="00000000">
        <w:rPr>
          <w:sz w:val="24"/>
          <w:szCs w:val="24"/>
          <w:rtl w:val="0"/>
        </w:rPr>
        <w:t xml:space="preserve">, Indraneel Banerjee</w:t>
      </w:r>
      <w:r w:rsidDel="00000000" w:rsidR="00000000" w:rsidRPr="00000000">
        <w:rPr>
          <w:sz w:val="24"/>
          <w:szCs w:val="24"/>
          <w:vertAlign w:val="superscript"/>
          <w:rtl w:val="0"/>
        </w:rPr>
        <w:t xml:space="preserve">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rPr>
      </w:pPr>
      <w:r w:rsidDel="00000000" w:rsidR="00000000" w:rsidRPr="00000000">
        <w:rPr>
          <w:color w:val="000000"/>
          <w:vertAlign w:val="superscript"/>
          <w:rtl w:val="0"/>
        </w:rPr>
        <w:t xml:space="preserve">1</w:t>
      </w:r>
      <w:r w:rsidDel="00000000" w:rsidR="00000000" w:rsidRPr="00000000">
        <w:rPr>
          <w:color w:val="000000"/>
          <w:rtl w:val="0"/>
        </w:rPr>
        <w:t xml:space="preserve">Dept Paediatric Endocrinology, Royal Manchester Children’s Hospital, Manchester, UK</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color w:val="000000"/>
          <w:vertAlign w:val="superscript"/>
          <w:rtl w:val="0"/>
        </w:rPr>
        <w:t xml:space="preserve">2</w:t>
      </w:r>
      <w:r w:rsidDel="00000000" w:rsidR="00000000" w:rsidRPr="00000000">
        <w:rPr>
          <w:color w:val="000000"/>
          <w:rtl w:val="0"/>
        </w:rPr>
        <w:t xml:space="preserve">Dept Clinical Biochemistry, Manchester University Foundation Trust, Manchester, UK</w:t>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rPr>
      </w:pPr>
      <w:r w:rsidDel="00000000" w:rsidR="00000000" w:rsidRPr="00000000">
        <w:rPr>
          <w:color w:val="000000"/>
          <w:vertAlign w:val="superscript"/>
          <w:rtl w:val="0"/>
        </w:rPr>
        <w:t xml:space="preserve">3</w:t>
      </w:r>
      <w:r w:rsidDel="00000000" w:rsidR="00000000" w:rsidRPr="00000000">
        <w:rPr>
          <w:color w:val="000000"/>
          <w:rtl w:val="0"/>
        </w:rPr>
        <w:t xml:space="preserve">Dept Paediatric Radiology, Royal Manchester Children’s Hospital, Manchester, UK</w:t>
      </w:r>
    </w:p>
    <w:p w:rsidR="00000000" w:rsidDel="00000000" w:rsidP="00000000" w:rsidRDefault="00000000" w:rsidRPr="00000000" w14:paraId="00000006">
      <w:pPr>
        <w:pStyle w:val="Heading3"/>
        <w:rPr/>
      </w:pPr>
      <w:bookmarkStart w:colFirst="0" w:colLast="0" w:name="_1fob9te" w:id="2"/>
      <w:bookmarkEnd w:id="2"/>
      <w:r w:rsidDel="00000000" w:rsidR="00000000" w:rsidRPr="00000000">
        <w:rPr>
          <w:rtl w:val="0"/>
        </w:rPr>
        <w:t xml:space="preserve">Corresponding author:</w:t>
      </w:r>
    </w:p>
    <w:p w:rsidR="00000000" w:rsidDel="00000000" w:rsidP="00000000" w:rsidRDefault="00000000" w:rsidRPr="00000000" w14:paraId="00000007">
      <w:pPr>
        <w:rPr/>
      </w:pPr>
      <w:r w:rsidDel="00000000" w:rsidR="00000000" w:rsidRPr="00000000">
        <w:rPr>
          <w:rtl w:val="0"/>
        </w:rPr>
        <w:t xml:space="preserve">Christopher Worth</w:t>
      </w:r>
    </w:p>
    <w:p w:rsidR="00000000" w:rsidDel="00000000" w:rsidP="00000000" w:rsidRDefault="00000000" w:rsidRPr="00000000" w14:paraId="00000008">
      <w:pPr>
        <w:rPr/>
      </w:pPr>
      <w:r w:rsidDel="00000000" w:rsidR="00000000" w:rsidRPr="00000000">
        <w:rPr>
          <w:rtl w:val="0"/>
        </w:rPr>
        <w:t xml:space="preserve">Department of Paediatric Endocrinology</w:t>
      </w:r>
    </w:p>
    <w:p w:rsidR="00000000" w:rsidDel="00000000" w:rsidP="00000000" w:rsidRDefault="00000000" w:rsidRPr="00000000" w14:paraId="00000009">
      <w:pPr>
        <w:rPr/>
      </w:pPr>
      <w:r w:rsidDel="00000000" w:rsidR="00000000" w:rsidRPr="00000000">
        <w:rPr>
          <w:rtl w:val="0"/>
        </w:rPr>
        <w:t xml:space="preserve">Royal Manchester Children’s Hospital</w:t>
      </w:r>
    </w:p>
    <w:p w:rsidR="00000000" w:rsidDel="00000000" w:rsidP="00000000" w:rsidRDefault="00000000" w:rsidRPr="00000000" w14:paraId="0000000A">
      <w:pPr>
        <w:rPr/>
      </w:pPr>
      <w:r w:rsidDel="00000000" w:rsidR="00000000" w:rsidRPr="00000000">
        <w:rPr>
          <w:rtl w:val="0"/>
        </w:rPr>
        <w:t xml:space="preserve">Oxford Road</w:t>
      </w:r>
    </w:p>
    <w:p w:rsidR="00000000" w:rsidDel="00000000" w:rsidP="00000000" w:rsidRDefault="00000000" w:rsidRPr="00000000" w14:paraId="0000000B">
      <w:pPr>
        <w:rPr/>
      </w:pPr>
      <w:r w:rsidDel="00000000" w:rsidR="00000000" w:rsidRPr="00000000">
        <w:rPr>
          <w:rtl w:val="0"/>
        </w:rPr>
        <w:t xml:space="preserve">Manchester</w:t>
      </w:r>
    </w:p>
    <w:p w:rsidR="00000000" w:rsidDel="00000000" w:rsidP="00000000" w:rsidRDefault="00000000" w:rsidRPr="00000000" w14:paraId="0000000C">
      <w:pPr>
        <w:rPr/>
      </w:pPr>
      <w:r w:rsidDel="00000000" w:rsidR="00000000" w:rsidRPr="00000000">
        <w:rPr>
          <w:rtl w:val="0"/>
        </w:rPr>
        <w:t xml:space="preserve">M13 9WL</w:t>
      </w:r>
    </w:p>
    <w:p w:rsidR="00000000" w:rsidDel="00000000" w:rsidP="00000000" w:rsidRDefault="00000000" w:rsidRPr="00000000" w14:paraId="0000000D">
      <w:pPr>
        <w:rPr/>
      </w:pPr>
      <w:r w:rsidDel="00000000" w:rsidR="00000000" w:rsidRPr="00000000">
        <w:rPr>
          <w:rtl w:val="0"/>
        </w:rPr>
        <w:t xml:space="preserve">07837740913</w:t>
      </w:r>
    </w:p>
    <w:p w:rsidR="00000000" w:rsidDel="00000000" w:rsidP="00000000" w:rsidRDefault="00000000" w:rsidRPr="00000000" w14:paraId="0000000E">
      <w:pPr>
        <w:rPr/>
      </w:pPr>
      <w:r w:rsidDel="00000000" w:rsidR="00000000" w:rsidRPr="00000000">
        <w:rPr>
          <w:rtl w:val="0"/>
        </w:rPr>
        <w:t xml:space="preserve">chrisworth88@doctors.org.uk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Key words:</w:t>
      </w:r>
      <w:r w:rsidDel="00000000" w:rsidR="00000000" w:rsidRPr="00000000">
        <w:rPr>
          <w:rtl w:val="0"/>
        </w:rPr>
        <w:t xml:space="preserve"> Thyroid Gland, Hypothyroidism, Congenital Hypothyroidism, Scintigraphy, Neonatal Screening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Word Counts</w:t>
      </w:r>
    </w:p>
    <w:p w:rsidR="00000000" w:rsidDel="00000000" w:rsidP="00000000" w:rsidRDefault="00000000" w:rsidRPr="00000000" w14:paraId="00000013">
      <w:pPr>
        <w:rPr/>
      </w:pPr>
      <w:r w:rsidDel="00000000" w:rsidR="00000000" w:rsidRPr="00000000">
        <w:rPr>
          <w:rtl w:val="0"/>
        </w:rPr>
        <w:t xml:space="preserve">Summary: 150 words</w:t>
      </w:r>
    </w:p>
    <w:p w:rsidR="00000000" w:rsidDel="00000000" w:rsidP="00000000" w:rsidRDefault="00000000" w:rsidRPr="00000000" w14:paraId="00000014">
      <w:pPr>
        <w:rPr/>
      </w:pPr>
      <w:r w:rsidDel="00000000" w:rsidR="00000000" w:rsidRPr="00000000">
        <w:rPr>
          <w:rtl w:val="0"/>
        </w:rPr>
        <w:t xml:space="preserve">Main Text: 1196 words</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rPr>
          <w:sz w:val="32"/>
          <w:szCs w:val="32"/>
        </w:rPr>
      </w:pPr>
      <w:bookmarkStart w:colFirst="0" w:colLast="0" w:name="_3znysh7" w:id="3"/>
      <w:bookmarkEnd w:id="3"/>
      <w:r w:rsidDel="00000000" w:rsidR="00000000" w:rsidRPr="00000000">
        <w:rPr>
          <w:sz w:val="32"/>
          <w:szCs w:val="32"/>
          <w:rtl w:val="0"/>
        </w:rPr>
        <w:t xml:space="preserve">Summary</w:t>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Intro</w:t>
      </w:r>
      <w:r w:rsidDel="00000000" w:rsidR="00000000" w:rsidRPr="00000000">
        <w:rPr>
          <w:b w:val="1"/>
          <w:sz w:val="20"/>
          <w:szCs w:val="20"/>
          <w:rtl w:val="0"/>
        </w:rPr>
        <w:t xml:space="preserve">duction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UK screening for congenital hypothyroidism (CH) is based on </w:t>
      </w:r>
      <w:r w:rsidDel="00000000" w:rsidR="00000000" w:rsidRPr="00000000">
        <w:rPr>
          <w:sz w:val="20"/>
          <w:szCs w:val="20"/>
          <w:rtl w:val="0"/>
        </w:rPr>
        <w:t xml:space="preserve">dried blood spot</w:t>
      </w:r>
      <w:r w:rsidDel="00000000" w:rsidR="00000000" w:rsidRPr="00000000">
        <w:rPr>
          <w:color w:val="000000"/>
          <w:sz w:val="20"/>
          <w:szCs w:val="20"/>
          <w:rtl w:val="0"/>
        </w:rPr>
        <w:t xml:space="preserve"> Thyroid Stimulating Hormone (TSH). </w:t>
      </w:r>
      <w:r w:rsidDel="00000000" w:rsidR="00000000" w:rsidRPr="00000000">
        <w:rPr>
          <w:sz w:val="20"/>
          <w:szCs w:val="20"/>
          <w:rtl w:val="0"/>
        </w:rPr>
        <w:t xml:space="preserve">S</w:t>
      </w:r>
      <w:r w:rsidDel="00000000" w:rsidR="00000000" w:rsidRPr="00000000">
        <w:rPr>
          <w:color w:val="000000"/>
          <w:sz w:val="20"/>
          <w:szCs w:val="20"/>
          <w:rtl w:val="0"/>
        </w:rPr>
        <w:t xml:space="preserve">cintigraphy may </w:t>
      </w:r>
      <w:r w:rsidDel="00000000" w:rsidR="00000000" w:rsidRPr="00000000">
        <w:rPr>
          <w:sz w:val="20"/>
          <w:szCs w:val="20"/>
          <w:rtl w:val="0"/>
        </w:rPr>
        <w:t xml:space="preserve">identify </w:t>
      </w:r>
      <w:r w:rsidDel="00000000" w:rsidR="00000000" w:rsidRPr="00000000">
        <w:rPr>
          <w:sz w:val="20"/>
          <w:szCs w:val="20"/>
          <w:rtl w:val="0"/>
        </w:rPr>
        <w:t xml:space="preserve">CH subtypes classified as dysplasia, gland in situ (GIS) and </w:t>
      </w:r>
      <w:r w:rsidDel="00000000" w:rsidR="00000000" w:rsidRPr="00000000">
        <w:rPr>
          <w:color w:val="000000"/>
          <w:sz w:val="20"/>
          <w:szCs w:val="20"/>
          <w:rtl w:val="0"/>
        </w:rPr>
        <w:t xml:space="preserve">ectopia, but is not </w:t>
      </w:r>
      <w:r w:rsidDel="00000000" w:rsidR="00000000" w:rsidRPr="00000000">
        <w:rPr>
          <w:sz w:val="20"/>
          <w:szCs w:val="20"/>
          <w:rtl w:val="0"/>
        </w:rPr>
        <w:t xml:space="preserve">performed </w:t>
      </w:r>
      <w:r w:rsidDel="00000000" w:rsidR="00000000" w:rsidRPr="00000000">
        <w:rPr>
          <w:color w:val="000000"/>
          <w:sz w:val="20"/>
          <w:szCs w:val="20"/>
          <w:rtl w:val="0"/>
        </w:rPr>
        <w:t xml:space="preserve">in all centres</w:t>
      </w:r>
      <w:r w:rsidDel="00000000" w:rsidR="00000000" w:rsidRPr="00000000">
        <w:rPr>
          <w:color w:val="000000"/>
          <w:sz w:val="20"/>
          <w:szCs w:val="20"/>
          <w:rtl w:val="0"/>
        </w:rPr>
        <w:t xml:space="preserve">. We retrospectively investigated the role of scintigraphy to identify CH subtypes in a single tertiary centre cohort.</w:t>
      </w:r>
    </w:p>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Methods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Babies screen positive for CH between 2007-2017 were studied (n=418 of 534,783). Scintigraphy outcomes were correlated with TSH and Levothyroxine dose. </w:t>
      </w:r>
      <w:r w:rsidDel="00000000" w:rsidR="00000000" w:rsidRPr="00000000">
        <w:rPr>
          <w:sz w:val="20"/>
          <w:szCs w:val="20"/>
          <w:rtl w:val="0"/>
        </w:rPr>
        <w:t xml:space="preserve">GIS patients </w:t>
      </w:r>
      <w:r w:rsidDel="00000000" w:rsidR="00000000" w:rsidRPr="00000000">
        <w:rPr>
          <w:color w:val="000000"/>
          <w:sz w:val="20"/>
          <w:szCs w:val="20"/>
          <w:rtl w:val="0"/>
        </w:rPr>
        <w:t xml:space="preserve">were analysed for three year outcomes.</w:t>
      </w:r>
    </w:p>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Results</w:t>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303 patients </w:t>
      </w:r>
      <w:r w:rsidDel="00000000" w:rsidR="00000000" w:rsidRPr="00000000">
        <w:rPr>
          <w:sz w:val="20"/>
          <w:szCs w:val="20"/>
          <w:rtl w:val="0"/>
        </w:rPr>
        <w:t xml:space="preserve">started</w:t>
      </w:r>
      <w:r w:rsidDel="00000000" w:rsidR="00000000" w:rsidRPr="00000000">
        <w:rPr>
          <w:color w:val="000000"/>
          <w:sz w:val="20"/>
          <w:szCs w:val="20"/>
          <w:rtl w:val="0"/>
        </w:rPr>
        <w:t xml:space="preserve"> Levothyroxine. </w:t>
      </w:r>
      <w:r w:rsidDel="00000000" w:rsidR="00000000" w:rsidRPr="00000000">
        <w:rPr>
          <w:sz w:val="20"/>
          <w:szCs w:val="20"/>
          <w:rtl w:val="0"/>
        </w:rPr>
        <w:t xml:space="preserve">S</w:t>
      </w:r>
      <w:r w:rsidDel="00000000" w:rsidR="00000000" w:rsidRPr="00000000">
        <w:rPr>
          <w:color w:val="000000"/>
          <w:sz w:val="20"/>
          <w:szCs w:val="20"/>
          <w:rtl w:val="0"/>
        </w:rPr>
        <w:t xml:space="preserve">cintigraphy</w:t>
      </w:r>
      <w:r w:rsidDel="00000000" w:rsidR="00000000" w:rsidRPr="00000000">
        <w:rPr>
          <w:sz w:val="20"/>
          <w:szCs w:val="20"/>
          <w:rtl w:val="0"/>
        </w:rPr>
        <w:t xml:space="preserve"> demonstrated three </w:t>
      </w:r>
      <w:r w:rsidDel="00000000" w:rsidR="00000000" w:rsidRPr="00000000">
        <w:rPr>
          <w:color w:val="000000"/>
          <w:sz w:val="20"/>
          <w:szCs w:val="20"/>
          <w:rtl w:val="0"/>
        </w:rPr>
        <w:t xml:space="preserve">subtypes</w:t>
      </w:r>
      <w:r w:rsidDel="00000000" w:rsidR="00000000" w:rsidRPr="00000000">
        <w:rPr>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GIS </w:t>
      </w:r>
      <w:r w:rsidDel="00000000" w:rsidR="00000000" w:rsidRPr="00000000">
        <w:rPr>
          <w:color w:val="000000"/>
          <w:sz w:val="20"/>
          <w:szCs w:val="20"/>
          <w:rtl w:val="0"/>
        </w:rPr>
        <w:t xml:space="preserve">(n=139, 46%) ectopia (n=84, 28%) and dysplasia (n=80, 26%). Three year follow up demonstrated permanence in 54% of 37 </w:t>
      </w:r>
      <w:r w:rsidDel="00000000" w:rsidR="00000000" w:rsidRPr="00000000">
        <w:rPr>
          <w:sz w:val="20"/>
          <w:szCs w:val="20"/>
          <w:rtl w:val="0"/>
        </w:rPr>
        <w:t xml:space="preserve">GIS </w:t>
      </w:r>
      <w:r w:rsidDel="00000000" w:rsidR="00000000" w:rsidRPr="00000000">
        <w:rPr>
          <w:color w:val="000000"/>
          <w:sz w:val="20"/>
          <w:szCs w:val="20"/>
          <w:rtl w:val="0"/>
        </w:rPr>
        <w:t xml:space="preserve">cases.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Discussion</w:t>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Thyroid scintigraphy </w:t>
      </w:r>
      <w:r w:rsidDel="00000000" w:rsidR="00000000" w:rsidRPr="00000000">
        <w:rPr>
          <w:sz w:val="20"/>
          <w:szCs w:val="20"/>
          <w:rtl w:val="0"/>
        </w:rPr>
        <w:t xml:space="preserve">differentiates</w:t>
      </w:r>
      <w:r w:rsidDel="00000000" w:rsidR="00000000" w:rsidRPr="00000000">
        <w:rPr>
          <w:color w:val="000000"/>
          <w:sz w:val="20"/>
          <w:szCs w:val="20"/>
          <w:rtl w:val="0"/>
        </w:rPr>
        <w:t xml:space="preserve"> subtypes of CH and </w:t>
      </w:r>
      <w:r w:rsidDel="00000000" w:rsidR="00000000" w:rsidRPr="00000000">
        <w:rPr>
          <w:sz w:val="20"/>
          <w:szCs w:val="20"/>
          <w:rtl w:val="0"/>
        </w:rPr>
        <w:t xml:space="preserve">suggests a</w:t>
      </w:r>
      <w:r w:rsidDel="00000000" w:rsidR="00000000" w:rsidRPr="00000000">
        <w:rPr>
          <w:color w:val="000000"/>
          <w:sz w:val="20"/>
          <w:szCs w:val="20"/>
          <w:rtl w:val="0"/>
        </w:rPr>
        <w:t xml:space="preserve"> higher than expected proportion of patients with </w:t>
      </w:r>
      <w:r w:rsidDel="00000000" w:rsidR="00000000" w:rsidRPr="00000000">
        <w:rPr>
          <w:sz w:val="20"/>
          <w:szCs w:val="20"/>
          <w:rtl w:val="0"/>
        </w:rPr>
        <w:t xml:space="preserve">GIS </w:t>
      </w:r>
      <w:r w:rsidDel="00000000" w:rsidR="00000000" w:rsidRPr="00000000">
        <w:rPr>
          <w:color w:val="000000"/>
          <w:sz w:val="20"/>
          <w:szCs w:val="20"/>
          <w:rtl w:val="0"/>
        </w:rPr>
        <w:t xml:space="preserve">and ectopia. CH is permanent in half of those with</w:t>
      </w:r>
      <w:r w:rsidDel="00000000" w:rsidR="00000000" w:rsidRPr="00000000">
        <w:rPr>
          <w:sz w:val="20"/>
          <w:szCs w:val="20"/>
          <w:rtl w:val="0"/>
        </w:rPr>
        <w:t xml:space="preserve"> GIS.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480" w:lineRule="auto"/>
        <w:rPr>
          <w:b w:val="1"/>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480"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480" w:lineRule="auto"/>
        <w:rPr>
          <w:color w:val="000000"/>
          <w:sz w:val="36"/>
          <w:szCs w:val="36"/>
        </w:rPr>
      </w:pPr>
      <w:r w:rsidDel="00000000" w:rsidR="00000000" w:rsidRPr="00000000">
        <w:rPr>
          <w:color w:val="000000"/>
          <w:sz w:val="36"/>
          <w:szCs w:val="36"/>
          <w:rtl w:val="0"/>
        </w:rPr>
        <w:t xml:space="preserve">Introduction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sz w:val="20"/>
          <w:szCs w:val="20"/>
          <w:rtl w:val="0"/>
        </w:rPr>
        <w:t xml:space="preserve">Congenital Hypothyroidism (CH) results in inadequate production of thyroid hormone and if untreated can lead to intellectual disability. In the UK, CH is diagnosed by identifying high levels of Thyroid Stimulating Hormone (TSH) on newborn blood spot (BS) screening. Screening reduces the risk of intellectual disability from untreated CH</w:t>
      </w:r>
      <w:r w:rsidDel="00000000" w:rsidR="00000000" w:rsidRPr="00000000">
        <w:rPr>
          <w:color w:val="000000"/>
          <w:sz w:val="20"/>
          <w:szCs w:val="20"/>
          <w:vertAlign w:val="superscript"/>
          <w:rtl w:val="0"/>
        </w:rPr>
        <w:t xml:space="preserve">1</w:t>
      </w:r>
      <w:r w:rsidDel="00000000" w:rsidR="00000000" w:rsidRPr="00000000">
        <w:rPr>
          <w:color w:val="000000"/>
          <w:sz w:val="20"/>
          <w:szCs w:val="20"/>
          <w:rtl w:val="0"/>
        </w:rPr>
        <w:t xml:space="preserve">. </w:t>
      </w:r>
      <w:r w:rsidDel="00000000" w:rsidR="00000000" w:rsidRPr="00000000">
        <w:rPr>
          <w:color w:val="000000"/>
          <w:sz w:val="20"/>
          <w:szCs w:val="20"/>
          <w:rtl w:val="0"/>
        </w:rPr>
        <w:t xml:space="preserve">The majority of CH is primary, arising from a small or absent gland (dysplasia/aplasia),</w:t>
      </w:r>
      <w:r w:rsidDel="00000000" w:rsidR="00000000" w:rsidRPr="00000000">
        <w:rPr>
          <w:sz w:val="20"/>
          <w:szCs w:val="20"/>
          <w:rtl w:val="0"/>
        </w:rPr>
        <w:t xml:space="preserve"> ectopic gland (ectopia) or</w:t>
      </w:r>
      <w:r w:rsidDel="00000000" w:rsidR="00000000" w:rsidRPr="00000000">
        <w:rPr>
          <w:color w:val="000000"/>
          <w:sz w:val="20"/>
          <w:szCs w:val="20"/>
          <w:rtl w:val="0"/>
        </w:rPr>
        <w:t xml:space="preserve"> </w:t>
      </w:r>
      <w:r w:rsidDel="00000000" w:rsidR="00000000" w:rsidRPr="00000000">
        <w:rPr>
          <w:sz w:val="20"/>
          <w:szCs w:val="20"/>
          <w:rtl w:val="0"/>
        </w:rPr>
        <w:t xml:space="preserve">gland in situ (GIS)</w:t>
      </w:r>
      <w:r w:rsidDel="00000000" w:rsidR="00000000" w:rsidRPr="00000000">
        <w:rPr>
          <w:color w:val="000000"/>
          <w:sz w:val="20"/>
          <w:szCs w:val="20"/>
          <w:rtl w:val="0"/>
        </w:rPr>
        <w:t xml:space="preserve"> producing inadequate thyroid hormone</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480" w:lineRule="auto"/>
        <w:rPr/>
      </w:pPr>
      <w:r w:rsidDel="00000000" w:rsidR="00000000" w:rsidRPr="00000000">
        <w:rPr>
          <w:color w:val="000000"/>
          <w:sz w:val="20"/>
          <w:szCs w:val="20"/>
          <w:rtl w:val="0"/>
        </w:rPr>
        <w:t xml:space="preserve">Thyroid dysplasia/aplasia is considered to comprise the majority of cases of CH </w:t>
      </w:r>
      <w:r w:rsidDel="00000000" w:rsidR="00000000" w:rsidRPr="00000000">
        <w:rPr>
          <w:color w:val="000000"/>
          <w:sz w:val="20"/>
          <w:szCs w:val="20"/>
          <w:rtl w:val="0"/>
        </w:rPr>
        <w:t xml:space="preserve">with only 15% of cases </w:t>
      </w:r>
      <w:r w:rsidDel="00000000" w:rsidR="00000000" w:rsidRPr="00000000">
        <w:rPr>
          <w:sz w:val="20"/>
          <w:szCs w:val="20"/>
          <w:rtl w:val="0"/>
        </w:rPr>
        <w:t xml:space="preserve">historically </w:t>
      </w:r>
      <w:r w:rsidDel="00000000" w:rsidR="00000000" w:rsidRPr="00000000">
        <w:rPr>
          <w:color w:val="000000"/>
          <w:sz w:val="20"/>
          <w:szCs w:val="20"/>
          <w:rtl w:val="0"/>
        </w:rPr>
        <w:t xml:space="preserve">attributed to </w:t>
      </w:r>
      <w:r w:rsidDel="00000000" w:rsidR="00000000" w:rsidRPr="00000000">
        <w:rPr>
          <w:sz w:val="20"/>
          <w:szCs w:val="20"/>
          <w:rtl w:val="0"/>
        </w:rPr>
        <w:t xml:space="preserve">GIS</w:t>
      </w:r>
      <w:r w:rsidDel="00000000" w:rsidR="00000000" w:rsidRPr="00000000">
        <w:rPr>
          <w:sz w:val="20"/>
          <w:szCs w:val="20"/>
          <w:vertAlign w:val="superscript"/>
          <w:rtl w:val="0"/>
        </w:rPr>
        <w:t xml:space="preserve">1</w:t>
      </w:r>
      <w:r w:rsidDel="00000000" w:rsidR="00000000" w:rsidRPr="00000000">
        <w:rPr>
          <w:color w:val="000000"/>
          <w:sz w:val="20"/>
          <w:szCs w:val="20"/>
          <w:rtl w:val="0"/>
        </w:rPr>
        <w:t xml:space="preserve"> </w:t>
      </w:r>
      <w:r w:rsidDel="00000000" w:rsidR="00000000" w:rsidRPr="00000000">
        <w:rPr>
          <w:color w:val="000000"/>
          <w:sz w:val="20"/>
          <w:szCs w:val="20"/>
          <w:rtl w:val="0"/>
        </w:rPr>
        <w:t xml:space="preserve">despite recent studies showing a higher prevalence</w:t>
      </w:r>
      <w:r w:rsidDel="00000000" w:rsidR="00000000" w:rsidRPr="00000000">
        <w:rPr>
          <w:color w:val="000000"/>
          <w:sz w:val="20"/>
          <w:szCs w:val="20"/>
          <w:vertAlign w:val="superscript"/>
          <w:rtl w:val="0"/>
        </w:rPr>
        <w:t xml:space="preserve">2</w:t>
      </w:r>
      <w:r w:rsidDel="00000000" w:rsidR="00000000" w:rsidRPr="00000000">
        <w:rPr>
          <w:color w:val="000000"/>
          <w:sz w:val="20"/>
          <w:szCs w:val="20"/>
          <w:rtl w:val="0"/>
        </w:rPr>
        <w:t xml:space="preserve">. </w:t>
      </w:r>
      <w:r w:rsidDel="00000000" w:rsidR="00000000" w:rsidRPr="00000000">
        <w:rPr>
          <w:sz w:val="20"/>
          <w:szCs w:val="20"/>
          <w:rtl w:val="0"/>
        </w:rPr>
        <w:t xml:space="preserve">Very few</w:t>
      </w:r>
      <w:r w:rsidDel="00000000" w:rsidR="00000000" w:rsidRPr="00000000">
        <w:rPr>
          <w:color w:val="000000"/>
          <w:sz w:val="20"/>
          <w:szCs w:val="20"/>
          <w:rtl w:val="0"/>
        </w:rPr>
        <w:t xml:space="preserve"> cases of dysplasia are thought to have a genetic basis</w:t>
      </w:r>
      <w:r w:rsidDel="00000000" w:rsidR="00000000" w:rsidRPr="00000000">
        <w:rPr>
          <w:sz w:val="20"/>
          <w:szCs w:val="20"/>
          <w:vertAlign w:val="superscript"/>
          <w:rtl w:val="0"/>
        </w:rPr>
        <w:t xml:space="preserve">1</w:t>
      </w:r>
      <w:r w:rsidDel="00000000" w:rsidR="00000000" w:rsidRPr="00000000">
        <w:rPr>
          <w:sz w:val="20"/>
          <w:szCs w:val="20"/>
          <w:rtl w:val="0"/>
        </w:rPr>
        <w:t xml:space="preserve"> while</w:t>
      </w:r>
      <w:r w:rsidDel="00000000" w:rsidR="00000000" w:rsidRPr="00000000">
        <w:rPr>
          <w:color w:val="000000"/>
          <w:sz w:val="20"/>
          <w:szCs w:val="20"/>
          <w:rtl w:val="0"/>
        </w:rPr>
        <w:t xml:space="preserve"> GIS i</w:t>
      </w:r>
      <w:r w:rsidDel="00000000" w:rsidR="00000000" w:rsidRPr="00000000">
        <w:rPr>
          <w:sz w:val="20"/>
          <w:szCs w:val="20"/>
          <w:rtl w:val="0"/>
        </w:rPr>
        <w:t xml:space="preserve">s more likely to be associated with an inherited dyshormonogenesis</w:t>
      </w:r>
      <w:r w:rsidDel="00000000" w:rsidR="00000000" w:rsidRPr="00000000">
        <w:rPr>
          <w:color w:val="000000"/>
          <w:sz w:val="20"/>
          <w:szCs w:val="20"/>
          <w:vertAlign w:val="superscript"/>
          <w:rtl w:val="0"/>
        </w:rPr>
        <w:t xml:space="preserve">3</w:t>
      </w:r>
      <w:r w:rsidDel="00000000" w:rsidR="00000000" w:rsidRPr="00000000">
        <w:rPr>
          <w:color w:val="000000"/>
          <w:sz w:val="20"/>
          <w:szCs w:val="20"/>
          <w:rtl w:val="0"/>
        </w:rPr>
        <w:t xml:space="preserve">. </w:t>
      </w:r>
      <w:r w:rsidDel="00000000" w:rsidR="00000000" w:rsidRPr="00000000">
        <w:rPr>
          <w:sz w:val="20"/>
          <w:szCs w:val="20"/>
          <w:rtl w:val="0"/>
        </w:rPr>
        <w:t xml:space="preserve">Although the terms dyshormonogenesis and GIS have been used interchangeably, GIS indicates a scintigraphy observation and does not imply the pathogenesis and genetic mechanisms underpinning dyshormonogenesis.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480" w:lineRule="auto"/>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sz w:val="20"/>
          <w:szCs w:val="20"/>
          <w:rtl w:val="0"/>
        </w:rPr>
        <w:t xml:space="preserve">E</w:t>
      </w:r>
      <w:r w:rsidDel="00000000" w:rsidR="00000000" w:rsidRPr="00000000">
        <w:rPr>
          <w:color w:val="000000"/>
          <w:sz w:val="20"/>
          <w:szCs w:val="20"/>
          <w:rtl w:val="0"/>
        </w:rPr>
        <w:t xml:space="preserve">vidence for imaging in CH is limited </w:t>
      </w:r>
      <w:r w:rsidDel="00000000" w:rsidR="00000000" w:rsidRPr="00000000">
        <w:rPr>
          <w:sz w:val="20"/>
          <w:szCs w:val="20"/>
          <w:rtl w:val="0"/>
        </w:rPr>
        <w:t xml:space="preserve">and</w:t>
      </w:r>
      <w:r w:rsidDel="00000000" w:rsidR="00000000" w:rsidRPr="00000000">
        <w:rPr>
          <w:color w:val="000000"/>
          <w:sz w:val="20"/>
          <w:szCs w:val="20"/>
          <w:rtl w:val="0"/>
        </w:rPr>
        <w:t xml:space="preserve"> many centres </w:t>
      </w:r>
      <w:r w:rsidDel="00000000" w:rsidR="00000000" w:rsidRPr="00000000">
        <w:rPr>
          <w:sz w:val="20"/>
          <w:szCs w:val="20"/>
          <w:rtl w:val="0"/>
        </w:rPr>
        <w:t xml:space="preserve">argue </w:t>
      </w:r>
      <w:r w:rsidDel="00000000" w:rsidR="00000000" w:rsidRPr="00000000">
        <w:rPr>
          <w:color w:val="000000"/>
          <w:sz w:val="20"/>
          <w:szCs w:val="20"/>
          <w:rtl w:val="0"/>
        </w:rPr>
        <w:t xml:space="preserve">that it does not alter </w:t>
      </w:r>
      <w:r w:rsidDel="00000000" w:rsidR="00000000" w:rsidRPr="00000000">
        <w:rPr>
          <w:sz w:val="20"/>
          <w:szCs w:val="20"/>
          <w:rtl w:val="0"/>
        </w:rPr>
        <w:t xml:space="preserve">management</w:t>
      </w:r>
      <w:r w:rsidDel="00000000" w:rsidR="00000000" w:rsidRPr="00000000">
        <w:rPr>
          <w:sz w:val="20"/>
          <w:szCs w:val="20"/>
          <w:vertAlign w:val="superscript"/>
          <w:rtl w:val="0"/>
        </w:rPr>
        <w:t xml:space="preserve">1</w:t>
      </w:r>
      <w:r w:rsidDel="00000000" w:rsidR="00000000" w:rsidRPr="00000000">
        <w:rPr>
          <w:color w:val="000000"/>
          <w:sz w:val="20"/>
          <w:szCs w:val="20"/>
          <w:rtl w:val="0"/>
        </w:rPr>
        <w:t xml:space="preserve">. </w:t>
      </w:r>
      <w:r w:rsidDel="00000000" w:rsidR="00000000" w:rsidRPr="00000000">
        <w:rPr>
          <w:sz w:val="20"/>
          <w:szCs w:val="20"/>
          <w:rtl w:val="0"/>
        </w:rPr>
        <w:t xml:space="preserve">I</w:t>
      </w:r>
      <w:r w:rsidDel="00000000" w:rsidR="00000000" w:rsidRPr="00000000">
        <w:rPr>
          <w:color w:val="000000"/>
          <w:sz w:val="20"/>
          <w:szCs w:val="20"/>
          <w:rtl w:val="0"/>
        </w:rPr>
        <w:t xml:space="preserve">maging is highlighted as desirable in the NHS Newborn </w:t>
      </w:r>
      <w:r w:rsidDel="00000000" w:rsidR="00000000" w:rsidRPr="00000000">
        <w:rPr>
          <w:sz w:val="20"/>
          <w:szCs w:val="20"/>
          <w:rtl w:val="0"/>
        </w:rPr>
        <w:t xml:space="preserve">BS </w:t>
      </w:r>
      <w:r w:rsidDel="00000000" w:rsidR="00000000" w:rsidRPr="00000000">
        <w:rPr>
          <w:color w:val="000000"/>
          <w:sz w:val="20"/>
          <w:szCs w:val="20"/>
          <w:rtl w:val="0"/>
        </w:rPr>
        <w:t xml:space="preserve">Screening Programme CH Clinical Referral Guidelines (</w:t>
      </w:r>
      <w:r w:rsidDel="00000000" w:rsidR="00000000" w:rsidRPr="00000000">
        <w:rPr>
          <w:sz w:val="20"/>
          <w:szCs w:val="20"/>
          <w:rtl w:val="0"/>
        </w:rPr>
        <w:t xml:space="preserve">https://assets.publishing.service.gov.uk/government/uploads/system/uploads/attachment_data/file/753471/Congenital_hypothyroidism_lab_guide.pdf) </w:t>
      </w:r>
      <w:r w:rsidDel="00000000" w:rsidR="00000000" w:rsidRPr="00000000">
        <w:rPr>
          <w:color w:val="000000"/>
          <w:sz w:val="20"/>
          <w:szCs w:val="20"/>
          <w:rtl w:val="0"/>
        </w:rPr>
        <w:t xml:space="preserve">and </w:t>
      </w:r>
      <w:r w:rsidDel="00000000" w:rsidR="00000000" w:rsidRPr="00000000">
        <w:rPr>
          <w:sz w:val="20"/>
          <w:szCs w:val="20"/>
          <w:rtl w:val="0"/>
        </w:rPr>
        <w:t xml:space="preserve">is recommended by the </w:t>
      </w:r>
      <w:r w:rsidDel="00000000" w:rsidR="00000000" w:rsidRPr="00000000">
        <w:rPr>
          <w:color w:val="000000"/>
          <w:sz w:val="20"/>
          <w:szCs w:val="20"/>
          <w:rtl w:val="0"/>
        </w:rPr>
        <w:t xml:space="preserve">European Society for Paediatric Endocrinology.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sz w:val="20"/>
          <w:szCs w:val="20"/>
          <w:rtl w:val="0"/>
        </w:rPr>
        <w:t xml:space="preserve">S</w:t>
      </w:r>
      <w:r w:rsidDel="00000000" w:rsidR="00000000" w:rsidRPr="00000000">
        <w:rPr>
          <w:color w:val="000000"/>
          <w:sz w:val="20"/>
          <w:szCs w:val="20"/>
          <w:rtl w:val="0"/>
        </w:rPr>
        <w:t xml:space="preserve">cintigraphy </w:t>
      </w:r>
      <w:r w:rsidDel="00000000" w:rsidR="00000000" w:rsidRPr="00000000">
        <w:rPr>
          <w:sz w:val="20"/>
          <w:szCs w:val="20"/>
          <w:rtl w:val="0"/>
        </w:rPr>
        <w:t xml:space="preserve">can</w:t>
      </w:r>
      <w:r w:rsidDel="00000000" w:rsidR="00000000" w:rsidRPr="00000000">
        <w:rPr>
          <w:color w:val="000000"/>
          <w:sz w:val="20"/>
          <w:szCs w:val="20"/>
          <w:rtl w:val="0"/>
        </w:rPr>
        <w:t xml:space="preserve"> identify absent, eutopic and ectopic thyroid glands</w:t>
      </w:r>
      <w:r w:rsidDel="00000000" w:rsidR="00000000" w:rsidRPr="00000000">
        <w:rPr>
          <w:color w:val="000000"/>
          <w:sz w:val="20"/>
          <w:szCs w:val="20"/>
          <w:vertAlign w:val="superscript"/>
          <w:rtl w:val="0"/>
        </w:rPr>
        <w:t xml:space="preserve"> </w:t>
      </w:r>
      <w:r w:rsidDel="00000000" w:rsidR="00000000" w:rsidRPr="00000000">
        <w:rPr>
          <w:color w:val="000000"/>
          <w:sz w:val="20"/>
          <w:szCs w:val="20"/>
          <w:rtl w:val="0"/>
        </w:rPr>
        <w:t xml:space="preserve">with sensitivities of 96%, 92% and 100% respectively</w:t>
      </w:r>
      <w:r w:rsidDel="00000000" w:rsidR="00000000" w:rsidRPr="00000000">
        <w:rPr>
          <w:color w:val="000000"/>
          <w:sz w:val="20"/>
          <w:szCs w:val="20"/>
          <w:vertAlign w:val="superscript"/>
          <w:rtl w:val="0"/>
        </w:rPr>
        <w:t xml:space="preserve">4</w:t>
      </w:r>
      <w:r w:rsidDel="00000000" w:rsidR="00000000" w:rsidRPr="00000000">
        <w:rPr>
          <w:color w:val="000000"/>
          <w:sz w:val="20"/>
          <w:szCs w:val="20"/>
          <w:rtl w:val="0"/>
        </w:rPr>
        <w:t xml:space="preserve">. </w:t>
      </w:r>
      <w:r w:rsidDel="00000000" w:rsidR="00000000" w:rsidRPr="00000000">
        <w:rPr>
          <w:sz w:val="20"/>
          <w:szCs w:val="20"/>
          <w:rtl w:val="0"/>
        </w:rPr>
        <w:t xml:space="preserve">T</w:t>
      </w:r>
      <w:r w:rsidDel="00000000" w:rsidR="00000000" w:rsidRPr="00000000">
        <w:rPr>
          <w:color w:val="000000"/>
          <w:sz w:val="20"/>
          <w:szCs w:val="20"/>
          <w:rtl w:val="0"/>
        </w:rPr>
        <w:t xml:space="preserve">hyroid ultrasound has a sensitivity of 10% for detecting an ectopic gland</w:t>
      </w:r>
      <w:r w:rsidDel="00000000" w:rsidR="00000000" w:rsidRPr="00000000">
        <w:rPr>
          <w:sz w:val="20"/>
          <w:szCs w:val="20"/>
          <w:vertAlign w:val="superscript"/>
          <w:rtl w:val="0"/>
        </w:rPr>
        <w:t xml:space="preserve">4</w:t>
      </w:r>
      <w:r w:rsidDel="00000000" w:rsidR="00000000" w:rsidRPr="00000000">
        <w:rPr>
          <w:color w:val="000000"/>
          <w:sz w:val="20"/>
          <w:szCs w:val="20"/>
          <w:rtl w:val="0"/>
        </w:rPr>
        <w:t xml:space="preserve">. </w:t>
      </w:r>
      <w:r w:rsidDel="00000000" w:rsidR="00000000" w:rsidRPr="00000000">
        <w:rPr>
          <w:sz w:val="20"/>
          <w:szCs w:val="20"/>
          <w:rtl w:val="0"/>
        </w:rPr>
        <w:t xml:space="preserve">W</w:t>
      </w:r>
      <w:r w:rsidDel="00000000" w:rsidR="00000000" w:rsidRPr="00000000">
        <w:rPr>
          <w:color w:val="000000"/>
          <w:sz w:val="20"/>
          <w:szCs w:val="20"/>
          <w:rtl w:val="0"/>
        </w:rPr>
        <w:t xml:space="preserve">e investigated the performance of scintigraphy in </w:t>
      </w:r>
      <w:r w:rsidDel="00000000" w:rsidR="00000000" w:rsidRPr="00000000">
        <w:rPr>
          <w:sz w:val="20"/>
          <w:szCs w:val="20"/>
          <w:rtl w:val="0"/>
        </w:rPr>
        <w:t xml:space="preserve">differentiating subtypes </w:t>
      </w:r>
      <w:r w:rsidDel="00000000" w:rsidR="00000000" w:rsidRPr="00000000">
        <w:rPr>
          <w:color w:val="000000"/>
          <w:sz w:val="20"/>
          <w:szCs w:val="20"/>
          <w:rtl w:val="0"/>
        </w:rPr>
        <w:t xml:space="preserve">of CH </w:t>
      </w:r>
      <w:r w:rsidDel="00000000" w:rsidR="00000000" w:rsidRPr="00000000">
        <w:rPr>
          <w:color w:val="000000"/>
          <w:sz w:val="20"/>
          <w:szCs w:val="20"/>
          <w:rtl w:val="0"/>
        </w:rPr>
        <w:t xml:space="preserve">and</w:t>
      </w:r>
      <w:r w:rsidDel="00000000" w:rsidR="00000000" w:rsidRPr="00000000">
        <w:rPr>
          <w:sz w:val="20"/>
          <w:szCs w:val="20"/>
          <w:rtl w:val="0"/>
        </w:rPr>
        <w:t xml:space="preserve"> have analysed</w:t>
      </w:r>
      <w:r w:rsidDel="00000000" w:rsidR="00000000" w:rsidRPr="00000000">
        <w:rPr>
          <w:color w:val="000000"/>
          <w:sz w:val="20"/>
          <w:szCs w:val="20"/>
          <w:rtl w:val="0"/>
        </w:rPr>
        <w:t xml:space="preserve"> three year outcomes of </w:t>
      </w:r>
      <w:r w:rsidDel="00000000" w:rsidR="00000000" w:rsidRPr="00000000">
        <w:rPr>
          <w:sz w:val="20"/>
          <w:szCs w:val="20"/>
          <w:rtl w:val="0"/>
        </w:rPr>
        <w:t xml:space="preserve">patients </w:t>
      </w:r>
      <w:r w:rsidDel="00000000" w:rsidR="00000000" w:rsidRPr="00000000">
        <w:rPr>
          <w:color w:val="000000"/>
          <w:sz w:val="20"/>
          <w:szCs w:val="20"/>
          <w:rtl w:val="0"/>
        </w:rPr>
        <w:t xml:space="preserve">with</w:t>
      </w:r>
      <w:r w:rsidDel="00000000" w:rsidR="00000000" w:rsidRPr="00000000">
        <w:rPr>
          <w:sz w:val="20"/>
          <w:szCs w:val="20"/>
          <w:rtl w:val="0"/>
        </w:rPr>
        <w:t xml:space="preserve"> GIS</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2C">
      <w:pPr>
        <w:pStyle w:val="Heading1"/>
        <w:spacing w:line="480" w:lineRule="auto"/>
        <w:rPr>
          <w:sz w:val="36"/>
          <w:szCs w:val="36"/>
        </w:rPr>
      </w:pPr>
      <w:bookmarkStart w:colFirst="0" w:colLast="0" w:name="_2et92p0" w:id="4"/>
      <w:bookmarkEnd w:id="4"/>
      <w:r w:rsidDel="00000000" w:rsidR="00000000" w:rsidRPr="00000000">
        <w:rPr>
          <w:sz w:val="36"/>
          <w:szCs w:val="36"/>
          <w:rtl w:val="0"/>
        </w:rPr>
        <w:t xml:space="preserve">Materials and Methods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480" w:lineRule="auto"/>
        <w:rPr>
          <w:sz w:val="20"/>
          <w:szCs w:val="20"/>
        </w:rPr>
      </w:pPr>
      <w:bookmarkStart w:colFirst="0" w:colLast="0" w:name="_tyjcwt" w:id="5"/>
      <w:bookmarkEnd w:id="5"/>
      <w:r w:rsidDel="00000000" w:rsidR="00000000" w:rsidRPr="00000000">
        <w:rPr>
          <w:color w:val="000000"/>
          <w:sz w:val="20"/>
          <w:szCs w:val="20"/>
          <w:rtl w:val="0"/>
        </w:rPr>
        <w:t xml:space="preserve">From 2007 to 2017, 534783 newborns were screened by the Manchester Newborn Screening Laboratory. Newborns with a positive BS TSH screen were referred to the tertiary paediatric endocrinology service at </w:t>
      </w:r>
      <w:r w:rsidDel="00000000" w:rsidR="00000000" w:rsidRPr="00000000">
        <w:rPr>
          <w:color w:val="000000"/>
          <w:sz w:val="20"/>
          <w:szCs w:val="20"/>
          <w:rtl w:val="0"/>
        </w:rPr>
        <w:t xml:space="preserve">the </w:t>
      </w:r>
      <w:r w:rsidDel="00000000" w:rsidR="00000000" w:rsidRPr="00000000">
        <w:rPr>
          <w:color w:val="000000"/>
          <w:sz w:val="20"/>
          <w:szCs w:val="20"/>
          <w:rtl w:val="0"/>
        </w:rPr>
        <w:t xml:space="preserve">Royal Manchester Children’s Hospital for measurement of plasma free thyroxine (fT4) and TSH (pTSH) by venous sampling, typically at age 1-2 weeks (mode 12, median 14 days</w:t>
      </w:r>
      <w:r w:rsidDel="00000000" w:rsidR="00000000" w:rsidRPr="00000000">
        <w:rPr>
          <w:sz w:val="20"/>
          <w:szCs w:val="20"/>
          <w:rtl w:val="0"/>
        </w:rPr>
        <w:t xml:space="preserve">)</w:t>
      </w:r>
      <w:r w:rsidDel="00000000" w:rsidR="00000000" w:rsidRPr="00000000">
        <w:rPr>
          <w:color w:val="000000"/>
          <w:sz w:val="20"/>
          <w:szCs w:val="20"/>
          <w:rtl w:val="0"/>
        </w:rPr>
        <w:t xml:space="preserve">. Scintigraphy was</w:t>
      </w:r>
      <w:r w:rsidDel="00000000" w:rsidR="00000000" w:rsidRPr="00000000">
        <w:rPr>
          <w:sz w:val="20"/>
          <w:szCs w:val="20"/>
          <w:rtl w:val="0"/>
        </w:rPr>
        <w:t xml:space="preserve"> routinely</w:t>
      </w:r>
      <w:r w:rsidDel="00000000" w:rsidR="00000000" w:rsidRPr="00000000">
        <w:rPr>
          <w:color w:val="000000"/>
          <w:sz w:val="20"/>
          <w:szCs w:val="20"/>
          <w:rtl w:val="0"/>
        </w:rPr>
        <w:t xml:space="preserve"> performed at this visit following venous sampling a</w:t>
      </w:r>
      <w:r w:rsidDel="00000000" w:rsidR="00000000" w:rsidRPr="00000000">
        <w:rPr>
          <w:sz w:val="20"/>
          <w:szCs w:val="20"/>
          <w:rtl w:val="0"/>
        </w:rPr>
        <w:t xml:space="preserve">nd before Levothyroxine (LT4) administration</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480" w:lineRule="auto"/>
        <w:rPr>
          <w:sz w:val="20"/>
          <w:szCs w:val="20"/>
        </w:rPr>
      </w:pPr>
      <w:bookmarkStart w:colFirst="0" w:colLast="0" w:name="_6264a0unynr1" w:id="6"/>
      <w:bookmarkEnd w:id="6"/>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color w:val="000000"/>
          <w:sz w:val="20"/>
          <w:szCs w:val="20"/>
          <w:rtl w:val="0"/>
        </w:rPr>
        <w:t xml:space="preserve">Electronic patient records were reviewed for pTSH, fT4, weight, initial dose of LT4 and ori</w:t>
      </w:r>
      <w:r w:rsidDel="00000000" w:rsidR="00000000" w:rsidRPr="00000000">
        <w:rPr>
          <w:sz w:val="20"/>
          <w:szCs w:val="20"/>
          <w:rtl w:val="0"/>
        </w:rPr>
        <w:t xml:space="preserve">ginal </w:t>
      </w:r>
      <w:r w:rsidDel="00000000" w:rsidR="00000000" w:rsidRPr="00000000">
        <w:rPr>
          <w:color w:val="000000"/>
          <w:sz w:val="20"/>
          <w:szCs w:val="20"/>
          <w:rtl w:val="0"/>
        </w:rPr>
        <w:t xml:space="preserve">scintigraphy report. Scintigraphy was classified as normal/large (</w:t>
      </w:r>
      <w:r w:rsidDel="00000000" w:rsidR="00000000" w:rsidRPr="00000000">
        <w:rPr>
          <w:sz w:val="20"/>
          <w:szCs w:val="20"/>
          <w:rtl w:val="0"/>
        </w:rPr>
        <w:t xml:space="preserve">GIS</w:t>
      </w:r>
      <w:r w:rsidDel="00000000" w:rsidR="00000000" w:rsidRPr="00000000">
        <w:rPr>
          <w:color w:val="000000"/>
          <w:sz w:val="20"/>
          <w:szCs w:val="20"/>
          <w:rtl w:val="0"/>
        </w:rPr>
        <w:t xml:space="preserve">), small/absent (dysplasia) or abnormal position (ectopia) by a consultant paediatric radiologist. </w:t>
      </w:r>
      <w:r w:rsidDel="00000000" w:rsidR="00000000" w:rsidRPr="00000000">
        <w:rPr>
          <w:color w:val="000000"/>
          <w:sz w:val="20"/>
          <w:szCs w:val="20"/>
          <w:rtl w:val="0"/>
        </w:rPr>
        <w:t xml:space="preserve">The term GIS was based on qualitative assessment to differentiate a small from a normal or large thyroid gland without reference to the mechanism of disordered thyroid hormone production. In the absence of thyroid gene panel testing</w:t>
      </w:r>
      <w:r w:rsidDel="00000000" w:rsidR="00000000" w:rsidRPr="00000000">
        <w:rPr>
          <w:sz w:val="20"/>
          <w:szCs w:val="20"/>
          <w:vertAlign w:val="superscript"/>
          <w:rtl w:val="0"/>
        </w:rPr>
        <w:t xml:space="preserve">3</w:t>
      </w:r>
      <w:r w:rsidDel="00000000" w:rsidR="00000000" w:rsidRPr="00000000">
        <w:rPr>
          <w:color w:val="000000"/>
          <w:sz w:val="20"/>
          <w:szCs w:val="20"/>
          <w:rtl w:val="0"/>
        </w:rPr>
        <w:t xml:space="preserve">, our study design did not support the determination of underlying pathophysiology.</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color w:val="000000"/>
          <w:sz w:val="20"/>
          <w:szCs w:val="20"/>
          <w:rtl w:val="0"/>
        </w:rPr>
        <w:t xml:space="preserve">Patients with </w:t>
      </w:r>
      <w:r w:rsidDel="00000000" w:rsidR="00000000" w:rsidRPr="00000000">
        <w:rPr>
          <w:sz w:val="20"/>
          <w:szCs w:val="20"/>
          <w:rtl w:val="0"/>
        </w:rPr>
        <w:t xml:space="preserve">GIS who were</w:t>
      </w:r>
      <w:r w:rsidDel="00000000" w:rsidR="00000000" w:rsidRPr="00000000">
        <w:rPr>
          <w:color w:val="000000"/>
          <w:sz w:val="20"/>
          <w:szCs w:val="20"/>
          <w:rtl w:val="0"/>
        </w:rPr>
        <w:t xml:space="preserve"> followed up by the tertiary centre had their </w:t>
      </w:r>
      <w:r w:rsidDel="00000000" w:rsidR="00000000" w:rsidRPr="00000000">
        <w:rPr>
          <w:color w:val="000000"/>
          <w:sz w:val="20"/>
          <w:szCs w:val="20"/>
          <w:rtl w:val="0"/>
        </w:rPr>
        <w:t xml:space="preserve">notes reviewed</w:t>
      </w:r>
      <w:r w:rsidDel="00000000" w:rsidR="00000000" w:rsidRPr="00000000">
        <w:rPr>
          <w:color w:val="000000"/>
          <w:sz w:val="20"/>
          <w:szCs w:val="20"/>
          <w:rtl w:val="0"/>
        </w:rPr>
        <w:t xml:space="preserve"> for TFTs, dose of LT4 and result of trial off therapy (if performed) </w:t>
      </w:r>
      <w:r w:rsidDel="00000000" w:rsidR="00000000" w:rsidRPr="00000000">
        <w:rPr>
          <w:color w:val="000000"/>
          <w:sz w:val="20"/>
          <w:szCs w:val="20"/>
          <w:rtl w:val="0"/>
        </w:rPr>
        <w:t xml:space="preserve">aged three years</w:t>
      </w:r>
      <w:r w:rsidDel="00000000" w:rsidR="00000000" w:rsidRPr="00000000">
        <w:rPr>
          <w:color w:val="000000"/>
          <w:sz w:val="20"/>
          <w:szCs w:val="20"/>
          <w:rtl w:val="0"/>
        </w:rPr>
        <w:t xml:space="preserve">. CH was classified as permanent if LT4 was recommenced following a four week trial off treatment</w:t>
      </w:r>
      <w:r w:rsidDel="00000000" w:rsidR="00000000" w:rsidRPr="00000000">
        <w:rPr>
          <w:sz w:val="20"/>
          <w:szCs w:val="20"/>
          <w:rtl w:val="0"/>
        </w:rPr>
        <w:t xml:space="preserve"> </w:t>
      </w:r>
      <w:r w:rsidDel="00000000" w:rsidR="00000000" w:rsidRPr="00000000">
        <w:rPr>
          <w:color w:val="000000"/>
          <w:sz w:val="20"/>
          <w:szCs w:val="20"/>
          <w:rtl w:val="0"/>
        </w:rPr>
        <w:t xml:space="preserve">or if a trial was deemed inappropriate due to a large or increasing LT4 requirement. CH was classified as transient if therapy was discontinued following a trial off treatment.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sz w:val="20"/>
          <w:szCs w:val="20"/>
          <w:rtl w:val="0"/>
        </w:rPr>
        <w:t xml:space="preserve">Data were analysed using SPSS software. Non parametric tests assessed differences in continuous variables that were not normally distributed. Univariate analysis </w:t>
      </w:r>
      <w:r w:rsidDel="00000000" w:rsidR="00000000" w:rsidRPr="00000000">
        <w:rPr>
          <w:sz w:val="20"/>
          <w:szCs w:val="20"/>
          <w:rtl w:val="0"/>
        </w:rPr>
        <w:t xml:space="preserve">tested</w:t>
      </w:r>
      <w:r w:rsidDel="00000000" w:rsidR="00000000" w:rsidRPr="00000000">
        <w:rPr>
          <w:color w:val="000000"/>
          <w:sz w:val="20"/>
          <w:szCs w:val="20"/>
          <w:rtl w:val="0"/>
        </w:rPr>
        <w:t xml:space="preserve"> correlations between variables related to the diagnosis and management of CH.</w:t>
      </w:r>
      <w:r w:rsidDel="00000000" w:rsidR="00000000" w:rsidRPr="00000000">
        <w:rPr>
          <w:rtl w:val="0"/>
        </w:rPr>
      </w:r>
    </w:p>
    <w:p w:rsidR="00000000" w:rsidDel="00000000" w:rsidP="00000000" w:rsidRDefault="00000000" w:rsidRPr="00000000" w14:paraId="00000034">
      <w:pPr>
        <w:pStyle w:val="Heading1"/>
        <w:spacing w:line="480" w:lineRule="auto"/>
        <w:rPr>
          <w:sz w:val="36"/>
          <w:szCs w:val="36"/>
        </w:rPr>
      </w:pPr>
      <w:bookmarkStart w:colFirst="0" w:colLast="0" w:name="_3dy6vkm" w:id="7"/>
      <w:bookmarkEnd w:id="7"/>
      <w:r w:rsidDel="00000000" w:rsidR="00000000" w:rsidRPr="00000000">
        <w:rPr>
          <w:sz w:val="36"/>
          <w:szCs w:val="36"/>
          <w:rtl w:val="0"/>
        </w:rPr>
        <w:t xml:space="preserve">Results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color w:val="000000"/>
          <w:sz w:val="20"/>
          <w:szCs w:val="20"/>
          <w:rtl w:val="0"/>
        </w:rPr>
        <w:t xml:space="preserve">418 newborns had a positive CH screen, </w:t>
      </w:r>
      <w:r w:rsidDel="00000000" w:rsidR="00000000" w:rsidRPr="00000000">
        <w:rPr>
          <w:color w:val="000000"/>
          <w:sz w:val="20"/>
          <w:szCs w:val="20"/>
          <w:rtl w:val="0"/>
        </w:rPr>
        <w:t xml:space="preserve">of whom 326</w:t>
      </w:r>
      <w:r w:rsidDel="00000000" w:rsidR="00000000" w:rsidRPr="00000000">
        <w:rPr>
          <w:color w:val="000000"/>
          <w:sz w:val="20"/>
          <w:szCs w:val="20"/>
          <w:rtl w:val="0"/>
        </w:rPr>
        <w:t xml:space="preserve"> underwent scintigraphy and 303 were subsequently started on LT4 (Fig 1). Scintigraphy revealed</w:t>
      </w:r>
      <w:r w:rsidDel="00000000" w:rsidR="00000000" w:rsidRPr="00000000">
        <w:rPr>
          <w:color w:val="000000"/>
          <w:sz w:val="20"/>
          <w:szCs w:val="20"/>
          <w:rtl w:val="0"/>
        </w:rPr>
        <w:t xml:space="preserve"> the following s</w:t>
      </w:r>
      <w:r w:rsidDel="00000000" w:rsidR="00000000" w:rsidRPr="00000000">
        <w:rPr>
          <w:color w:val="000000"/>
          <w:sz w:val="20"/>
          <w:szCs w:val="20"/>
          <w:rtl w:val="0"/>
        </w:rPr>
        <w:t xml:space="preserve">ubgroups: </w:t>
      </w:r>
      <w:r w:rsidDel="00000000" w:rsidR="00000000" w:rsidRPr="00000000">
        <w:rPr>
          <w:sz w:val="20"/>
          <w:szCs w:val="20"/>
          <w:rtl w:val="0"/>
        </w:rPr>
        <w:t xml:space="preserve">GIS</w:t>
      </w:r>
      <w:r w:rsidDel="00000000" w:rsidR="00000000" w:rsidRPr="00000000">
        <w:rPr>
          <w:color w:val="000000"/>
          <w:sz w:val="20"/>
          <w:szCs w:val="20"/>
          <w:rtl w:val="0"/>
        </w:rPr>
        <w:t xml:space="preserve"> (n=139, 46%), ectopia (n=84, 28%) and dysplasia (n=80, 26%). Median (interquartile range (IQR)) BS TSH (mU/L) was lower in </w:t>
      </w:r>
      <w:r w:rsidDel="00000000" w:rsidR="00000000" w:rsidRPr="00000000">
        <w:rPr>
          <w:sz w:val="20"/>
          <w:szCs w:val="20"/>
          <w:rtl w:val="0"/>
        </w:rPr>
        <w:t xml:space="preserve">GIS</w:t>
      </w:r>
      <w:r w:rsidDel="00000000" w:rsidR="00000000" w:rsidRPr="00000000">
        <w:rPr>
          <w:color w:val="000000"/>
          <w:sz w:val="20"/>
          <w:szCs w:val="20"/>
          <w:rtl w:val="0"/>
        </w:rPr>
        <w:t xml:space="preserve"> [23.5 (28.0)] than in ectopia [106.0 (147.0)] and dysplasia [172.0 (183.0)] [p&lt;0.001 for difference between groups] but non-discriminatory between dysplasia and ectopia [p=0.12] (Fig 2a). Median (IQR) pTSH (mU/L) was also lower in </w:t>
      </w:r>
      <w:r w:rsidDel="00000000" w:rsidR="00000000" w:rsidRPr="00000000">
        <w:rPr>
          <w:sz w:val="20"/>
          <w:szCs w:val="20"/>
          <w:rtl w:val="0"/>
        </w:rPr>
        <w:t xml:space="preserve">GIS</w:t>
      </w:r>
      <w:r w:rsidDel="00000000" w:rsidR="00000000" w:rsidRPr="00000000">
        <w:rPr>
          <w:color w:val="000000"/>
          <w:sz w:val="20"/>
          <w:szCs w:val="20"/>
          <w:rtl w:val="0"/>
        </w:rPr>
        <w:t xml:space="preserve"> [41.0 (95.5)] than in ectopia [264.5 (345.6)] and dysplasia [421 (656.1)]</w:t>
      </w:r>
      <w:r w:rsidDel="00000000" w:rsidR="00000000" w:rsidRPr="00000000">
        <w:rPr>
          <w:sz w:val="20"/>
          <w:szCs w:val="20"/>
          <w:rtl w:val="0"/>
        </w:rPr>
        <w:t xml:space="preserve"> [p&lt;0.001] </w:t>
      </w:r>
      <w:r w:rsidDel="00000000" w:rsidR="00000000" w:rsidRPr="00000000">
        <w:rPr>
          <w:color w:val="000000"/>
          <w:sz w:val="20"/>
          <w:szCs w:val="20"/>
          <w:rtl w:val="0"/>
        </w:rPr>
        <w:t xml:space="preserve">(Fig 2b). </w:t>
      </w:r>
      <w:r w:rsidDel="00000000" w:rsidR="00000000" w:rsidRPr="00000000">
        <w:rPr>
          <w:sz w:val="20"/>
          <w:szCs w:val="20"/>
          <w:rtl w:val="0"/>
        </w:rPr>
        <w:t xml:space="preserve">M</w:t>
      </w:r>
      <w:r w:rsidDel="00000000" w:rsidR="00000000" w:rsidRPr="00000000">
        <w:rPr>
          <w:color w:val="000000"/>
          <w:sz w:val="20"/>
          <w:szCs w:val="20"/>
          <w:rtl w:val="0"/>
        </w:rPr>
        <w:t xml:space="preserve">edian (IQR) fT4 was higher in </w:t>
      </w:r>
      <w:r w:rsidDel="00000000" w:rsidR="00000000" w:rsidRPr="00000000">
        <w:rPr>
          <w:sz w:val="20"/>
          <w:szCs w:val="20"/>
          <w:rtl w:val="0"/>
        </w:rPr>
        <w:t xml:space="preserve">GIS</w:t>
      </w:r>
      <w:r w:rsidDel="00000000" w:rsidR="00000000" w:rsidRPr="00000000">
        <w:rPr>
          <w:color w:val="000000"/>
          <w:sz w:val="20"/>
          <w:szCs w:val="20"/>
          <w:rtl w:val="0"/>
        </w:rPr>
        <w:t xml:space="preserve"> [12.0 (9.5)] than ectopia [9.6 (8.9)] and dysplasia [4.0 (11.1)] [p&lt;0.001] (Fig 2c). </w:t>
      </w:r>
      <w:r w:rsidDel="00000000" w:rsidR="00000000" w:rsidRPr="00000000">
        <w:rPr>
          <w:sz w:val="20"/>
          <w:szCs w:val="20"/>
          <w:rtl w:val="0"/>
        </w:rPr>
        <w:t xml:space="preserve">I</w:t>
      </w:r>
      <w:r w:rsidDel="00000000" w:rsidR="00000000" w:rsidRPr="00000000">
        <w:rPr>
          <w:color w:val="000000"/>
          <w:sz w:val="20"/>
          <w:szCs w:val="20"/>
          <w:rtl w:val="0"/>
        </w:rPr>
        <w:t xml:space="preserve">nitial median (IQR) LT4 doses (micrograms/day) were 25.0(12.5), 37.5(12.5) and 37.5(25.0) [p&lt;0.001] respectively across the three subgroups.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sz w:val="20"/>
          <w:szCs w:val="20"/>
          <w:rtl w:val="0"/>
        </w:rPr>
        <w:t xml:space="preserve">In analysis of covariance, LT4 dose correlated independently with fT4 levels </w:t>
      </w:r>
      <w:r w:rsidDel="00000000" w:rsidR="00000000" w:rsidRPr="00000000">
        <w:rPr>
          <w:sz w:val="20"/>
          <w:szCs w:val="20"/>
          <w:rtl w:val="0"/>
        </w:rPr>
        <w:t xml:space="preserve">to discriminate GIS</w:t>
      </w:r>
      <w:r w:rsidDel="00000000" w:rsidR="00000000" w:rsidRPr="00000000">
        <w:rPr>
          <w:color w:val="000000"/>
          <w:sz w:val="20"/>
          <w:szCs w:val="20"/>
          <w:rtl w:val="0"/>
        </w:rPr>
        <w:t xml:space="preserve"> </w:t>
      </w:r>
      <w:r w:rsidDel="00000000" w:rsidR="00000000" w:rsidRPr="00000000">
        <w:rPr>
          <w:sz w:val="20"/>
          <w:szCs w:val="20"/>
          <w:rtl w:val="0"/>
        </w:rPr>
        <w:t xml:space="preserve">from </w:t>
      </w:r>
      <w:r w:rsidDel="00000000" w:rsidR="00000000" w:rsidRPr="00000000">
        <w:rPr>
          <w:color w:val="000000"/>
          <w:sz w:val="20"/>
          <w:szCs w:val="20"/>
          <w:rtl w:val="0"/>
        </w:rPr>
        <w:t xml:space="preserve">ectopia [p=0.009, R</w:t>
      </w:r>
      <w:r w:rsidDel="00000000" w:rsidR="00000000" w:rsidRPr="00000000">
        <w:rPr>
          <w:color w:val="000000"/>
          <w:sz w:val="20"/>
          <w:szCs w:val="20"/>
          <w:vertAlign w:val="superscript"/>
          <w:rtl w:val="0"/>
        </w:rPr>
        <w:t xml:space="preserve">2</w:t>
      </w:r>
      <w:r w:rsidDel="00000000" w:rsidR="00000000" w:rsidRPr="00000000">
        <w:rPr>
          <w:color w:val="000000"/>
          <w:sz w:val="20"/>
          <w:szCs w:val="20"/>
          <w:rtl w:val="0"/>
        </w:rPr>
        <w:t xml:space="preserve">=0.40 for model], but not dysplasia </w:t>
      </w:r>
      <w:r w:rsidDel="00000000" w:rsidR="00000000" w:rsidRPr="00000000">
        <w:rPr>
          <w:sz w:val="20"/>
          <w:szCs w:val="20"/>
          <w:rtl w:val="0"/>
        </w:rPr>
        <w:t xml:space="preserve">from</w:t>
      </w:r>
      <w:r w:rsidDel="00000000" w:rsidR="00000000" w:rsidRPr="00000000">
        <w:rPr>
          <w:color w:val="000000"/>
          <w:sz w:val="20"/>
          <w:szCs w:val="20"/>
          <w:rtl w:val="0"/>
        </w:rPr>
        <w:t xml:space="preserve"> ectopia [p=0.22, R</w:t>
      </w:r>
      <w:r w:rsidDel="00000000" w:rsidR="00000000" w:rsidRPr="00000000">
        <w:rPr>
          <w:color w:val="000000"/>
          <w:sz w:val="20"/>
          <w:szCs w:val="20"/>
          <w:vertAlign w:val="superscript"/>
          <w:rtl w:val="0"/>
        </w:rPr>
        <w:t xml:space="preserve">2</w:t>
      </w:r>
      <w:r w:rsidDel="00000000" w:rsidR="00000000" w:rsidRPr="00000000">
        <w:rPr>
          <w:color w:val="000000"/>
          <w:sz w:val="20"/>
          <w:szCs w:val="20"/>
          <w:rtl w:val="0"/>
        </w:rPr>
        <w:t xml:space="preserve">=0.38]. This suggest</w:t>
      </w:r>
      <w:r w:rsidDel="00000000" w:rsidR="00000000" w:rsidRPr="00000000">
        <w:rPr>
          <w:sz w:val="20"/>
          <w:szCs w:val="20"/>
          <w:rtl w:val="0"/>
        </w:rPr>
        <w:t xml:space="preserve">s</w:t>
      </w:r>
      <w:r w:rsidDel="00000000" w:rsidR="00000000" w:rsidRPr="00000000">
        <w:rPr>
          <w:color w:val="000000"/>
          <w:sz w:val="20"/>
          <w:szCs w:val="20"/>
          <w:rtl w:val="0"/>
        </w:rPr>
        <w:t xml:space="preserve"> that, independent of fT4 levels, the </w:t>
      </w:r>
      <w:r w:rsidDel="00000000" w:rsidR="00000000" w:rsidRPr="00000000">
        <w:rPr>
          <w:sz w:val="20"/>
          <w:szCs w:val="20"/>
          <w:rtl w:val="0"/>
        </w:rPr>
        <w:t xml:space="preserve">initial</w:t>
      </w:r>
      <w:r w:rsidDel="00000000" w:rsidR="00000000" w:rsidRPr="00000000">
        <w:rPr>
          <w:color w:val="000000"/>
          <w:sz w:val="20"/>
          <w:szCs w:val="20"/>
          <w:rtl w:val="0"/>
        </w:rPr>
        <w:t xml:space="preserve"> </w:t>
      </w:r>
      <w:r w:rsidDel="00000000" w:rsidR="00000000" w:rsidRPr="00000000">
        <w:rPr>
          <w:sz w:val="20"/>
          <w:szCs w:val="20"/>
          <w:rtl w:val="0"/>
        </w:rPr>
        <w:t xml:space="preserve">LT4</w:t>
      </w:r>
      <w:r w:rsidDel="00000000" w:rsidR="00000000" w:rsidRPr="00000000">
        <w:rPr>
          <w:color w:val="000000"/>
          <w:sz w:val="20"/>
          <w:szCs w:val="20"/>
          <w:rtl w:val="0"/>
        </w:rPr>
        <w:t xml:space="preserve"> dose was at least partially </w:t>
      </w:r>
      <w:r w:rsidDel="00000000" w:rsidR="00000000" w:rsidRPr="00000000">
        <w:rPr>
          <w:sz w:val="20"/>
          <w:szCs w:val="20"/>
          <w:rtl w:val="0"/>
        </w:rPr>
        <w:t xml:space="preserve">i</w:t>
      </w:r>
      <w:r w:rsidDel="00000000" w:rsidR="00000000" w:rsidRPr="00000000">
        <w:rPr>
          <w:color w:val="000000"/>
          <w:sz w:val="20"/>
          <w:szCs w:val="20"/>
          <w:rtl w:val="0"/>
        </w:rPr>
        <w:t xml:space="preserve">nfluenced by scintigraphy phenotype.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color w:val="000000"/>
          <w:sz w:val="20"/>
          <w:szCs w:val="20"/>
          <w:rtl w:val="0"/>
        </w:rPr>
        <w:t xml:space="preserve">Of the 139 patients classified as </w:t>
      </w:r>
      <w:r w:rsidDel="00000000" w:rsidR="00000000" w:rsidRPr="00000000">
        <w:rPr>
          <w:sz w:val="20"/>
          <w:szCs w:val="20"/>
          <w:rtl w:val="0"/>
        </w:rPr>
        <w:t xml:space="preserve">GIS by scintigraphy</w:t>
      </w:r>
      <w:r w:rsidDel="00000000" w:rsidR="00000000" w:rsidRPr="00000000">
        <w:rPr>
          <w:color w:val="000000"/>
          <w:sz w:val="20"/>
          <w:szCs w:val="20"/>
          <w:rtl w:val="0"/>
        </w:rPr>
        <w:t xml:space="preserve">, 119 were over three years of age at the time of the study and therefore suitable for assessment </w:t>
      </w:r>
      <w:r w:rsidDel="00000000" w:rsidR="00000000" w:rsidRPr="00000000">
        <w:rPr>
          <w:sz w:val="20"/>
          <w:szCs w:val="20"/>
          <w:rtl w:val="0"/>
        </w:rPr>
        <w:t xml:space="preserve">of the </w:t>
      </w:r>
      <w:r w:rsidDel="00000000" w:rsidR="00000000" w:rsidRPr="00000000">
        <w:rPr>
          <w:color w:val="000000"/>
          <w:sz w:val="20"/>
          <w:szCs w:val="20"/>
          <w:rtl w:val="0"/>
        </w:rPr>
        <w:t xml:space="preserve">permanence of hypothyroidism. Of these, 37 were followed up at our centre with availab</w:t>
      </w:r>
      <w:r w:rsidDel="00000000" w:rsidR="00000000" w:rsidRPr="00000000">
        <w:rPr>
          <w:sz w:val="20"/>
          <w:szCs w:val="20"/>
          <w:rtl w:val="0"/>
        </w:rPr>
        <w:t xml:space="preserve">le</w:t>
      </w:r>
      <w:r w:rsidDel="00000000" w:rsidR="00000000" w:rsidRPr="00000000">
        <w:rPr>
          <w:color w:val="000000"/>
          <w:sz w:val="20"/>
          <w:szCs w:val="20"/>
          <w:rtl w:val="0"/>
        </w:rPr>
        <w:t xml:space="preserve"> records for review. </w:t>
      </w:r>
      <w:r w:rsidDel="00000000" w:rsidR="00000000" w:rsidRPr="00000000">
        <w:rPr>
          <w:sz w:val="20"/>
          <w:szCs w:val="20"/>
          <w:rtl w:val="0"/>
        </w:rPr>
        <w:t xml:space="preserve">20 </w:t>
      </w:r>
      <w:r w:rsidDel="00000000" w:rsidR="00000000" w:rsidRPr="00000000">
        <w:rPr>
          <w:color w:val="000000"/>
          <w:sz w:val="20"/>
          <w:szCs w:val="20"/>
          <w:rtl w:val="0"/>
        </w:rPr>
        <w:t xml:space="preserve">(54%) were classified as permanent and 17 (46%) as transient. Within this subset the median (IQR) BS TSH at diagnosis was higher in those with permanent [66.5 (110.0)] than transient [22.5 (11.5)] [p=0.026] </w:t>
      </w:r>
      <w:r w:rsidDel="00000000" w:rsidR="00000000" w:rsidRPr="00000000">
        <w:rPr>
          <w:sz w:val="20"/>
          <w:szCs w:val="20"/>
          <w:rtl w:val="0"/>
        </w:rPr>
        <w:t xml:space="preserve">disease</w:t>
      </w:r>
      <w:r w:rsidDel="00000000" w:rsidR="00000000" w:rsidRPr="00000000">
        <w:rPr>
          <w:color w:val="000000"/>
          <w:sz w:val="20"/>
          <w:szCs w:val="20"/>
          <w:rtl w:val="0"/>
        </w:rPr>
        <w:t xml:space="preserve">. The pTSH, fT4 and LT4 doses at diagnosis showed no significant differences between </w:t>
      </w:r>
      <w:r w:rsidDel="00000000" w:rsidR="00000000" w:rsidRPr="00000000">
        <w:rPr>
          <w:sz w:val="20"/>
          <w:szCs w:val="20"/>
          <w:rtl w:val="0"/>
        </w:rPr>
        <w:t xml:space="preserve">GIS</w:t>
      </w:r>
      <w:r w:rsidDel="00000000" w:rsidR="00000000" w:rsidRPr="00000000">
        <w:rPr>
          <w:color w:val="000000"/>
          <w:sz w:val="20"/>
          <w:szCs w:val="20"/>
          <w:rtl w:val="0"/>
        </w:rPr>
        <w:t xml:space="preserve"> subgroups at three years of age [p=0.19, 0.18 and 0.29 respectively].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3B">
      <w:pPr>
        <w:pStyle w:val="Heading1"/>
        <w:spacing w:line="480" w:lineRule="auto"/>
        <w:rPr>
          <w:sz w:val="36"/>
          <w:szCs w:val="36"/>
        </w:rPr>
      </w:pPr>
      <w:bookmarkStart w:colFirst="0" w:colLast="0" w:name="_1t3h5sf" w:id="8"/>
      <w:bookmarkEnd w:id="8"/>
      <w:r w:rsidDel="00000000" w:rsidR="00000000" w:rsidRPr="00000000">
        <w:rPr>
          <w:sz w:val="36"/>
          <w:szCs w:val="36"/>
          <w:rtl w:val="0"/>
        </w:rPr>
        <w:t xml:space="preserve">Discussion</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480" w:lineRule="auto"/>
        <w:rPr>
          <w:color w:val="000000"/>
        </w:rPr>
      </w:pPr>
      <w:bookmarkStart w:colFirst="0" w:colLast="0" w:name="_4d34og8" w:id="9"/>
      <w:bookmarkEnd w:id="9"/>
      <w:r w:rsidDel="00000000" w:rsidR="00000000" w:rsidRPr="00000000">
        <w:rPr>
          <w:color w:val="000000"/>
          <w:sz w:val="20"/>
          <w:szCs w:val="20"/>
          <w:rtl w:val="0"/>
        </w:rPr>
        <w:t xml:space="preserve">Our data demonstrate that over an 11 year period at a large NBS centre, </w:t>
      </w:r>
      <w:r w:rsidDel="00000000" w:rsidR="00000000" w:rsidRPr="00000000">
        <w:rPr>
          <w:sz w:val="20"/>
          <w:szCs w:val="20"/>
          <w:rtl w:val="0"/>
        </w:rPr>
        <w:t xml:space="preserve">GIS</w:t>
      </w:r>
      <w:r w:rsidDel="00000000" w:rsidR="00000000" w:rsidRPr="00000000">
        <w:rPr>
          <w:color w:val="000000"/>
          <w:sz w:val="20"/>
          <w:szCs w:val="20"/>
          <w:rtl w:val="0"/>
        </w:rPr>
        <w:t xml:space="preserve"> </w:t>
      </w:r>
      <w:r w:rsidDel="00000000" w:rsidR="00000000" w:rsidRPr="00000000">
        <w:rPr>
          <w:color w:val="000000"/>
          <w:sz w:val="20"/>
          <w:szCs w:val="20"/>
          <w:rtl w:val="0"/>
        </w:rPr>
        <w:t xml:space="preserve">was the commonest subtype</w:t>
      </w:r>
      <w:r w:rsidDel="00000000" w:rsidR="00000000" w:rsidRPr="00000000">
        <w:rPr>
          <w:color w:val="000000"/>
          <w:sz w:val="20"/>
          <w:szCs w:val="20"/>
          <w:rtl w:val="0"/>
        </w:rPr>
        <w:t xml:space="preserve"> of CH. </w:t>
      </w:r>
      <w:r w:rsidDel="00000000" w:rsidR="00000000" w:rsidRPr="00000000">
        <w:rPr>
          <w:color w:val="000000"/>
          <w:sz w:val="20"/>
          <w:szCs w:val="20"/>
          <w:rtl w:val="0"/>
        </w:rPr>
        <w:t xml:space="preserve">This suggests a greater incidence of possible dyshormonogenesis than previous reports (10-15%)</w:t>
      </w:r>
      <w:r w:rsidDel="00000000" w:rsidR="00000000" w:rsidRPr="00000000">
        <w:rPr>
          <w:sz w:val="20"/>
          <w:szCs w:val="20"/>
          <w:vertAlign w:val="superscript"/>
          <w:rtl w:val="0"/>
        </w:rPr>
        <w:t xml:space="preserve">1</w:t>
      </w:r>
      <w:r w:rsidDel="00000000" w:rsidR="00000000" w:rsidRPr="00000000">
        <w:rPr>
          <w:color w:val="000000"/>
          <w:sz w:val="20"/>
          <w:szCs w:val="20"/>
          <w:rtl w:val="0"/>
        </w:rPr>
        <w:t xml:space="preserve">. </w:t>
      </w:r>
      <w:r w:rsidDel="00000000" w:rsidR="00000000" w:rsidRPr="00000000">
        <w:rPr>
          <w:color w:val="000000"/>
          <w:sz w:val="20"/>
          <w:szCs w:val="20"/>
          <w:rtl w:val="0"/>
        </w:rPr>
        <w:t xml:space="preserve">The incidence of ectopia (28%) was also higher than previous estimates</w:t>
      </w:r>
      <w:r w:rsidDel="00000000" w:rsidR="00000000" w:rsidRPr="00000000">
        <w:rPr>
          <w:sz w:val="20"/>
          <w:szCs w:val="20"/>
          <w:vertAlign w:val="superscript"/>
          <w:rtl w:val="0"/>
        </w:rPr>
        <w:t xml:space="preserve">1</w:t>
      </w:r>
      <w:r w:rsidDel="00000000" w:rsidR="00000000" w:rsidRPr="00000000">
        <w:rPr>
          <w:color w:val="000000"/>
          <w:sz w:val="20"/>
          <w:szCs w:val="20"/>
          <w:rtl w:val="0"/>
        </w:rPr>
        <w:t xml:space="preserve">, reflecting the value of scintigraphy in altering commonly held paradigms about the aetiology of CH.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sz w:val="20"/>
          <w:szCs w:val="20"/>
          <w:rtl w:val="0"/>
        </w:rPr>
        <w:t xml:space="preserve">Although contradictory to current </w:t>
      </w:r>
      <w:r w:rsidDel="00000000" w:rsidR="00000000" w:rsidRPr="00000000">
        <w:rPr>
          <w:color w:val="000000"/>
          <w:sz w:val="20"/>
          <w:szCs w:val="20"/>
          <w:rtl w:val="0"/>
        </w:rPr>
        <w:t xml:space="preserve">understanding, </w:t>
      </w:r>
      <w:r w:rsidDel="00000000" w:rsidR="00000000" w:rsidRPr="00000000">
        <w:rPr>
          <w:sz w:val="20"/>
          <w:szCs w:val="20"/>
          <w:rtl w:val="0"/>
        </w:rPr>
        <w:t xml:space="preserve">our findings are</w:t>
      </w:r>
      <w:r w:rsidDel="00000000" w:rsidR="00000000" w:rsidRPr="00000000">
        <w:rPr>
          <w:color w:val="000000"/>
          <w:sz w:val="20"/>
          <w:szCs w:val="20"/>
          <w:rtl w:val="0"/>
        </w:rPr>
        <w:t xml:space="preserve"> unlikely to reflect a local aberration as similar observations were noted from another large, UK tertiary centre</w:t>
      </w:r>
      <w:r w:rsidDel="00000000" w:rsidR="00000000" w:rsidRPr="00000000">
        <w:rPr>
          <w:sz w:val="20"/>
          <w:szCs w:val="20"/>
          <w:vertAlign w:val="superscript"/>
          <w:rtl w:val="0"/>
        </w:rPr>
        <w:t xml:space="preserve">2</w:t>
      </w:r>
      <w:r w:rsidDel="00000000" w:rsidR="00000000" w:rsidRPr="00000000">
        <w:rPr>
          <w:color w:val="000000"/>
          <w:sz w:val="20"/>
          <w:szCs w:val="20"/>
          <w:rtl w:val="0"/>
        </w:rPr>
        <w:t xml:space="preserve">. It is possible that the high relative frequency of </w:t>
      </w:r>
      <w:r w:rsidDel="00000000" w:rsidR="00000000" w:rsidRPr="00000000">
        <w:rPr>
          <w:sz w:val="20"/>
          <w:szCs w:val="20"/>
          <w:rtl w:val="0"/>
        </w:rPr>
        <w:t xml:space="preserve">GIS</w:t>
      </w:r>
      <w:r w:rsidDel="00000000" w:rsidR="00000000" w:rsidRPr="00000000">
        <w:rPr>
          <w:color w:val="000000"/>
          <w:sz w:val="20"/>
          <w:szCs w:val="20"/>
          <w:rtl w:val="0"/>
        </w:rPr>
        <w:t xml:space="preserve"> could be </w:t>
      </w:r>
      <w:r w:rsidDel="00000000" w:rsidR="00000000" w:rsidRPr="00000000">
        <w:rPr>
          <w:sz w:val="20"/>
          <w:szCs w:val="20"/>
          <w:rtl w:val="0"/>
        </w:rPr>
        <w:t xml:space="preserve">partially</w:t>
      </w:r>
      <w:r w:rsidDel="00000000" w:rsidR="00000000" w:rsidRPr="00000000">
        <w:rPr>
          <w:color w:val="000000"/>
          <w:sz w:val="20"/>
          <w:szCs w:val="20"/>
          <w:rtl w:val="0"/>
        </w:rPr>
        <w:t xml:space="preserve"> due to a relatively lower cut off for BS TSH (8mU/L) used in our centre</w:t>
      </w:r>
      <w:r w:rsidDel="00000000" w:rsidR="00000000" w:rsidRPr="00000000">
        <w:rPr>
          <w:sz w:val="20"/>
          <w:szCs w:val="20"/>
          <w:rtl w:val="0"/>
        </w:rPr>
        <w:t xml:space="preserve">, </w:t>
      </w:r>
      <w:r w:rsidDel="00000000" w:rsidR="00000000" w:rsidRPr="00000000">
        <w:rPr>
          <w:color w:val="000000"/>
          <w:sz w:val="20"/>
          <w:szCs w:val="20"/>
          <w:rtl w:val="0"/>
        </w:rPr>
        <w:t xml:space="preserve">resulting in a higher proportion of milder CH cases classified as </w:t>
      </w:r>
      <w:r w:rsidDel="00000000" w:rsidR="00000000" w:rsidRPr="00000000">
        <w:rPr>
          <w:sz w:val="20"/>
          <w:szCs w:val="20"/>
          <w:rtl w:val="0"/>
        </w:rPr>
        <w:t xml:space="preserve">GIS</w:t>
      </w:r>
      <w:r w:rsidDel="00000000" w:rsidR="00000000" w:rsidRPr="00000000">
        <w:rPr>
          <w:color w:val="000000"/>
          <w:sz w:val="20"/>
          <w:szCs w:val="20"/>
          <w:rtl w:val="0"/>
        </w:rPr>
        <w:t xml:space="preserve">. In a subgroup of </w:t>
      </w:r>
      <w:r w:rsidDel="00000000" w:rsidR="00000000" w:rsidRPr="00000000">
        <w:rPr>
          <w:sz w:val="20"/>
          <w:szCs w:val="20"/>
          <w:rtl w:val="0"/>
        </w:rPr>
        <w:t xml:space="preserve">GIS</w:t>
      </w:r>
      <w:r w:rsidDel="00000000" w:rsidR="00000000" w:rsidRPr="00000000">
        <w:rPr>
          <w:color w:val="000000"/>
          <w:sz w:val="20"/>
          <w:szCs w:val="20"/>
          <w:rtl w:val="0"/>
        </w:rPr>
        <w:t xml:space="preserve"> patients</w:t>
      </w:r>
      <w:r w:rsidDel="00000000" w:rsidR="00000000" w:rsidRPr="00000000">
        <w:rPr>
          <w:sz w:val="20"/>
          <w:szCs w:val="20"/>
          <w:rtl w:val="0"/>
        </w:rPr>
        <w:t xml:space="preserve">,</w:t>
      </w:r>
      <w:r w:rsidDel="00000000" w:rsidR="00000000" w:rsidRPr="00000000">
        <w:rPr>
          <w:color w:val="000000"/>
          <w:sz w:val="20"/>
          <w:szCs w:val="20"/>
          <w:rtl w:val="0"/>
        </w:rPr>
        <w:t xml:space="preserve"> half were transient</w:t>
      </w:r>
      <w:r w:rsidDel="00000000" w:rsidR="00000000" w:rsidRPr="00000000">
        <w:rPr>
          <w:sz w:val="20"/>
          <w:szCs w:val="20"/>
          <w:rtl w:val="0"/>
        </w:rPr>
        <w:t xml:space="preserve">,</w:t>
      </w:r>
      <w:r w:rsidDel="00000000" w:rsidR="00000000" w:rsidRPr="00000000">
        <w:rPr>
          <w:color w:val="000000"/>
          <w:sz w:val="20"/>
          <w:szCs w:val="20"/>
          <w:rtl w:val="0"/>
        </w:rPr>
        <w:t xml:space="preserve"> suggesting that a proportion of true </w:t>
      </w:r>
      <w:r w:rsidDel="00000000" w:rsidR="00000000" w:rsidRPr="00000000">
        <w:rPr>
          <w:sz w:val="20"/>
          <w:szCs w:val="20"/>
          <w:rtl w:val="0"/>
        </w:rPr>
        <w:t xml:space="preserve">GIS</w:t>
      </w:r>
      <w:r w:rsidDel="00000000" w:rsidR="00000000" w:rsidRPr="00000000">
        <w:rPr>
          <w:color w:val="000000"/>
          <w:sz w:val="20"/>
          <w:szCs w:val="20"/>
          <w:rtl w:val="0"/>
        </w:rPr>
        <w:t xml:space="preserve"> CH may have been over-represented. However, resolution in later childhood does not preclude the diagnosis of CH </w:t>
      </w:r>
      <w:r w:rsidDel="00000000" w:rsidR="00000000" w:rsidRPr="00000000">
        <w:rPr>
          <w:sz w:val="20"/>
          <w:szCs w:val="20"/>
          <w:rtl w:val="0"/>
        </w:rPr>
        <w:t xml:space="preserve">nor</w:t>
      </w:r>
      <w:r w:rsidDel="00000000" w:rsidR="00000000" w:rsidRPr="00000000">
        <w:rPr>
          <w:color w:val="000000"/>
          <w:sz w:val="20"/>
          <w:szCs w:val="20"/>
          <w:rtl w:val="0"/>
        </w:rPr>
        <w:t xml:space="preserve"> exclude genetic causes such as those due to mutations in dual oxidase maturation factors 1 and 2</w:t>
      </w:r>
      <w:r w:rsidDel="00000000" w:rsidR="00000000" w:rsidRPr="00000000">
        <w:rPr>
          <w:sz w:val="20"/>
          <w:szCs w:val="20"/>
          <w:vertAlign w:val="superscript"/>
          <w:rtl w:val="0"/>
        </w:rPr>
        <w:t xml:space="preserve">3</w:t>
      </w:r>
      <w:r w:rsidDel="00000000" w:rsidR="00000000" w:rsidRPr="00000000">
        <w:rPr>
          <w:color w:val="000000"/>
          <w:sz w:val="20"/>
          <w:szCs w:val="20"/>
          <w:rtl w:val="0"/>
        </w:rPr>
        <w:t xml:space="preserve">. This study did not test for the possibility of iod</w:t>
      </w:r>
      <w:r w:rsidDel="00000000" w:rsidR="00000000" w:rsidRPr="00000000">
        <w:rPr>
          <w:sz w:val="20"/>
          <w:szCs w:val="20"/>
          <w:rtl w:val="0"/>
        </w:rPr>
        <w:t xml:space="preserve">i</w:t>
      </w:r>
      <w:r w:rsidDel="00000000" w:rsidR="00000000" w:rsidRPr="00000000">
        <w:rPr>
          <w:color w:val="000000"/>
          <w:sz w:val="20"/>
          <w:szCs w:val="20"/>
          <w:rtl w:val="0"/>
        </w:rPr>
        <w:t xml:space="preserve">ne deficiency in newborns as a cause for CH with normal gland on scintigraphy.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480" w:lineRule="auto"/>
        <w:rPr>
          <w:color w:val="000000"/>
        </w:rPr>
      </w:pPr>
      <w:bookmarkStart w:colFirst="0" w:colLast="0" w:name="_2s8eyo1" w:id="10"/>
      <w:bookmarkEnd w:id="10"/>
      <w:r w:rsidDel="00000000" w:rsidR="00000000" w:rsidRPr="00000000">
        <w:rPr>
          <w:color w:val="000000"/>
          <w:sz w:val="20"/>
          <w:szCs w:val="20"/>
          <w:rtl w:val="0"/>
        </w:rPr>
        <w:t xml:space="preserve">Even after adjusting for resolution in some patients, the proportion with permanent forms of </w:t>
      </w:r>
      <w:r w:rsidDel="00000000" w:rsidR="00000000" w:rsidRPr="00000000">
        <w:rPr>
          <w:sz w:val="20"/>
          <w:szCs w:val="20"/>
          <w:rtl w:val="0"/>
        </w:rPr>
        <w:t xml:space="preserve">GIS</w:t>
      </w:r>
      <w:r w:rsidDel="00000000" w:rsidR="00000000" w:rsidRPr="00000000">
        <w:rPr>
          <w:color w:val="000000"/>
          <w:sz w:val="20"/>
          <w:szCs w:val="20"/>
          <w:rtl w:val="0"/>
        </w:rPr>
        <w:t xml:space="preserve"> remains relatively high, suggesting possible dyshormonogenesis and a genetic aetiology</w:t>
      </w:r>
      <w:r w:rsidDel="00000000" w:rsidR="00000000" w:rsidRPr="00000000">
        <w:rPr>
          <w:sz w:val="20"/>
          <w:szCs w:val="20"/>
          <w:vertAlign w:val="superscript"/>
          <w:rtl w:val="0"/>
        </w:rPr>
        <w:t xml:space="preserve">3</w:t>
      </w:r>
      <w:r w:rsidDel="00000000" w:rsidR="00000000" w:rsidRPr="00000000">
        <w:rPr>
          <w:color w:val="000000"/>
          <w:sz w:val="20"/>
          <w:szCs w:val="20"/>
          <w:rtl w:val="0"/>
        </w:rPr>
        <w:t xml:space="preserve">. Genetic testing has been shown to offer prognostic value </w:t>
      </w:r>
      <w:r w:rsidDel="00000000" w:rsidR="00000000" w:rsidRPr="00000000">
        <w:rPr>
          <w:color w:val="000000"/>
          <w:sz w:val="20"/>
          <w:szCs w:val="20"/>
          <w:rtl w:val="0"/>
        </w:rPr>
        <w:t xml:space="preserve">in </w:t>
      </w:r>
      <w:r w:rsidDel="00000000" w:rsidR="00000000" w:rsidRPr="00000000">
        <w:rPr>
          <w:color w:val="000000"/>
          <w:sz w:val="20"/>
          <w:szCs w:val="20"/>
          <w:rtl w:val="0"/>
        </w:rPr>
        <w:t xml:space="preserve">distinguishing between transient and permanent hypothyroidism as well as predicting response to treatment</w:t>
      </w:r>
      <w:r w:rsidDel="00000000" w:rsidR="00000000" w:rsidRPr="00000000">
        <w:rPr>
          <w:color w:val="000000"/>
          <w:sz w:val="20"/>
          <w:szCs w:val="20"/>
          <w:vertAlign w:val="superscript"/>
          <w:rtl w:val="0"/>
        </w:rPr>
        <w:t xml:space="preserve">5</w:t>
      </w:r>
      <w:r w:rsidDel="00000000" w:rsidR="00000000" w:rsidRPr="00000000">
        <w:rPr>
          <w:color w:val="000000"/>
          <w:sz w:val="20"/>
          <w:szCs w:val="20"/>
          <w:rtl w:val="0"/>
        </w:rPr>
        <w:t xml:space="preserve">. Our study was not designed to investigate genetic aetiology in CH; such putative associations need to be tested</w:t>
      </w:r>
      <w:r w:rsidDel="00000000" w:rsidR="00000000" w:rsidRPr="00000000">
        <w:rPr>
          <w:color w:val="000000"/>
          <w:sz w:val="20"/>
          <w:szCs w:val="20"/>
          <w:rtl w:val="0"/>
        </w:rPr>
        <w:t xml:space="preserve"> in larger cohort studies</w:t>
      </w:r>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480" w:lineRule="auto"/>
        <w:rPr>
          <w:color w:val="000000"/>
          <w:sz w:val="20"/>
          <w:szCs w:val="20"/>
        </w:rPr>
      </w:pPr>
      <w:r w:rsidDel="00000000" w:rsidR="00000000" w:rsidRPr="00000000">
        <w:rPr>
          <w:color w:val="000000"/>
          <w:sz w:val="20"/>
          <w:szCs w:val="20"/>
          <w:rtl w:val="0"/>
        </w:rPr>
        <w:t xml:space="preserve">In addition to a higher frequency of </w:t>
      </w:r>
      <w:r w:rsidDel="00000000" w:rsidR="00000000" w:rsidRPr="00000000">
        <w:rPr>
          <w:sz w:val="20"/>
          <w:szCs w:val="20"/>
          <w:rtl w:val="0"/>
        </w:rPr>
        <w:t xml:space="preserve">GIS CH</w:t>
      </w:r>
      <w:r w:rsidDel="00000000" w:rsidR="00000000" w:rsidRPr="00000000">
        <w:rPr>
          <w:color w:val="000000"/>
          <w:sz w:val="20"/>
          <w:szCs w:val="20"/>
          <w:rtl w:val="0"/>
        </w:rPr>
        <w:t xml:space="preserve">, we also observed a higher frequency of </w:t>
      </w:r>
      <w:r w:rsidDel="00000000" w:rsidR="00000000" w:rsidRPr="00000000">
        <w:rPr>
          <w:sz w:val="20"/>
          <w:szCs w:val="20"/>
          <w:rtl w:val="0"/>
        </w:rPr>
        <w:t xml:space="preserve">t</w:t>
      </w:r>
      <w:r w:rsidDel="00000000" w:rsidR="00000000" w:rsidRPr="00000000">
        <w:rPr>
          <w:color w:val="000000"/>
          <w:sz w:val="20"/>
          <w:szCs w:val="20"/>
          <w:rtl w:val="0"/>
        </w:rPr>
        <w:t xml:space="preserve">hyroid ectopia</w:t>
      </w:r>
      <w:r w:rsidDel="00000000" w:rsidR="00000000" w:rsidRPr="00000000">
        <w:rPr>
          <w:sz w:val="20"/>
          <w:szCs w:val="20"/>
          <w:vertAlign w:val="superscript"/>
          <w:rtl w:val="0"/>
        </w:rPr>
        <w:t xml:space="preserve">1</w:t>
      </w:r>
      <w:r w:rsidDel="00000000" w:rsidR="00000000" w:rsidRPr="00000000">
        <w:rPr>
          <w:color w:val="000000"/>
          <w:sz w:val="20"/>
          <w:szCs w:val="20"/>
          <w:rtl w:val="0"/>
        </w:rPr>
        <w:t xml:space="preserve">. It is likely that the lower frequency reported in previous studies reflects an absence of the use of scintigraphy leading to the mislabelling of thyroid ectopia as dysplasia/aplasia.</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480" w:lineRule="auto"/>
        <w:rPr>
          <w:sz w:val="20"/>
          <w:szCs w:val="20"/>
        </w:rPr>
      </w:pPr>
      <w:r w:rsidDel="00000000" w:rsidR="00000000" w:rsidRPr="00000000">
        <w:rPr>
          <w:rtl w:val="0"/>
        </w:rPr>
      </w:r>
    </w:p>
    <w:p w:rsidR="00000000" w:rsidDel="00000000" w:rsidP="00000000" w:rsidRDefault="00000000" w:rsidRPr="00000000" w14:paraId="00000044">
      <w:pPr>
        <w:pStyle w:val="Heading2"/>
        <w:spacing w:line="480" w:lineRule="auto"/>
        <w:rPr/>
      </w:pPr>
      <w:bookmarkStart w:colFirst="0" w:colLast="0" w:name="_17dp8vu" w:id="11"/>
      <w:bookmarkEnd w:id="11"/>
      <w:r w:rsidDel="00000000" w:rsidR="00000000" w:rsidRPr="00000000">
        <w:rPr>
          <w:rtl w:val="0"/>
        </w:rPr>
        <w:t xml:space="preserve">Ethics:</w:t>
      </w:r>
    </w:p>
    <w:p w:rsidR="00000000" w:rsidDel="00000000" w:rsidP="00000000" w:rsidRDefault="00000000" w:rsidRPr="00000000" w14:paraId="00000045">
      <w:pPr>
        <w:spacing w:line="480" w:lineRule="auto"/>
        <w:rPr>
          <w:sz w:val="20"/>
          <w:szCs w:val="20"/>
        </w:rPr>
      </w:pPr>
      <w:r w:rsidDel="00000000" w:rsidR="00000000" w:rsidRPr="00000000">
        <w:rPr>
          <w:sz w:val="20"/>
          <w:szCs w:val="20"/>
          <w:rtl w:val="0"/>
        </w:rPr>
        <w:t xml:space="preserve">As this was a retrospective audit of medical notes ethical approval was not required or sought. </w:t>
      </w: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spacing w:line="480" w:lineRule="auto"/>
        <w:rPr/>
      </w:pPr>
      <w:bookmarkStart w:colFirst="0" w:colLast="0" w:name="_3rdcrjn" w:id="12"/>
      <w:bookmarkEnd w:id="12"/>
      <w:r w:rsidDel="00000000" w:rsidR="00000000" w:rsidRPr="00000000">
        <w:rPr>
          <w:rtl w:val="0"/>
        </w:rPr>
        <w:t xml:space="preserve">References</w:t>
      </w:r>
    </w:p>
    <w:p w:rsidR="00000000" w:rsidDel="00000000" w:rsidP="00000000" w:rsidRDefault="00000000" w:rsidRPr="00000000" w14:paraId="00000047">
      <w:pPr>
        <w:spacing w:line="240" w:lineRule="auto"/>
        <w:rPr>
          <w:vertAlign w:val="superscript"/>
        </w:rPr>
      </w:pPr>
      <w:r w:rsidDel="00000000" w:rsidR="00000000" w:rsidRPr="00000000">
        <w:rPr>
          <w:rtl w:val="0"/>
        </w:rPr>
        <w:t xml:space="preserve">1. </w:t>
      </w:r>
      <w:r w:rsidDel="00000000" w:rsidR="00000000" w:rsidRPr="00000000">
        <w:rPr>
          <w:vertAlign w:val="superscript"/>
          <w:rtl w:val="0"/>
        </w:rPr>
        <w:tab/>
      </w:r>
      <w:r w:rsidDel="00000000" w:rsidR="00000000" w:rsidRPr="00000000">
        <w:rPr>
          <w:sz w:val="20"/>
          <w:szCs w:val="20"/>
          <w:rtl w:val="0"/>
        </w:rPr>
        <w:t xml:space="preserve"> LaFranchi S. Approach to the Diagnosis and Treatment of Neonatal Hypothyroidism. The Journal of Clinical Endocrinology &amp; Metabolism. 2011;96(10):2959-2967</w:t>
      </w: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2. </w:t>
      </w:r>
      <w:r w:rsidDel="00000000" w:rsidR="00000000" w:rsidRPr="00000000">
        <w:rPr>
          <w:vertAlign w:val="superscript"/>
          <w:rtl w:val="0"/>
        </w:rPr>
        <w:tab/>
      </w:r>
      <w:r w:rsidDel="00000000" w:rsidR="00000000" w:rsidRPr="00000000">
        <w:rPr>
          <w:sz w:val="20"/>
          <w:szCs w:val="20"/>
          <w:rtl w:val="0"/>
        </w:rPr>
        <w:t xml:space="preserve"> Tucker, D., Woods, G., Langham, S., Biassoni, L., Krywawych, S., Hindmarsh, P. and Peters, C. (2016). The Incidence and Clinical Features of Dual Thyroid Ectopia in Congenital Hypothyroidism. </w:t>
      </w:r>
      <w:r w:rsidDel="00000000" w:rsidR="00000000" w:rsidRPr="00000000">
        <w:rPr>
          <w:i w:val="1"/>
          <w:sz w:val="20"/>
          <w:szCs w:val="20"/>
          <w:rtl w:val="0"/>
        </w:rPr>
        <w:t xml:space="preserve">The Journal of Clinical Endocrinology &amp; Metabolism</w:t>
      </w:r>
      <w:r w:rsidDel="00000000" w:rsidR="00000000" w:rsidRPr="00000000">
        <w:rPr>
          <w:sz w:val="20"/>
          <w:szCs w:val="20"/>
          <w:rtl w:val="0"/>
        </w:rPr>
        <w:t xml:space="preserve">, 101(5), pp.2063-2068.</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3. </w:t>
      </w:r>
      <w:r w:rsidDel="00000000" w:rsidR="00000000" w:rsidRPr="00000000">
        <w:rPr>
          <w:vertAlign w:val="superscript"/>
          <w:rtl w:val="0"/>
        </w:rPr>
        <w:tab/>
      </w:r>
      <w:r w:rsidDel="00000000" w:rsidR="00000000" w:rsidRPr="00000000">
        <w:rPr>
          <w:sz w:val="20"/>
          <w:szCs w:val="20"/>
          <w:rtl w:val="0"/>
        </w:rPr>
        <w:t xml:space="preserve"> Nicholas A, Serra E, Cangul H, Alyaarubi S, Ullah I, Schoenmakers E et al. Comprehensive Screening of Eight Known Causative Genes in Congenital Hypothyroidism With Gland-in-Situ. The Journal of Clinical Endocrinology &amp; Metabolism. 2016;101(12):4521-4531. </w:t>
      </w: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4. </w:t>
      </w:r>
      <w:r w:rsidDel="00000000" w:rsidR="00000000" w:rsidRPr="00000000">
        <w:rPr>
          <w:vertAlign w:val="superscript"/>
          <w:rtl w:val="0"/>
        </w:rPr>
        <w:tab/>
      </w:r>
      <w:r w:rsidDel="00000000" w:rsidR="00000000" w:rsidRPr="00000000">
        <w:rPr>
          <w:sz w:val="20"/>
          <w:szCs w:val="20"/>
          <w:rtl w:val="0"/>
        </w:rPr>
        <w:t xml:space="preserve"> Karakoc-Aydiner E, Turan S, Akpinar I, Dede F, Isguven P, Adal E et al. Pitfalls in the diagnosis of thyroid dysgenesis by thyroid ultrasonography and scintigraphy. European Journal of Endocrinology. 2012;166(1):43-48.</w:t>
      </w: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5. </w:t>
      </w:r>
      <w:r w:rsidDel="00000000" w:rsidR="00000000" w:rsidRPr="00000000">
        <w:rPr>
          <w:vertAlign w:val="superscript"/>
          <w:rtl w:val="0"/>
        </w:rPr>
        <w:tab/>
      </w:r>
      <w:r w:rsidDel="00000000" w:rsidR="00000000" w:rsidRPr="00000000">
        <w:rPr>
          <w:sz w:val="20"/>
          <w:szCs w:val="20"/>
          <w:rtl w:val="0"/>
        </w:rPr>
        <w:t xml:space="preserve"> Grasberger H, Refetoff S. Genetic causes of congenital hypothyroidism due to dyshormonogenesis. Current Opinion in Pediatrics. 2011;23(4):421-428.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rtl w:val="0"/>
        </w:rPr>
      </w:r>
    </w:p>
    <w:sectPr>
      <w:pgSz w:h="15840" w:w="12240"/>
      <w:pgMar w:bottom="990" w:top="63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