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91A8B" w14:textId="4DE1912E" w:rsidR="001643A8" w:rsidRPr="005244BD" w:rsidRDefault="009C452C" w:rsidP="00846501">
      <w:pPr>
        <w:spacing w:before="240" w:after="0" w:line="240" w:lineRule="auto"/>
        <w:jc w:val="center"/>
        <w:rPr>
          <w:rFonts w:asciiTheme="majorBidi" w:hAnsiTheme="majorBidi" w:cstheme="majorBidi"/>
          <w:b/>
          <w:bCs/>
          <w:sz w:val="32"/>
          <w:szCs w:val="28"/>
        </w:rPr>
      </w:pPr>
      <w:bookmarkStart w:id="0" w:name="OLE_LINK2"/>
      <w:bookmarkStart w:id="1" w:name="OLE_LINK3"/>
      <w:bookmarkStart w:id="2" w:name="_GoBack"/>
      <w:r w:rsidRPr="005244BD">
        <w:rPr>
          <w:rFonts w:asciiTheme="majorBidi" w:hAnsiTheme="majorBidi" w:cstheme="majorBidi"/>
          <w:b/>
          <w:bCs/>
          <w:sz w:val="32"/>
          <w:szCs w:val="28"/>
        </w:rPr>
        <w:t xml:space="preserve">Interplay of </w:t>
      </w:r>
      <w:r w:rsidR="001643A8" w:rsidRPr="005244BD">
        <w:rPr>
          <w:rFonts w:asciiTheme="majorBidi" w:hAnsiTheme="majorBidi" w:cstheme="majorBidi"/>
          <w:b/>
          <w:bCs/>
          <w:sz w:val="32"/>
          <w:szCs w:val="28"/>
        </w:rPr>
        <w:t>biofilm</w:t>
      </w:r>
      <w:r w:rsidRPr="005244BD">
        <w:rPr>
          <w:rFonts w:asciiTheme="majorBidi" w:hAnsiTheme="majorBidi" w:cstheme="majorBidi"/>
          <w:b/>
          <w:bCs/>
          <w:sz w:val="32"/>
          <w:szCs w:val="28"/>
        </w:rPr>
        <w:t xml:space="preserve"> growth</w:t>
      </w:r>
      <w:r w:rsidR="00846501" w:rsidRPr="005244BD">
        <w:rPr>
          <w:rFonts w:asciiTheme="majorBidi" w:hAnsiTheme="majorBidi" w:cstheme="majorBidi"/>
          <w:b/>
          <w:bCs/>
          <w:sz w:val="32"/>
          <w:szCs w:val="28"/>
        </w:rPr>
        <w:t>,</w:t>
      </w:r>
      <w:r w:rsidR="001643A8" w:rsidRPr="005244BD">
        <w:rPr>
          <w:rFonts w:asciiTheme="majorBidi" w:hAnsiTheme="majorBidi" w:cstheme="majorBidi"/>
          <w:b/>
          <w:bCs/>
          <w:sz w:val="32"/>
          <w:szCs w:val="28"/>
        </w:rPr>
        <w:t xml:space="preserve"> NAPL </w:t>
      </w:r>
      <w:r w:rsidR="00776F7C" w:rsidRPr="005244BD">
        <w:rPr>
          <w:rFonts w:asciiTheme="majorBidi" w:hAnsiTheme="majorBidi" w:cstheme="majorBidi"/>
          <w:b/>
          <w:bCs/>
          <w:sz w:val="32"/>
          <w:szCs w:val="28"/>
        </w:rPr>
        <w:t>biodegradation</w:t>
      </w:r>
      <w:r w:rsidR="00846501" w:rsidRPr="005244BD">
        <w:rPr>
          <w:rFonts w:asciiTheme="majorBidi" w:hAnsiTheme="majorBidi" w:cstheme="majorBidi"/>
          <w:b/>
          <w:bCs/>
          <w:sz w:val="32"/>
          <w:szCs w:val="28"/>
        </w:rPr>
        <w:t xml:space="preserve"> and micro-scale heterogeneity</w:t>
      </w:r>
      <w:r w:rsidR="000D3E0A" w:rsidRPr="005244BD">
        <w:rPr>
          <w:rFonts w:asciiTheme="majorBidi" w:hAnsiTheme="majorBidi" w:cstheme="majorBidi"/>
          <w:b/>
          <w:bCs/>
          <w:sz w:val="32"/>
          <w:szCs w:val="28"/>
        </w:rPr>
        <w:t xml:space="preserve"> in natural attenuation of aquifers</w:t>
      </w:r>
      <w:r w:rsidR="00A27FE4" w:rsidRPr="005244BD">
        <w:rPr>
          <w:rFonts w:asciiTheme="majorBidi" w:hAnsiTheme="majorBidi" w:cstheme="majorBidi"/>
          <w:b/>
          <w:bCs/>
          <w:sz w:val="32"/>
          <w:szCs w:val="28"/>
        </w:rPr>
        <w:t xml:space="preserve"> delineated by pore</w:t>
      </w:r>
      <w:r w:rsidR="0023741B" w:rsidRPr="005244BD">
        <w:rPr>
          <w:rFonts w:asciiTheme="majorBidi" w:hAnsiTheme="majorBidi" w:cstheme="majorBidi"/>
          <w:b/>
          <w:bCs/>
          <w:sz w:val="32"/>
          <w:szCs w:val="28"/>
        </w:rPr>
        <w:t>-</w:t>
      </w:r>
      <w:r w:rsidR="00A27FE4" w:rsidRPr="005244BD">
        <w:rPr>
          <w:rFonts w:asciiTheme="majorBidi" w:hAnsiTheme="majorBidi" w:cstheme="majorBidi"/>
          <w:b/>
          <w:bCs/>
          <w:sz w:val="32"/>
          <w:szCs w:val="28"/>
        </w:rPr>
        <w:t>network modelling</w:t>
      </w:r>
    </w:p>
    <w:bookmarkEnd w:id="0"/>
    <w:bookmarkEnd w:id="1"/>
    <w:bookmarkEnd w:id="2"/>
    <w:p w14:paraId="21E4FE22" w14:textId="1D2035CE" w:rsidR="000D293A" w:rsidRPr="00B91E94" w:rsidRDefault="000D293A" w:rsidP="00EB222B">
      <w:pPr>
        <w:spacing w:before="240" w:after="0" w:line="480" w:lineRule="auto"/>
        <w:jc w:val="center"/>
        <w:rPr>
          <w:rFonts w:asciiTheme="majorBidi" w:hAnsiTheme="majorBidi" w:cstheme="majorBidi"/>
          <w:b/>
          <w:bCs/>
          <w:sz w:val="24"/>
          <w:szCs w:val="24"/>
          <w:vertAlign w:val="superscript"/>
          <w:lang w:val="es-MX"/>
        </w:rPr>
      </w:pPr>
      <w:r w:rsidRPr="00B91E94">
        <w:rPr>
          <w:rFonts w:asciiTheme="majorBidi" w:hAnsiTheme="majorBidi" w:cstheme="majorBidi"/>
          <w:b/>
          <w:bCs/>
          <w:sz w:val="24"/>
          <w:szCs w:val="24"/>
          <w:lang w:val="es-MX"/>
        </w:rPr>
        <w:t>Morteza Aminnaji</w:t>
      </w:r>
      <w:r w:rsidR="009E0B36" w:rsidRPr="00B91E94">
        <w:rPr>
          <w:rFonts w:asciiTheme="majorBidi" w:hAnsiTheme="majorBidi" w:cstheme="majorBidi"/>
          <w:b/>
          <w:bCs/>
          <w:sz w:val="24"/>
          <w:szCs w:val="24"/>
          <w:vertAlign w:val="superscript"/>
          <w:lang w:val="es-MX"/>
        </w:rPr>
        <w:t>1</w:t>
      </w:r>
      <w:r w:rsidR="00AE012E" w:rsidRPr="00B91E94">
        <w:rPr>
          <w:rFonts w:asciiTheme="majorBidi" w:hAnsiTheme="majorBidi" w:cstheme="majorBidi"/>
          <w:b/>
          <w:bCs/>
          <w:sz w:val="24"/>
          <w:szCs w:val="24"/>
          <w:lang w:val="es-MX"/>
        </w:rPr>
        <w:t>,</w:t>
      </w:r>
      <w:r w:rsidR="001355CD" w:rsidRPr="00B91E94">
        <w:rPr>
          <w:rFonts w:asciiTheme="majorBidi" w:hAnsiTheme="majorBidi" w:cstheme="majorBidi"/>
          <w:b/>
          <w:bCs/>
          <w:sz w:val="24"/>
          <w:szCs w:val="24"/>
          <w:lang w:val="es-MX"/>
        </w:rPr>
        <w:t xml:space="preserve"> Fabrice Golfier</w:t>
      </w:r>
      <w:r w:rsidR="001355CD" w:rsidRPr="00B91E94">
        <w:rPr>
          <w:rFonts w:asciiTheme="majorBidi" w:hAnsiTheme="majorBidi" w:cstheme="majorBidi"/>
          <w:b/>
          <w:bCs/>
          <w:sz w:val="24"/>
          <w:szCs w:val="24"/>
          <w:vertAlign w:val="superscript"/>
          <w:lang w:val="es-MX"/>
        </w:rPr>
        <w:t>2</w:t>
      </w:r>
      <w:r w:rsidR="00226ACC" w:rsidRPr="00B91E94">
        <w:rPr>
          <w:rFonts w:asciiTheme="majorBidi" w:hAnsiTheme="majorBidi" w:cstheme="majorBidi"/>
          <w:b/>
          <w:bCs/>
          <w:sz w:val="24"/>
          <w:szCs w:val="24"/>
          <w:lang w:val="es-MX"/>
        </w:rPr>
        <w:t>, Vahid J. Niasar</w:t>
      </w:r>
      <w:r w:rsidR="00226ACC" w:rsidRPr="00B91E94">
        <w:rPr>
          <w:rFonts w:asciiTheme="majorBidi" w:hAnsiTheme="majorBidi" w:cstheme="majorBidi"/>
          <w:b/>
          <w:bCs/>
          <w:sz w:val="24"/>
          <w:szCs w:val="24"/>
          <w:vertAlign w:val="superscript"/>
          <w:lang w:val="es-MX"/>
        </w:rPr>
        <w:t>1</w:t>
      </w:r>
      <w:r w:rsidR="00EB222B" w:rsidRPr="00B91E94">
        <w:rPr>
          <w:rFonts w:asciiTheme="majorBidi" w:hAnsiTheme="majorBidi" w:cstheme="majorBidi"/>
          <w:b/>
          <w:bCs/>
          <w:sz w:val="24"/>
          <w:szCs w:val="24"/>
          <w:lang w:val="es-MX"/>
        </w:rPr>
        <w:t>, Masoud Babaei</w:t>
      </w:r>
      <w:r w:rsidR="00EB222B" w:rsidRPr="005244BD">
        <w:rPr>
          <w:rStyle w:val="FootnoteReference"/>
        </w:rPr>
        <w:footnoteReference w:id="2"/>
      </w:r>
      <w:r w:rsidR="00EB222B" w:rsidRPr="00B91E94">
        <w:rPr>
          <w:rFonts w:asciiTheme="majorBidi" w:hAnsiTheme="majorBidi" w:cstheme="majorBidi"/>
          <w:b/>
          <w:bCs/>
          <w:sz w:val="24"/>
          <w:szCs w:val="24"/>
          <w:vertAlign w:val="superscript"/>
          <w:lang w:val="es-MX"/>
        </w:rPr>
        <w:t>1</w:t>
      </w:r>
    </w:p>
    <w:p w14:paraId="68F61C8A" w14:textId="4E5BCCB7" w:rsidR="000D293A" w:rsidRPr="005244BD" w:rsidRDefault="000D293A" w:rsidP="00045403">
      <w:pPr>
        <w:spacing w:line="240" w:lineRule="auto"/>
        <w:jc w:val="both"/>
        <w:rPr>
          <w:rFonts w:ascii="Times New Roman" w:eastAsiaTheme="minorEastAsia" w:hAnsi="Times New Roman" w:cs="Times New Roman"/>
          <w:noProof/>
          <w:shd w:val="clear" w:color="auto" w:fill="FFFFFF"/>
          <w:lang w:eastAsia="en-GB"/>
        </w:rPr>
      </w:pPr>
      <w:r w:rsidRPr="005244BD">
        <w:rPr>
          <w:rFonts w:ascii="Times New Roman" w:eastAsiaTheme="minorEastAsia" w:hAnsi="Times New Roman" w:cs="Times New Roman"/>
          <w:noProof/>
          <w:shd w:val="clear" w:color="auto" w:fill="FFFFFF"/>
          <w:vertAlign w:val="superscript"/>
          <w:lang w:eastAsia="en-GB"/>
        </w:rPr>
        <w:t>1</w:t>
      </w:r>
      <w:r w:rsidR="001643A8" w:rsidRPr="005244BD">
        <w:rPr>
          <w:rFonts w:ascii="Times New Roman" w:eastAsiaTheme="minorEastAsia" w:hAnsi="Times New Roman" w:cs="Times New Roman"/>
          <w:noProof/>
          <w:shd w:val="clear" w:color="auto" w:fill="FFFFFF"/>
          <w:lang w:eastAsia="en-GB"/>
        </w:rPr>
        <w:t>Department</w:t>
      </w:r>
      <w:r w:rsidRPr="005244BD">
        <w:rPr>
          <w:rFonts w:ascii="Times New Roman" w:eastAsiaTheme="minorEastAsia" w:hAnsi="Times New Roman" w:cs="Times New Roman"/>
          <w:noProof/>
          <w:shd w:val="clear" w:color="auto" w:fill="FFFFFF"/>
          <w:lang w:eastAsia="en-GB"/>
        </w:rPr>
        <w:t xml:space="preserve"> of Chemical Engineering and Analytical Science, the University of Manchester, Manchester M13 9PL, UK</w:t>
      </w:r>
    </w:p>
    <w:p w14:paraId="59857241" w14:textId="0BEF539E" w:rsidR="001643A8" w:rsidRPr="005244BD" w:rsidRDefault="001643A8" w:rsidP="00045403">
      <w:pPr>
        <w:spacing w:line="240" w:lineRule="auto"/>
        <w:rPr>
          <w:rFonts w:ascii="Times New Roman" w:eastAsiaTheme="minorEastAsia" w:hAnsi="Times New Roman" w:cs="Times New Roman"/>
          <w:noProof/>
          <w:shd w:val="clear" w:color="auto" w:fill="FFFFFF"/>
          <w:lang w:eastAsia="en-GB"/>
        </w:rPr>
      </w:pPr>
      <w:r w:rsidRPr="005244BD">
        <w:rPr>
          <w:rFonts w:ascii="Times New Roman" w:eastAsiaTheme="minorEastAsia" w:hAnsi="Times New Roman" w:cs="Times New Roman"/>
          <w:noProof/>
          <w:shd w:val="clear" w:color="auto" w:fill="FFFFFF"/>
          <w:vertAlign w:val="superscript"/>
          <w:lang w:eastAsia="en-GB"/>
        </w:rPr>
        <w:t>2</w:t>
      </w:r>
      <w:r w:rsidRPr="005244BD">
        <w:rPr>
          <w:rFonts w:ascii="Times New Roman" w:eastAsiaTheme="minorEastAsia" w:hAnsi="Times New Roman" w:cs="Times New Roman"/>
          <w:noProof/>
          <w:shd w:val="clear" w:color="auto" w:fill="FFFFFF"/>
          <w:lang w:eastAsia="en-GB"/>
        </w:rPr>
        <w:t>Université de Lorraine, CNRS, CREGU, GeoRessources Laboratory, 54518 Vandoeuvre-lès-Nancy Cedex, France</w:t>
      </w:r>
    </w:p>
    <w:p w14:paraId="60D2FC48" w14:textId="502EC6D9" w:rsidR="00B95A0B" w:rsidRPr="005244BD" w:rsidRDefault="00B95A0B" w:rsidP="00045403">
      <w:pPr>
        <w:spacing w:after="0" w:line="360" w:lineRule="auto"/>
        <w:jc w:val="both"/>
        <w:rPr>
          <w:rFonts w:asciiTheme="majorBidi" w:hAnsiTheme="majorBidi" w:cstheme="majorBidi"/>
          <w:b/>
          <w:bCs/>
        </w:rPr>
      </w:pPr>
      <w:r w:rsidRPr="005244BD">
        <w:rPr>
          <w:rFonts w:asciiTheme="majorBidi" w:hAnsiTheme="majorBidi" w:cstheme="majorBidi"/>
          <w:b/>
          <w:bCs/>
        </w:rPr>
        <w:t>Key Points</w:t>
      </w:r>
    </w:p>
    <w:p w14:paraId="1DF79BB4" w14:textId="40815712" w:rsidR="00D93E93" w:rsidRPr="005244BD" w:rsidRDefault="00D93E93" w:rsidP="0004244D">
      <w:pPr>
        <w:pStyle w:val="ListParagraph"/>
        <w:numPr>
          <w:ilvl w:val="0"/>
          <w:numId w:val="7"/>
        </w:numPr>
        <w:spacing w:after="0" w:line="360" w:lineRule="auto"/>
        <w:jc w:val="both"/>
        <w:rPr>
          <w:rFonts w:asciiTheme="majorBidi" w:hAnsiTheme="majorBidi" w:cstheme="majorBidi"/>
        </w:rPr>
      </w:pPr>
      <w:r w:rsidRPr="005244BD">
        <w:rPr>
          <w:rFonts w:asciiTheme="majorBidi" w:hAnsiTheme="majorBidi" w:cstheme="majorBidi"/>
        </w:rPr>
        <w:t>Bioremediation of NAPL pollutant was studied at pore scale using pore network modelling</w:t>
      </w:r>
      <w:r w:rsidR="00BC578F">
        <w:rPr>
          <w:rFonts w:asciiTheme="majorBidi" w:hAnsiTheme="majorBidi" w:cstheme="majorBidi"/>
        </w:rPr>
        <w:t>.</w:t>
      </w:r>
    </w:p>
    <w:p w14:paraId="380CC188" w14:textId="2B5537E2" w:rsidR="001643A8" w:rsidRPr="005244BD" w:rsidRDefault="0004244D" w:rsidP="004B1769">
      <w:pPr>
        <w:pStyle w:val="ListParagraph"/>
        <w:numPr>
          <w:ilvl w:val="0"/>
          <w:numId w:val="7"/>
        </w:numPr>
        <w:spacing w:after="0" w:line="360" w:lineRule="auto"/>
        <w:jc w:val="both"/>
        <w:rPr>
          <w:rFonts w:asciiTheme="majorBidi" w:hAnsiTheme="majorBidi" w:cstheme="majorBidi"/>
        </w:rPr>
      </w:pPr>
      <w:r w:rsidRPr="005244BD">
        <w:rPr>
          <w:rFonts w:asciiTheme="majorBidi" w:hAnsiTheme="majorBidi" w:cstheme="majorBidi"/>
        </w:rPr>
        <w:t xml:space="preserve">NAPL dissolution and biodegradation in the </w:t>
      </w:r>
      <w:r w:rsidRPr="005244BD">
        <w:rPr>
          <w:rFonts w:asciiTheme="majorBidi" w:eastAsiaTheme="minorEastAsia" w:hAnsiTheme="majorBidi" w:cstheme="majorBidi"/>
          <w:iCs/>
          <w:szCs w:val="18"/>
        </w:rPr>
        <w:t>natural attenuation process</w:t>
      </w:r>
      <w:r w:rsidRPr="005244BD">
        <w:rPr>
          <w:rFonts w:asciiTheme="majorBidi" w:hAnsiTheme="majorBidi" w:cstheme="majorBidi"/>
        </w:rPr>
        <w:t xml:space="preserve"> </w:t>
      </w:r>
      <w:r w:rsidR="004B1769" w:rsidRPr="005244BD">
        <w:rPr>
          <w:rFonts w:asciiTheme="majorBidi" w:hAnsiTheme="majorBidi" w:cstheme="majorBidi"/>
        </w:rPr>
        <w:t xml:space="preserve">were </w:t>
      </w:r>
      <w:r w:rsidRPr="005244BD">
        <w:rPr>
          <w:rFonts w:asciiTheme="majorBidi" w:hAnsiTheme="majorBidi" w:cstheme="majorBidi"/>
        </w:rPr>
        <w:t>studied in presence of p</w:t>
      </w:r>
      <w:r w:rsidR="00776F7C" w:rsidRPr="005244BD">
        <w:rPr>
          <w:rFonts w:asciiTheme="majorBidi" w:hAnsiTheme="majorBidi" w:cstheme="majorBidi"/>
        </w:rPr>
        <w:t>ore</w:t>
      </w:r>
      <w:r w:rsidR="009474D8" w:rsidRPr="005244BD">
        <w:rPr>
          <w:rFonts w:asciiTheme="majorBidi" w:hAnsiTheme="majorBidi" w:cstheme="majorBidi"/>
        </w:rPr>
        <w:t>-</w:t>
      </w:r>
      <w:r w:rsidR="00776F7C" w:rsidRPr="005244BD">
        <w:rPr>
          <w:rFonts w:asciiTheme="majorBidi" w:hAnsiTheme="majorBidi" w:cstheme="majorBidi"/>
        </w:rPr>
        <w:t>scale spatial correlation between pore radii</w:t>
      </w:r>
      <w:r w:rsidR="009474D8" w:rsidRPr="005244BD">
        <w:rPr>
          <w:rFonts w:asciiTheme="majorBidi" w:hAnsiTheme="majorBidi" w:cstheme="majorBidi"/>
        </w:rPr>
        <w:t>.</w:t>
      </w:r>
    </w:p>
    <w:p w14:paraId="17B45084" w14:textId="3EE86069" w:rsidR="001643A8" w:rsidRPr="005244BD" w:rsidRDefault="0023741B" w:rsidP="00045403">
      <w:pPr>
        <w:pStyle w:val="ListParagraph"/>
        <w:numPr>
          <w:ilvl w:val="0"/>
          <w:numId w:val="7"/>
        </w:numPr>
        <w:spacing w:before="240" w:after="0" w:line="360" w:lineRule="auto"/>
        <w:jc w:val="both"/>
        <w:rPr>
          <w:rFonts w:asciiTheme="majorBidi" w:hAnsiTheme="majorBidi" w:cstheme="majorBidi"/>
        </w:rPr>
      </w:pPr>
      <w:r w:rsidRPr="005244BD">
        <w:rPr>
          <w:rFonts w:asciiTheme="majorBidi" w:hAnsiTheme="majorBidi" w:cstheme="majorBidi"/>
        </w:rPr>
        <w:t>S</w:t>
      </w:r>
      <w:r w:rsidR="00FF0D5A" w:rsidRPr="005244BD">
        <w:rPr>
          <w:rFonts w:asciiTheme="majorBidi" w:hAnsiTheme="majorBidi" w:cstheme="majorBidi"/>
        </w:rPr>
        <w:t>patial</w:t>
      </w:r>
      <w:r w:rsidRPr="005244BD">
        <w:rPr>
          <w:rFonts w:asciiTheme="majorBidi" w:hAnsiTheme="majorBidi" w:cstheme="majorBidi"/>
        </w:rPr>
        <w:t>ly pore-size correlated network</w:t>
      </w:r>
      <w:r w:rsidR="00726BA9" w:rsidRPr="005244BD">
        <w:rPr>
          <w:rFonts w:asciiTheme="majorBidi" w:hAnsiTheme="majorBidi" w:cstheme="majorBidi"/>
        </w:rPr>
        <w:t>s</w:t>
      </w:r>
      <w:r w:rsidRPr="005244BD">
        <w:rPr>
          <w:rFonts w:asciiTheme="majorBidi" w:hAnsiTheme="majorBidi" w:cstheme="majorBidi"/>
        </w:rPr>
        <w:t xml:space="preserve"> showed</w:t>
      </w:r>
      <w:r w:rsidR="00FF0D5A" w:rsidRPr="005244BD">
        <w:rPr>
          <w:rFonts w:asciiTheme="majorBidi" w:hAnsiTheme="majorBidi" w:cstheme="majorBidi"/>
        </w:rPr>
        <w:t xml:space="preserve"> lower NAPL dissolution and biodegradation</w:t>
      </w:r>
      <w:r w:rsidR="009474D8" w:rsidRPr="005244BD">
        <w:rPr>
          <w:rFonts w:asciiTheme="majorBidi" w:hAnsiTheme="majorBidi" w:cstheme="majorBidi"/>
        </w:rPr>
        <w:t>.</w:t>
      </w:r>
    </w:p>
    <w:p w14:paraId="51AB4227" w14:textId="62EE7D03" w:rsidR="009474D8" w:rsidRPr="005244BD" w:rsidRDefault="009474D8" w:rsidP="00045403">
      <w:pPr>
        <w:pStyle w:val="ListParagraph"/>
        <w:numPr>
          <w:ilvl w:val="0"/>
          <w:numId w:val="7"/>
        </w:numPr>
        <w:spacing w:before="240" w:after="0" w:line="360" w:lineRule="auto"/>
        <w:jc w:val="both"/>
        <w:rPr>
          <w:rFonts w:asciiTheme="majorBidi" w:hAnsiTheme="majorBidi" w:cstheme="majorBidi"/>
        </w:rPr>
      </w:pPr>
      <w:r w:rsidRPr="005244BD">
        <w:rPr>
          <w:rFonts w:asciiTheme="majorBidi" w:hAnsiTheme="majorBidi" w:cstheme="majorBidi"/>
        </w:rPr>
        <w:t>Uncorrelated pore networks with well-distributed NAPL through the entire pore network led to higher bio</w:t>
      </w:r>
      <w:r w:rsidR="00E63730" w:rsidRPr="005244BD">
        <w:rPr>
          <w:rFonts w:asciiTheme="majorBidi" w:hAnsiTheme="majorBidi" w:cstheme="majorBidi"/>
        </w:rPr>
        <w:t>-</w:t>
      </w:r>
      <w:r w:rsidRPr="005244BD">
        <w:rPr>
          <w:rFonts w:asciiTheme="majorBidi" w:hAnsiTheme="majorBidi" w:cstheme="majorBidi"/>
        </w:rPr>
        <w:t>growth resulting in more reduction in permeability and porosity.</w:t>
      </w:r>
    </w:p>
    <w:p w14:paraId="44B1D132" w14:textId="19253F6F" w:rsidR="00370F09" w:rsidRPr="005244BD" w:rsidRDefault="00370F09" w:rsidP="00045403">
      <w:pPr>
        <w:spacing w:before="240" w:after="0" w:line="360" w:lineRule="auto"/>
        <w:jc w:val="both"/>
        <w:rPr>
          <w:rFonts w:asciiTheme="majorBidi" w:hAnsiTheme="majorBidi" w:cstheme="majorBidi"/>
          <w:b/>
          <w:bCs/>
        </w:rPr>
      </w:pPr>
      <w:r w:rsidRPr="005244BD">
        <w:rPr>
          <w:rFonts w:asciiTheme="majorBidi" w:hAnsiTheme="majorBidi" w:cstheme="majorBidi"/>
          <w:b/>
          <w:bCs/>
        </w:rPr>
        <w:t>Abstract</w:t>
      </w:r>
    </w:p>
    <w:p w14:paraId="61437F6E" w14:textId="328BC680" w:rsidR="00F81936" w:rsidRPr="005244BD" w:rsidRDefault="00C9421C" w:rsidP="004D15F9">
      <w:pPr>
        <w:spacing w:line="360" w:lineRule="auto"/>
        <w:jc w:val="both"/>
        <w:rPr>
          <w:rFonts w:asciiTheme="majorBidi" w:hAnsiTheme="majorBidi" w:cstheme="majorBidi"/>
        </w:rPr>
      </w:pPr>
      <w:r w:rsidRPr="005244BD">
        <w:rPr>
          <w:rFonts w:asciiTheme="majorBidi" w:hAnsiTheme="majorBidi" w:cstheme="majorBidi"/>
        </w:rPr>
        <w:t>The biofilm plays an important role in NAPL bioremediation</w:t>
      </w:r>
      <w:r w:rsidR="00EC68DA" w:rsidRPr="005244BD">
        <w:rPr>
          <w:rFonts w:asciiTheme="majorBidi" w:hAnsiTheme="majorBidi" w:cstheme="majorBidi"/>
        </w:rPr>
        <w:t>, natural attenuation</w:t>
      </w:r>
      <w:r w:rsidRPr="005244BD">
        <w:rPr>
          <w:rFonts w:asciiTheme="majorBidi" w:hAnsiTheme="majorBidi" w:cstheme="majorBidi"/>
        </w:rPr>
        <w:t xml:space="preserve"> and </w:t>
      </w:r>
      <w:r w:rsidR="00EC68DA" w:rsidRPr="005244BD">
        <w:rPr>
          <w:rFonts w:asciiTheme="majorBidi" w:hAnsiTheme="majorBidi" w:cstheme="majorBidi"/>
        </w:rPr>
        <w:t xml:space="preserve">the </w:t>
      </w:r>
      <w:r w:rsidRPr="005244BD">
        <w:rPr>
          <w:rFonts w:asciiTheme="majorBidi" w:hAnsiTheme="majorBidi" w:cstheme="majorBidi"/>
        </w:rPr>
        <w:t>flow behaviour</w:t>
      </w:r>
      <w:r w:rsidR="00EC68DA" w:rsidRPr="005244BD">
        <w:rPr>
          <w:rFonts w:asciiTheme="majorBidi" w:hAnsiTheme="majorBidi" w:cstheme="majorBidi"/>
        </w:rPr>
        <w:t xml:space="preserve"> of contaminant in porous media</w:t>
      </w:r>
      <w:r w:rsidRPr="005244BD">
        <w:rPr>
          <w:rFonts w:asciiTheme="majorBidi" w:hAnsiTheme="majorBidi" w:cstheme="majorBidi"/>
        </w:rPr>
        <w:t>.</w:t>
      </w:r>
      <w:r w:rsidR="00620B4D" w:rsidRPr="005244BD">
        <w:rPr>
          <w:rFonts w:asciiTheme="majorBidi" w:hAnsiTheme="majorBidi" w:cstheme="majorBidi"/>
        </w:rPr>
        <w:t xml:space="preserve"> </w:t>
      </w:r>
      <w:r w:rsidR="00AA5802" w:rsidRPr="005244BD">
        <w:rPr>
          <w:rFonts w:asciiTheme="majorBidi" w:hAnsiTheme="majorBidi" w:cstheme="majorBidi"/>
        </w:rPr>
        <w:t>Therefore, NAPL biodegradation in the presence of any bacteria in the porous media needs to be considered for more accurate prediction of contamina</w:t>
      </w:r>
      <w:r w:rsidR="006B1EE8">
        <w:rPr>
          <w:rFonts w:asciiTheme="majorBidi" w:hAnsiTheme="majorBidi" w:cstheme="majorBidi"/>
        </w:rPr>
        <w:t>nt</w:t>
      </w:r>
      <w:r w:rsidR="00AA5802" w:rsidRPr="005244BD">
        <w:rPr>
          <w:rFonts w:asciiTheme="majorBidi" w:hAnsiTheme="majorBidi" w:cstheme="majorBidi"/>
        </w:rPr>
        <w:t xml:space="preserve"> remediation from the soil and groundwater. T</w:t>
      </w:r>
      <w:r w:rsidR="00A00A2F" w:rsidRPr="005244BD">
        <w:rPr>
          <w:rFonts w:asciiTheme="majorBidi" w:hAnsiTheme="majorBidi" w:cstheme="majorBidi"/>
        </w:rPr>
        <w:t xml:space="preserve">he complex interaction between </w:t>
      </w:r>
      <w:r w:rsidR="00EC68DA" w:rsidRPr="005244BD">
        <w:rPr>
          <w:rFonts w:asciiTheme="majorBidi" w:hAnsiTheme="majorBidi" w:cstheme="majorBidi"/>
        </w:rPr>
        <w:t xml:space="preserve">the </w:t>
      </w:r>
      <w:r w:rsidR="00654E6C" w:rsidRPr="005244BD">
        <w:rPr>
          <w:rFonts w:asciiTheme="majorBidi" w:hAnsiTheme="majorBidi" w:cstheme="majorBidi"/>
        </w:rPr>
        <w:t>NAPL biodegradation/dissolution and physiochemical bacteria (biofilm)</w:t>
      </w:r>
      <w:r w:rsidR="00EC68DA" w:rsidRPr="005244BD">
        <w:rPr>
          <w:rFonts w:asciiTheme="majorBidi" w:hAnsiTheme="majorBidi" w:cstheme="majorBidi"/>
        </w:rPr>
        <w:t xml:space="preserve"> growth ─</w:t>
      </w:r>
      <w:r w:rsidR="00654E6C" w:rsidRPr="005244BD">
        <w:rPr>
          <w:rFonts w:asciiTheme="majorBidi" w:hAnsiTheme="majorBidi" w:cstheme="majorBidi"/>
        </w:rPr>
        <w:t xml:space="preserve"> which depends on both time and space</w:t>
      </w:r>
      <w:r w:rsidR="00EC68DA" w:rsidRPr="005244BD">
        <w:rPr>
          <w:rFonts w:asciiTheme="majorBidi" w:hAnsiTheme="majorBidi" w:cstheme="majorBidi"/>
        </w:rPr>
        <w:t xml:space="preserve"> ─</w:t>
      </w:r>
      <w:r w:rsidR="00654E6C" w:rsidRPr="005244BD">
        <w:rPr>
          <w:rFonts w:asciiTheme="majorBidi" w:hAnsiTheme="majorBidi" w:cstheme="majorBidi"/>
        </w:rPr>
        <w:t xml:space="preserve"> results in difficulties in simulation of NAPL bioremediation in the porous media. </w:t>
      </w:r>
      <w:r w:rsidR="001643A8" w:rsidRPr="005244BD">
        <w:rPr>
          <w:rFonts w:asciiTheme="majorBidi" w:hAnsiTheme="majorBidi" w:cstheme="majorBidi"/>
        </w:rPr>
        <w:t>In this work, the natural attenuation process is simulated using three-dimensional pore</w:t>
      </w:r>
      <w:r w:rsidR="002021E4" w:rsidRPr="005244BD">
        <w:rPr>
          <w:rFonts w:asciiTheme="majorBidi" w:hAnsiTheme="majorBidi" w:cstheme="majorBidi"/>
        </w:rPr>
        <w:t xml:space="preserve"> network</w:t>
      </w:r>
      <w:r w:rsidR="001643A8" w:rsidRPr="005244BD">
        <w:rPr>
          <w:rFonts w:asciiTheme="majorBidi" w:hAnsiTheme="majorBidi" w:cstheme="majorBidi"/>
        </w:rPr>
        <w:t xml:space="preserve"> model</w:t>
      </w:r>
      <w:r w:rsidR="00726BA9" w:rsidRPr="005244BD">
        <w:rPr>
          <w:rFonts w:asciiTheme="majorBidi" w:hAnsiTheme="majorBidi" w:cstheme="majorBidi"/>
        </w:rPr>
        <w:t>s</w:t>
      </w:r>
      <w:r w:rsidR="001643A8" w:rsidRPr="005244BD">
        <w:rPr>
          <w:rFonts w:asciiTheme="majorBidi" w:hAnsiTheme="majorBidi" w:cstheme="majorBidi"/>
        </w:rPr>
        <w:t xml:space="preserve"> to investigate natural bioremediation and dissolution o</w:t>
      </w:r>
      <w:r w:rsidR="00B02825" w:rsidRPr="005244BD">
        <w:rPr>
          <w:rFonts w:asciiTheme="majorBidi" w:hAnsiTheme="majorBidi" w:cstheme="majorBidi"/>
        </w:rPr>
        <w:t>f</w:t>
      </w:r>
      <w:r w:rsidR="002021E4" w:rsidRPr="005244BD">
        <w:rPr>
          <w:rFonts w:asciiTheme="majorBidi" w:hAnsiTheme="majorBidi" w:cstheme="majorBidi"/>
        </w:rPr>
        <w:t xml:space="preserve"> NAPL in presence of </w:t>
      </w:r>
      <w:r w:rsidR="007621D2" w:rsidRPr="005244BD">
        <w:rPr>
          <w:rFonts w:asciiTheme="majorBidi" w:hAnsiTheme="majorBidi" w:cstheme="majorBidi"/>
        </w:rPr>
        <w:t>different</w:t>
      </w:r>
      <w:r w:rsidR="001643A8" w:rsidRPr="005244BD">
        <w:rPr>
          <w:rFonts w:asciiTheme="majorBidi" w:hAnsiTheme="majorBidi" w:cstheme="majorBidi"/>
        </w:rPr>
        <w:t xml:space="preserve"> </w:t>
      </w:r>
      <w:r w:rsidR="007621D2" w:rsidRPr="005244BD">
        <w:rPr>
          <w:rFonts w:asciiTheme="majorBidi" w:hAnsiTheme="majorBidi" w:cstheme="majorBidi"/>
        </w:rPr>
        <w:t>heterogeneities</w:t>
      </w:r>
      <w:r w:rsidR="00AD2456" w:rsidRPr="005244BD">
        <w:rPr>
          <w:rFonts w:asciiTheme="majorBidi" w:hAnsiTheme="majorBidi" w:cstheme="majorBidi"/>
        </w:rPr>
        <w:t xml:space="preserve"> arising from uncorrelated and correlated pore radii distribution</w:t>
      </w:r>
      <w:r w:rsidR="001643A8" w:rsidRPr="005244BD">
        <w:rPr>
          <w:rFonts w:asciiTheme="majorBidi" w:hAnsiTheme="majorBidi" w:cstheme="majorBidi"/>
        </w:rPr>
        <w:t xml:space="preserve">. </w:t>
      </w:r>
      <w:r w:rsidR="00EC68DA" w:rsidRPr="005244BD">
        <w:rPr>
          <w:rFonts w:asciiTheme="majorBidi" w:hAnsiTheme="majorBidi" w:cstheme="majorBidi"/>
        </w:rPr>
        <w:t>T</w:t>
      </w:r>
      <w:r w:rsidR="00B02825" w:rsidRPr="005244BD">
        <w:rPr>
          <w:rFonts w:asciiTheme="majorBidi" w:hAnsiTheme="majorBidi" w:cstheme="majorBidi"/>
        </w:rPr>
        <w:t>he impact of an</w:t>
      </w:r>
      <w:r w:rsidR="001643A8" w:rsidRPr="005244BD">
        <w:rPr>
          <w:rFonts w:asciiTheme="majorBidi" w:hAnsiTheme="majorBidi" w:cstheme="majorBidi"/>
        </w:rPr>
        <w:t xml:space="preserve"> additional phase (biofilm) on transport and NAPL dissolution is dynamically </w:t>
      </w:r>
      <w:r w:rsidR="00EC68DA" w:rsidRPr="005244BD">
        <w:rPr>
          <w:rFonts w:asciiTheme="majorBidi" w:hAnsiTheme="majorBidi" w:cstheme="majorBidi"/>
        </w:rPr>
        <w:t>incorporated</w:t>
      </w:r>
      <w:r w:rsidR="001643A8" w:rsidRPr="005244BD">
        <w:rPr>
          <w:rFonts w:asciiTheme="majorBidi" w:hAnsiTheme="majorBidi" w:cstheme="majorBidi"/>
        </w:rPr>
        <w:t xml:space="preserve"> in the pore network model</w:t>
      </w:r>
      <w:r w:rsidR="008A0164">
        <w:rPr>
          <w:rFonts w:asciiTheme="majorBidi" w:hAnsiTheme="majorBidi" w:cstheme="majorBidi"/>
        </w:rPr>
        <w:t xml:space="preserve"> with simplifying assumptions such as fully available NAPL for biodegradation and dissolution</w:t>
      </w:r>
      <w:r w:rsidR="001643A8" w:rsidRPr="005244BD">
        <w:rPr>
          <w:rFonts w:asciiTheme="majorBidi" w:hAnsiTheme="majorBidi" w:cstheme="majorBidi"/>
        </w:rPr>
        <w:t>.</w:t>
      </w:r>
      <w:r w:rsidR="00726BA9" w:rsidRPr="005244BD">
        <w:rPr>
          <w:rFonts w:asciiTheme="majorBidi" w:hAnsiTheme="majorBidi" w:cstheme="majorBidi"/>
        </w:rPr>
        <w:t xml:space="preserve"> </w:t>
      </w:r>
      <w:r w:rsidR="004D15F9">
        <w:rPr>
          <w:rFonts w:asciiTheme="majorBidi" w:hAnsiTheme="majorBidi" w:cstheme="majorBidi"/>
        </w:rPr>
        <w:t>Under such assumptions, t</w:t>
      </w:r>
      <w:r w:rsidR="00E3346D" w:rsidRPr="005244BD">
        <w:rPr>
          <w:rFonts w:asciiTheme="majorBidi" w:hAnsiTheme="majorBidi" w:cstheme="majorBidi"/>
        </w:rPr>
        <w:t xml:space="preserve">he results indicate that as </w:t>
      </w:r>
      <w:r w:rsidR="00EC68DA" w:rsidRPr="005244BD">
        <w:rPr>
          <w:rFonts w:asciiTheme="majorBidi" w:hAnsiTheme="majorBidi" w:cstheme="majorBidi"/>
        </w:rPr>
        <w:t xml:space="preserve">pore scale heterogeneity (in the form of </w:t>
      </w:r>
      <w:r w:rsidR="00E3346D" w:rsidRPr="005244BD">
        <w:rPr>
          <w:rFonts w:asciiTheme="majorBidi" w:hAnsiTheme="majorBidi" w:cstheme="majorBidi"/>
        </w:rPr>
        <w:t>correlation length</w:t>
      </w:r>
      <w:r w:rsidR="00EC68DA" w:rsidRPr="005244BD">
        <w:rPr>
          <w:rFonts w:asciiTheme="majorBidi" w:hAnsiTheme="majorBidi" w:cstheme="majorBidi"/>
        </w:rPr>
        <w:t xml:space="preserve"> of pore radii of pore networks)</w:t>
      </w:r>
      <w:r w:rsidR="00E3346D" w:rsidRPr="005244BD">
        <w:rPr>
          <w:rFonts w:asciiTheme="majorBidi" w:hAnsiTheme="majorBidi" w:cstheme="majorBidi"/>
        </w:rPr>
        <w:t xml:space="preserve"> increases, the biofilm growth decreases resulting in </w:t>
      </w:r>
      <w:r w:rsidR="00724243" w:rsidRPr="005244BD">
        <w:rPr>
          <w:rFonts w:asciiTheme="majorBidi" w:hAnsiTheme="majorBidi" w:cstheme="majorBidi"/>
        </w:rPr>
        <w:t xml:space="preserve">a </w:t>
      </w:r>
      <w:r w:rsidR="00E3346D" w:rsidRPr="005244BD">
        <w:rPr>
          <w:rFonts w:asciiTheme="majorBidi" w:hAnsiTheme="majorBidi" w:cstheme="majorBidi"/>
        </w:rPr>
        <w:t xml:space="preserve">reduction of NAPL bioremediation and dissolution. </w:t>
      </w:r>
      <w:r w:rsidR="005A5E4D" w:rsidRPr="005244BD">
        <w:rPr>
          <w:rFonts w:asciiTheme="majorBidi" w:hAnsiTheme="majorBidi" w:cstheme="majorBidi"/>
        </w:rPr>
        <w:t xml:space="preserve">As such it is critical to consider pore scale heterogeneity in predicting bioremediation efficiency. </w:t>
      </w:r>
      <w:r w:rsidR="00075458" w:rsidRPr="005244BD">
        <w:rPr>
          <w:rFonts w:asciiTheme="majorBidi" w:hAnsiTheme="majorBidi" w:cstheme="majorBidi"/>
        </w:rPr>
        <w:t>Additionally,</w:t>
      </w:r>
      <w:r w:rsidR="00B228D2" w:rsidRPr="005244BD">
        <w:rPr>
          <w:rFonts w:asciiTheme="majorBidi" w:hAnsiTheme="majorBidi" w:cstheme="majorBidi"/>
        </w:rPr>
        <w:t xml:space="preserve"> we found that Kozeny-Carman e</w:t>
      </w:r>
      <w:r w:rsidR="00E50D2F" w:rsidRPr="005244BD">
        <w:rPr>
          <w:rFonts w:asciiTheme="majorBidi" w:hAnsiTheme="majorBidi" w:cstheme="majorBidi"/>
        </w:rPr>
        <w:t xml:space="preserve">quation </w:t>
      </w:r>
      <w:r w:rsidR="005A5E4D" w:rsidRPr="005244BD">
        <w:rPr>
          <w:rFonts w:asciiTheme="majorBidi" w:hAnsiTheme="majorBidi" w:cstheme="majorBidi"/>
        </w:rPr>
        <w:t>fail to</w:t>
      </w:r>
      <w:r w:rsidR="00E50D2F" w:rsidRPr="005244BD">
        <w:rPr>
          <w:rFonts w:asciiTheme="majorBidi" w:hAnsiTheme="majorBidi" w:cstheme="majorBidi"/>
        </w:rPr>
        <w:t xml:space="preserve"> predict the</w:t>
      </w:r>
      <w:r w:rsidR="00B228D2" w:rsidRPr="005244BD">
        <w:rPr>
          <w:rFonts w:asciiTheme="majorBidi" w:hAnsiTheme="majorBidi" w:cstheme="majorBidi"/>
        </w:rPr>
        <w:t xml:space="preserve"> permeability changes due to biofilm growth/extinction</w:t>
      </w:r>
      <w:r w:rsidR="00E50D2F" w:rsidRPr="005244BD">
        <w:rPr>
          <w:rFonts w:asciiTheme="majorBidi" w:hAnsiTheme="majorBidi" w:cstheme="majorBidi"/>
        </w:rPr>
        <w:t>.</w:t>
      </w:r>
    </w:p>
    <w:p w14:paraId="4CE3E886" w14:textId="5E5C323F" w:rsidR="00EC68DA" w:rsidRPr="005244BD" w:rsidRDefault="00EC68DA">
      <w:pPr>
        <w:spacing w:after="200" w:line="276" w:lineRule="auto"/>
        <w:rPr>
          <w:rFonts w:asciiTheme="majorBidi" w:hAnsiTheme="majorBidi" w:cstheme="majorBidi"/>
        </w:rPr>
      </w:pPr>
      <w:r w:rsidRPr="005244BD">
        <w:rPr>
          <w:rFonts w:asciiTheme="majorBidi" w:hAnsiTheme="majorBidi" w:cstheme="majorBidi"/>
        </w:rPr>
        <w:lastRenderedPageBreak/>
        <w:br w:type="page"/>
      </w:r>
    </w:p>
    <w:p w14:paraId="1200855D" w14:textId="77777777" w:rsidR="00EC68DA" w:rsidRPr="005244BD" w:rsidRDefault="00EC68DA" w:rsidP="00EC68DA">
      <w:pPr>
        <w:spacing w:line="360" w:lineRule="auto"/>
        <w:jc w:val="both"/>
      </w:pPr>
    </w:p>
    <w:tbl>
      <w:tblPr>
        <w:tblStyle w:val="TableGrid2"/>
        <w:tblW w:w="9350" w:type="dxa"/>
        <w:tblBorders>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846"/>
        <w:gridCol w:w="3827"/>
        <w:gridCol w:w="851"/>
        <w:gridCol w:w="3826"/>
      </w:tblGrid>
      <w:tr w:rsidR="0082330E" w:rsidRPr="005244BD" w14:paraId="64565C52" w14:textId="77777777" w:rsidTr="005D54AF">
        <w:tc>
          <w:tcPr>
            <w:tcW w:w="4673" w:type="dxa"/>
            <w:gridSpan w:val="2"/>
            <w:vAlign w:val="center"/>
          </w:tcPr>
          <w:p w14:paraId="3450A1A3" w14:textId="5A9D57F0" w:rsidR="0082330E" w:rsidRPr="005244BD" w:rsidRDefault="0082330E" w:rsidP="005D54AF">
            <w:pPr>
              <w:spacing w:after="0" w:line="240" w:lineRule="auto"/>
              <w:rPr>
                <w:rFonts w:asciiTheme="majorBidi" w:hAnsiTheme="majorBidi" w:cstheme="majorBidi"/>
                <w:b/>
                <w:bCs/>
                <w:color w:val="000000"/>
                <w:lang w:eastAsia="en-GB"/>
              </w:rPr>
            </w:pPr>
            <w:r w:rsidRPr="005244BD">
              <w:rPr>
                <w:rFonts w:asciiTheme="majorBidi" w:hAnsiTheme="majorBidi" w:cstheme="majorBidi"/>
                <w:b/>
                <w:bCs/>
                <w:color w:val="000000"/>
                <w:lang w:eastAsia="en-GB"/>
              </w:rPr>
              <w:t>Nomenclature</w:t>
            </w:r>
          </w:p>
        </w:tc>
        <w:tc>
          <w:tcPr>
            <w:tcW w:w="851" w:type="dxa"/>
            <w:vAlign w:val="center"/>
          </w:tcPr>
          <w:p w14:paraId="1455C93A" w14:textId="72A6E716" w:rsidR="0082330E" w:rsidRPr="005244BD" w:rsidRDefault="0082330E" w:rsidP="005D54AF">
            <w:pPr>
              <w:spacing w:before="240" w:after="0" w:line="240" w:lineRule="auto"/>
              <w:rPr>
                <w:rFonts w:asciiTheme="majorBidi" w:hAnsiTheme="majorBidi" w:cstheme="majorBidi"/>
                <w:color w:val="000000"/>
                <w:lang w:eastAsia="en-GB"/>
              </w:rPr>
            </w:pPr>
          </w:p>
        </w:tc>
        <w:tc>
          <w:tcPr>
            <w:tcW w:w="3826" w:type="dxa"/>
            <w:vAlign w:val="center"/>
          </w:tcPr>
          <w:p w14:paraId="3A1575D6" w14:textId="77777777" w:rsidR="0082330E" w:rsidRPr="005244BD" w:rsidRDefault="0082330E" w:rsidP="005D54AF">
            <w:pPr>
              <w:spacing w:before="240" w:after="0" w:line="240" w:lineRule="auto"/>
              <w:rPr>
                <w:rFonts w:asciiTheme="majorBidi" w:hAnsiTheme="majorBidi" w:cstheme="majorBidi"/>
                <w:color w:val="000000"/>
                <w:lang w:eastAsia="en-GB"/>
              </w:rPr>
            </w:pPr>
          </w:p>
        </w:tc>
      </w:tr>
      <w:tr w:rsidR="00432B19" w:rsidRPr="005244BD" w14:paraId="7CB33065" w14:textId="77777777" w:rsidTr="005D54AF">
        <w:trPr>
          <w:trHeight w:val="199"/>
        </w:trPr>
        <w:tc>
          <w:tcPr>
            <w:tcW w:w="846" w:type="dxa"/>
            <w:vMerge w:val="restart"/>
            <w:vAlign w:val="center"/>
          </w:tcPr>
          <w:p w14:paraId="60209DDD" w14:textId="77777777" w:rsidR="00432B19" w:rsidRPr="005244BD" w:rsidRDefault="007E5EE0" w:rsidP="005D54AF">
            <w:pPr>
              <w:spacing w:after="0" w:line="240" w:lineRule="auto"/>
              <w:rPr>
                <w:rFonts w:asciiTheme="majorBidi" w:hAnsiTheme="majorBidi" w:cstheme="majorBidi"/>
                <w:color w:val="000000"/>
                <w:lang w:eastAsia="en-GB"/>
              </w:rPr>
            </w:pPr>
            <m:oMathPara>
              <m:oMathParaPr>
                <m:jc m:val="left"/>
              </m:oMathParaPr>
              <m:oMath>
                <m:sSub>
                  <m:sSubPr>
                    <m:ctrlPr>
                      <w:rPr>
                        <w:rFonts w:ascii="Cambria Math" w:eastAsiaTheme="minorEastAsia" w:hAnsi="Cambria Math" w:cstheme="majorBidi"/>
                        <w:iCs/>
                      </w:rPr>
                    </m:ctrlPr>
                  </m:sSubPr>
                  <m:e>
                    <m:r>
                      <w:rPr>
                        <w:rFonts w:ascii="Cambria Math" w:eastAsiaTheme="minorEastAsia" w:hAnsi="Cambria Math" w:cstheme="majorBidi"/>
                      </w:rPr>
                      <m:t>A</m:t>
                    </m:r>
                  </m:e>
                  <m:sub>
                    <m:r>
                      <w:rPr>
                        <w:rFonts w:ascii="Cambria Math" w:eastAsiaTheme="minorEastAsia" w:hAnsi="Cambria Math" w:cstheme="majorBidi"/>
                      </w:rPr>
                      <m:t>ij</m:t>
                    </m:r>
                  </m:sub>
                </m:sSub>
              </m:oMath>
            </m:oMathPara>
          </w:p>
        </w:tc>
        <w:tc>
          <w:tcPr>
            <w:tcW w:w="3827" w:type="dxa"/>
            <w:vMerge w:val="restart"/>
            <w:vAlign w:val="center"/>
          </w:tcPr>
          <w:p w14:paraId="5E550C96" w14:textId="2A87B3F1" w:rsidR="00432B19" w:rsidRPr="005244BD" w:rsidRDefault="00432B19" w:rsidP="005D54AF">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 xml:space="preserve">throat cross-section area between pore </w:t>
            </w:r>
            <m:oMath>
              <m:r>
                <w:rPr>
                  <w:rFonts w:ascii="Cambria Math" w:eastAsiaTheme="minorEastAsia" w:hAnsi="Cambria Math" w:cstheme="majorBidi"/>
                </w:rPr>
                <m:t>i</m:t>
              </m:r>
            </m:oMath>
            <w:r w:rsidRPr="005244BD">
              <w:rPr>
                <w:rFonts w:asciiTheme="majorBidi" w:eastAsiaTheme="minorEastAsia" w:hAnsiTheme="majorBidi" w:cstheme="majorBidi"/>
                <w:vertAlign w:val="superscript"/>
              </w:rPr>
              <w:t>th</w:t>
            </w:r>
            <w:r w:rsidRPr="005244BD">
              <w:rPr>
                <w:rFonts w:asciiTheme="majorBidi" w:hAnsiTheme="majorBidi" w:cstheme="majorBidi"/>
                <w:color w:val="000000"/>
                <w:lang w:eastAsia="en-GB"/>
              </w:rPr>
              <w:t xml:space="preserve"> and </w:t>
            </w:r>
            <m:oMath>
              <m:r>
                <w:rPr>
                  <w:rFonts w:ascii="Cambria Math" w:eastAsiaTheme="minorEastAsia" w:hAnsi="Cambria Math" w:cstheme="majorBidi"/>
                </w:rPr>
                <m:t>j</m:t>
              </m:r>
            </m:oMath>
            <w:r w:rsidRPr="005244BD">
              <w:rPr>
                <w:rFonts w:asciiTheme="majorBidi" w:eastAsiaTheme="minorEastAsia" w:hAnsiTheme="majorBidi" w:cstheme="majorBidi"/>
                <w:vertAlign w:val="superscript"/>
              </w:rPr>
              <w:t>th</w:t>
            </w:r>
            <w:r w:rsidRPr="005244BD">
              <w:rPr>
                <w:rFonts w:asciiTheme="majorBidi" w:hAnsiTheme="majorBidi" w:cstheme="majorBidi"/>
                <w:color w:val="000000"/>
                <w:lang w:eastAsia="en-GB"/>
              </w:rPr>
              <w:t xml:space="preserve"> </w:t>
            </w:r>
            <w:r w:rsidRPr="005244BD">
              <w:rPr>
                <w:rFonts w:asciiTheme="majorBidi" w:eastAsiaTheme="minorEastAsia" w:hAnsiTheme="majorBidi" w:cstheme="majorBidi"/>
              </w:rPr>
              <w:t>(L</w:t>
            </w:r>
            <w:r w:rsidRPr="005244BD">
              <w:rPr>
                <w:rFonts w:asciiTheme="majorBidi" w:eastAsiaTheme="minorEastAsia" w:hAnsiTheme="majorBidi" w:cstheme="majorBidi"/>
                <w:vertAlign w:val="superscript"/>
              </w:rPr>
              <w:t>2</w:t>
            </w:r>
            <w:r w:rsidRPr="005244BD">
              <w:rPr>
                <w:rFonts w:asciiTheme="majorBidi" w:eastAsiaTheme="minorEastAsia" w:hAnsiTheme="majorBidi" w:cstheme="majorBidi"/>
              </w:rPr>
              <w:t>)</w:t>
            </w:r>
          </w:p>
        </w:tc>
        <w:tc>
          <w:tcPr>
            <w:tcW w:w="851" w:type="dxa"/>
            <w:vAlign w:val="center"/>
          </w:tcPr>
          <w:p w14:paraId="7FD0C682" w14:textId="0B70548F" w:rsidR="00432B19" w:rsidRPr="005244BD" w:rsidRDefault="00432B19" w:rsidP="005D54AF">
            <w:pPr>
              <w:spacing w:after="0" w:line="240" w:lineRule="auto"/>
              <w:rPr>
                <w:color w:val="000000"/>
                <w:lang w:eastAsia="en-GB"/>
              </w:rPr>
            </w:pPr>
            <m:oMathPara>
              <m:oMathParaPr>
                <m:jc m:val="left"/>
              </m:oMathParaPr>
              <m:oMath>
                <m:r>
                  <w:rPr>
                    <w:rFonts w:ascii="Cambria Math" w:eastAsiaTheme="minorEastAsia" w:hAnsi="Cambria Math" w:cstheme="majorBidi"/>
                  </w:rPr>
                  <m:t>l</m:t>
                </m:r>
              </m:oMath>
            </m:oMathPara>
          </w:p>
        </w:tc>
        <w:tc>
          <w:tcPr>
            <w:tcW w:w="3826" w:type="dxa"/>
            <w:vAlign w:val="center"/>
          </w:tcPr>
          <w:p w14:paraId="075C5846" w14:textId="6F68A114" w:rsidR="00432B19" w:rsidRPr="005244BD" w:rsidRDefault="00432B19" w:rsidP="005D54AF">
            <w:pPr>
              <w:spacing w:after="0" w:line="240" w:lineRule="auto"/>
              <w:rPr>
                <w:rFonts w:asciiTheme="majorBidi" w:hAnsiTheme="majorBidi" w:cstheme="majorBidi"/>
                <w:color w:val="000000"/>
                <w:lang w:eastAsia="en-GB"/>
              </w:rPr>
            </w:pPr>
            <w:r w:rsidRPr="005244BD">
              <w:rPr>
                <w:rFonts w:asciiTheme="majorBidi" w:eastAsiaTheme="minorEastAsia" w:hAnsiTheme="majorBidi" w:cstheme="majorBidi"/>
              </w:rPr>
              <w:t>throat length (L)</w:t>
            </w:r>
          </w:p>
        </w:tc>
      </w:tr>
      <w:tr w:rsidR="00432B19" w:rsidRPr="005244BD" w14:paraId="68E55DCD" w14:textId="77777777" w:rsidTr="005D54AF">
        <w:trPr>
          <w:trHeight w:val="429"/>
        </w:trPr>
        <w:tc>
          <w:tcPr>
            <w:tcW w:w="846" w:type="dxa"/>
            <w:vMerge/>
            <w:vAlign w:val="center"/>
          </w:tcPr>
          <w:p w14:paraId="05BD2BF6" w14:textId="77777777" w:rsidR="00432B19" w:rsidRPr="005244BD" w:rsidRDefault="00432B19" w:rsidP="005D54AF">
            <w:pPr>
              <w:spacing w:after="0" w:line="240" w:lineRule="auto"/>
              <w:rPr>
                <w:iCs/>
              </w:rPr>
            </w:pPr>
          </w:p>
        </w:tc>
        <w:tc>
          <w:tcPr>
            <w:tcW w:w="3827" w:type="dxa"/>
            <w:vMerge/>
            <w:vAlign w:val="center"/>
          </w:tcPr>
          <w:p w14:paraId="454C1F35" w14:textId="77777777" w:rsidR="00432B19" w:rsidRPr="005244BD" w:rsidRDefault="00432B19" w:rsidP="005D54AF">
            <w:pPr>
              <w:spacing w:after="0" w:line="240" w:lineRule="auto"/>
              <w:rPr>
                <w:rFonts w:asciiTheme="majorBidi" w:hAnsiTheme="majorBidi" w:cstheme="majorBidi"/>
                <w:color w:val="000000"/>
                <w:lang w:eastAsia="en-GB"/>
              </w:rPr>
            </w:pPr>
          </w:p>
        </w:tc>
        <w:tc>
          <w:tcPr>
            <w:tcW w:w="851" w:type="dxa"/>
            <w:vMerge w:val="restart"/>
            <w:vAlign w:val="center"/>
          </w:tcPr>
          <w:p w14:paraId="14561FDB" w14:textId="6BAF6BAD" w:rsidR="00432B19" w:rsidRPr="005244BD" w:rsidRDefault="007E5EE0" w:rsidP="005D54AF">
            <w:pPr>
              <w:spacing w:after="0" w:line="240" w:lineRule="auto"/>
              <w:rPr>
                <w:color w:val="000000"/>
                <w:lang w:eastAsia="en-GB"/>
              </w:rPr>
            </w:pPr>
            <m:oMathPara>
              <m:oMathParaPr>
                <m:jc m:val="left"/>
              </m:oMathParaPr>
              <m:oMath>
                <m:sSubSup>
                  <m:sSubSupPr>
                    <m:ctrlPr>
                      <w:rPr>
                        <w:rFonts w:ascii="Cambria Math" w:hAnsi="Cambria Math"/>
                        <w:i/>
                      </w:rPr>
                    </m:ctrlPr>
                  </m:sSubSupPr>
                  <m:e>
                    <m:r>
                      <w:rPr>
                        <w:rFonts w:ascii="Cambria Math" w:hAnsi="Cambria Math"/>
                      </w:rPr>
                      <m:t>M</m:t>
                    </m:r>
                  </m:e>
                  <m:sub>
                    <m:r>
                      <m:rPr>
                        <m:sty m:val="p"/>
                      </m:rPr>
                      <w:rPr>
                        <w:rFonts w:ascii="Cambria Math" w:hAnsi="Cambria Math" w:cstheme="majorBidi"/>
                        <w:color w:val="000000"/>
                        <w:lang w:eastAsia="en-GB"/>
                      </w:rPr>
                      <m:t>NAPL</m:t>
                    </m:r>
                    <m:r>
                      <w:rPr>
                        <w:rFonts w:ascii="Cambria Math" w:hAnsi="Cambria Math"/>
                      </w:rPr>
                      <m:t>,i</m:t>
                    </m:r>
                  </m:sub>
                  <m:sup>
                    <m:r>
                      <w:rPr>
                        <w:rFonts w:ascii="Cambria Math" w:hAnsi="Cambria Math"/>
                      </w:rPr>
                      <m:t>t</m:t>
                    </m:r>
                  </m:sup>
                </m:sSubSup>
              </m:oMath>
            </m:oMathPara>
          </w:p>
        </w:tc>
        <w:tc>
          <w:tcPr>
            <w:tcW w:w="3826" w:type="dxa"/>
            <w:vMerge w:val="restart"/>
            <w:vAlign w:val="center"/>
          </w:tcPr>
          <w:p w14:paraId="4710C1BE" w14:textId="43C2AF47" w:rsidR="00432B19" w:rsidRPr="005244BD" w:rsidRDefault="00432B19" w:rsidP="005D54AF">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mass</w:t>
            </w:r>
            <w:r w:rsidRPr="005244BD">
              <w:rPr>
                <w:rFonts w:ascii="Times New Roman" w:eastAsiaTheme="minorEastAsia" w:hAnsi="Times New Roman" w:cs="Times New Roman"/>
              </w:rPr>
              <w:t xml:space="preserve"> of NAPL in the pore </w:t>
            </w:r>
            <m:oMath>
              <m:r>
                <w:rPr>
                  <w:rFonts w:ascii="Cambria Math" w:eastAsiaTheme="minorEastAsia" w:hAnsi="Cambria Math" w:cstheme="majorBidi"/>
                </w:rPr>
                <m:t>i</m:t>
              </m:r>
            </m:oMath>
            <w:r w:rsidRPr="005244BD">
              <w:rPr>
                <w:rFonts w:asciiTheme="majorBidi" w:eastAsiaTheme="minorEastAsia" w:hAnsiTheme="majorBidi" w:cstheme="majorBidi"/>
                <w:vertAlign w:val="superscript"/>
              </w:rPr>
              <w:t>th</w:t>
            </w:r>
            <w:r w:rsidRPr="005244BD">
              <w:rPr>
                <w:rFonts w:ascii="Times New Roman" w:eastAsiaTheme="minorEastAsia" w:hAnsi="Times New Roman" w:cs="Times New Roman"/>
              </w:rPr>
              <w:t xml:space="preserve"> at the times </w:t>
            </w:r>
            <w:r w:rsidRPr="005244BD">
              <w:rPr>
                <w:rFonts w:ascii="Times New Roman" w:eastAsiaTheme="minorEastAsia" w:hAnsi="Times New Roman" w:cs="Times New Roman"/>
                <w:i/>
                <w:iCs/>
              </w:rPr>
              <w:t>t</w:t>
            </w:r>
            <w:r w:rsidRPr="005244BD">
              <w:rPr>
                <w:rFonts w:ascii="Times New Roman" w:eastAsiaTheme="minorEastAsia" w:hAnsi="Times New Roman"/>
              </w:rPr>
              <w:t xml:space="preserve"> (M)</w:t>
            </w:r>
          </w:p>
        </w:tc>
      </w:tr>
      <w:tr w:rsidR="00432B19" w:rsidRPr="005244BD" w14:paraId="7E1CA639" w14:textId="77777777" w:rsidTr="005D54AF">
        <w:tc>
          <w:tcPr>
            <w:tcW w:w="846" w:type="dxa"/>
            <w:vAlign w:val="center"/>
          </w:tcPr>
          <w:p w14:paraId="4BABC344" w14:textId="77777777" w:rsidR="00432B19" w:rsidRPr="005244BD" w:rsidRDefault="00432B19" w:rsidP="005D54AF">
            <w:pPr>
              <w:spacing w:after="0" w:line="240" w:lineRule="auto"/>
              <w:rPr>
                <w:rFonts w:asciiTheme="majorBidi" w:hAnsiTheme="majorBidi" w:cstheme="majorBidi"/>
                <w:color w:val="000000"/>
                <w:lang w:eastAsia="en-GB"/>
              </w:rPr>
            </w:pPr>
            <m:oMathPara>
              <m:oMathParaPr>
                <m:jc m:val="left"/>
              </m:oMathParaPr>
              <m:oMath>
                <m:r>
                  <w:rPr>
                    <w:rFonts w:ascii="Cambria Math" w:eastAsiaTheme="minorEastAsia" w:hAnsi="Cambria Math" w:cstheme="majorBidi"/>
                  </w:rPr>
                  <m:t>C</m:t>
                </m:r>
              </m:oMath>
            </m:oMathPara>
          </w:p>
        </w:tc>
        <w:tc>
          <w:tcPr>
            <w:tcW w:w="3827" w:type="dxa"/>
            <w:vAlign w:val="center"/>
          </w:tcPr>
          <w:p w14:paraId="176ED9C1" w14:textId="77777777" w:rsidR="00432B19" w:rsidRPr="005244BD" w:rsidRDefault="00432B19" w:rsidP="005D54AF">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concentration (ML</w:t>
            </w:r>
            <w:r w:rsidRPr="005244BD">
              <w:rPr>
                <w:rFonts w:asciiTheme="majorBidi" w:hAnsiTheme="majorBidi" w:cstheme="majorBidi"/>
                <w:color w:val="000000"/>
                <w:vertAlign w:val="superscript"/>
                <w:lang w:eastAsia="en-GB"/>
              </w:rPr>
              <w:t>-3</w:t>
            </w:r>
            <w:r w:rsidRPr="005244BD">
              <w:rPr>
                <w:rFonts w:asciiTheme="majorBidi" w:hAnsiTheme="majorBidi" w:cstheme="majorBidi"/>
                <w:color w:val="000000"/>
                <w:lang w:eastAsia="en-GB"/>
              </w:rPr>
              <w:t>)</w:t>
            </w:r>
          </w:p>
        </w:tc>
        <w:tc>
          <w:tcPr>
            <w:tcW w:w="851" w:type="dxa"/>
            <w:vMerge/>
            <w:vAlign w:val="center"/>
          </w:tcPr>
          <w:p w14:paraId="12A4709F" w14:textId="5696B616" w:rsidR="00432B19" w:rsidRPr="005244BD" w:rsidRDefault="00432B19" w:rsidP="005D54AF">
            <w:pPr>
              <w:spacing w:after="0" w:line="240" w:lineRule="auto"/>
              <w:rPr>
                <w:rFonts w:asciiTheme="majorBidi" w:hAnsiTheme="majorBidi" w:cstheme="majorBidi"/>
                <w:color w:val="000000"/>
                <w:lang w:eastAsia="en-GB"/>
              </w:rPr>
            </w:pPr>
          </w:p>
        </w:tc>
        <w:tc>
          <w:tcPr>
            <w:tcW w:w="3826" w:type="dxa"/>
            <w:vMerge/>
            <w:vAlign w:val="center"/>
          </w:tcPr>
          <w:p w14:paraId="49813D62" w14:textId="7CB8BF7A" w:rsidR="00432B19" w:rsidRPr="005244BD" w:rsidRDefault="00432B19" w:rsidP="005D54AF">
            <w:pPr>
              <w:spacing w:after="0" w:line="240" w:lineRule="auto"/>
              <w:rPr>
                <w:rFonts w:asciiTheme="majorBidi" w:hAnsiTheme="majorBidi" w:cstheme="majorBidi"/>
                <w:color w:val="000000"/>
                <w:lang w:eastAsia="en-GB"/>
              </w:rPr>
            </w:pPr>
          </w:p>
        </w:tc>
      </w:tr>
      <w:tr w:rsidR="00760BDC" w:rsidRPr="005244BD" w14:paraId="14F5DA26" w14:textId="77777777" w:rsidTr="005D54AF">
        <w:tc>
          <w:tcPr>
            <w:tcW w:w="846" w:type="dxa"/>
            <w:vAlign w:val="center"/>
          </w:tcPr>
          <w:p w14:paraId="2C21DFCE" w14:textId="77777777" w:rsidR="00760BDC" w:rsidRPr="005244BD" w:rsidRDefault="007E5EE0" w:rsidP="005D54AF">
            <w:pPr>
              <w:spacing w:after="0" w:line="240" w:lineRule="auto"/>
              <w:rPr>
                <w:color w:val="000000"/>
                <w:lang w:eastAsia="en-GB"/>
              </w:rPr>
            </w:pPr>
            <m:oMathPara>
              <m:oMathParaPr>
                <m:jc m:val="left"/>
              </m:oMathParaPr>
              <m:oMath>
                <m:sSub>
                  <m:sSubPr>
                    <m:ctrlPr>
                      <w:rPr>
                        <w:rFonts w:ascii="Cambria Math" w:hAnsi="Cambria Math" w:cstheme="majorBidi"/>
                        <w:color w:val="000000"/>
                        <w:lang w:eastAsia="en-GB"/>
                      </w:rPr>
                    </m:ctrlPr>
                  </m:sSubPr>
                  <m:e>
                    <m:r>
                      <w:rPr>
                        <w:rFonts w:ascii="Cambria Math" w:hAnsi="Cambria Math" w:cstheme="majorBidi"/>
                        <w:color w:val="000000"/>
                        <w:lang w:eastAsia="en-GB"/>
                      </w:rPr>
                      <m:t>C</m:t>
                    </m:r>
                  </m:e>
                  <m:sub>
                    <m:r>
                      <w:rPr>
                        <w:rFonts w:ascii="Cambria Math" w:hAnsi="Cambria Math" w:cstheme="majorBidi"/>
                        <w:color w:val="000000"/>
                        <w:lang w:eastAsia="en-GB"/>
                      </w:rPr>
                      <m:t>A</m:t>
                    </m:r>
                  </m:sub>
                </m:sSub>
              </m:oMath>
            </m:oMathPara>
          </w:p>
        </w:tc>
        <w:tc>
          <w:tcPr>
            <w:tcW w:w="3827" w:type="dxa"/>
            <w:vAlign w:val="center"/>
          </w:tcPr>
          <w:p w14:paraId="2A93A87F" w14:textId="77777777"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 xml:space="preserve">concentration of </w:t>
            </w:r>
            <w:r w:rsidRPr="005244BD">
              <w:rPr>
                <w:rFonts w:asciiTheme="majorBidi" w:eastAsiaTheme="minorEastAsia" w:hAnsiTheme="majorBidi" w:cstheme="majorBidi"/>
                <w:iCs/>
              </w:rPr>
              <w:t xml:space="preserve">species A </w:t>
            </w:r>
            <w:r w:rsidRPr="005244BD">
              <w:rPr>
                <w:rFonts w:asciiTheme="majorBidi" w:hAnsiTheme="majorBidi" w:cstheme="majorBidi"/>
                <w:color w:val="000000"/>
                <w:lang w:eastAsia="en-GB"/>
              </w:rPr>
              <w:t>(ML</w:t>
            </w:r>
            <w:r w:rsidRPr="005244BD">
              <w:rPr>
                <w:rFonts w:asciiTheme="majorBidi" w:hAnsiTheme="majorBidi" w:cstheme="majorBidi"/>
                <w:color w:val="000000"/>
                <w:vertAlign w:val="superscript"/>
                <w:lang w:eastAsia="en-GB"/>
              </w:rPr>
              <w:t>-3</w:t>
            </w:r>
            <w:r w:rsidRPr="005244BD">
              <w:rPr>
                <w:rFonts w:asciiTheme="majorBidi" w:hAnsiTheme="majorBidi" w:cstheme="majorBidi"/>
                <w:color w:val="000000"/>
                <w:lang w:eastAsia="en-GB"/>
              </w:rPr>
              <w:t>)</w:t>
            </w:r>
          </w:p>
        </w:tc>
        <w:tc>
          <w:tcPr>
            <w:tcW w:w="851" w:type="dxa"/>
            <w:vAlign w:val="center"/>
          </w:tcPr>
          <w:p w14:paraId="7DB3CEA0" w14:textId="55F479D8" w:rsidR="00760BDC" w:rsidRPr="005244BD" w:rsidRDefault="007E5EE0" w:rsidP="005D54AF">
            <w:pPr>
              <w:spacing w:after="0" w:line="240" w:lineRule="auto"/>
            </w:pPr>
            <m:oMathPara>
              <m:oMathParaPr>
                <m:jc m:val="left"/>
              </m:oMathParaPr>
              <m:oMath>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rPr>
                      <m:t>i</m:t>
                    </m:r>
                  </m:sub>
                </m:sSub>
              </m:oMath>
            </m:oMathPara>
          </w:p>
        </w:tc>
        <w:tc>
          <w:tcPr>
            <w:tcW w:w="3826" w:type="dxa"/>
            <w:vAlign w:val="center"/>
          </w:tcPr>
          <w:p w14:paraId="760ABCB1" w14:textId="1EF32BBD"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 xml:space="preserve">number of pores connected to pore </w:t>
            </w:r>
            <m:oMath>
              <m:r>
                <w:rPr>
                  <w:rFonts w:ascii="Cambria Math" w:eastAsiaTheme="minorEastAsia" w:hAnsi="Cambria Math" w:cstheme="majorBidi"/>
                </w:rPr>
                <m:t>i</m:t>
              </m:r>
            </m:oMath>
            <w:r w:rsidRPr="005244BD">
              <w:rPr>
                <w:rFonts w:asciiTheme="majorBidi" w:eastAsiaTheme="minorEastAsia" w:hAnsiTheme="majorBidi" w:cstheme="majorBidi"/>
                <w:vertAlign w:val="superscript"/>
              </w:rPr>
              <w:t>th</w:t>
            </w:r>
            <w:r w:rsidRPr="005244BD">
              <w:rPr>
                <w:rFonts w:asciiTheme="majorBidi" w:hAnsiTheme="majorBidi" w:cstheme="majorBidi"/>
                <w:color w:val="000000"/>
                <w:lang w:eastAsia="en-GB"/>
              </w:rPr>
              <w:t xml:space="preserve"> </w:t>
            </w:r>
          </w:p>
        </w:tc>
      </w:tr>
      <w:tr w:rsidR="00760BDC" w:rsidRPr="005244BD" w14:paraId="7F941241" w14:textId="77777777" w:rsidTr="005D54AF">
        <w:tc>
          <w:tcPr>
            <w:tcW w:w="846" w:type="dxa"/>
            <w:vAlign w:val="center"/>
          </w:tcPr>
          <w:p w14:paraId="36BEA36B" w14:textId="77777777" w:rsidR="00760BDC" w:rsidRPr="005244BD" w:rsidRDefault="007E5EE0" w:rsidP="005D54AF">
            <w:pPr>
              <w:spacing w:after="0" w:line="240" w:lineRule="auto"/>
              <w:rPr>
                <w:color w:val="000000"/>
                <w:lang w:eastAsia="en-GB"/>
              </w:rPr>
            </w:pPr>
            <m:oMathPara>
              <m:oMathParaPr>
                <m:jc m:val="left"/>
              </m:oMathParaPr>
              <m:oMath>
                <m:sSub>
                  <m:sSubPr>
                    <m:ctrlPr>
                      <w:rPr>
                        <w:rFonts w:ascii="Cambria Math" w:hAnsi="Cambria Math" w:cstheme="majorBidi"/>
                        <w:color w:val="000000"/>
                        <w:lang w:eastAsia="en-GB"/>
                      </w:rPr>
                    </m:ctrlPr>
                  </m:sSubPr>
                  <m:e>
                    <m:r>
                      <w:rPr>
                        <w:rFonts w:ascii="Cambria Math" w:hAnsi="Cambria Math" w:cstheme="majorBidi"/>
                        <w:color w:val="000000"/>
                        <w:lang w:eastAsia="en-GB"/>
                      </w:rPr>
                      <m:t>C</m:t>
                    </m:r>
                  </m:e>
                  <m:sub>
                    <m:r>
                      <w:rPr>
                        <w:rFonts w:ascii="Cambria Math" w:hAnsi="Cambria Math" w:cstheme="majorBidi"/>
                        <w:color w:val="000000"/>
                        <w:lang w:eastAsia="en-GB"/>
                      </w:rPr>
                      <m:t>B</m:t>
                    </m:r>
                  </m:sub>
                </m:sSub>
              </m:oMath>
            </m:oMathPara>
          </w:p>
        </w:tc>
        <w:tc>
          <w:tcPr>
            <w:tcW w:w="3827" w:type="dxa"/>
            <w:vAlign w:val="center"/>
          </w:tcPr>
          <w:p w14:paraId="4A9021E1" w14:textId="77777777"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 xml:space="preserve">concentration of </w:t>
            </w:r>
            <w:r w:rsidRPr="005244BD">
              <w:rPr>
                <w:rFonts w:asciiTheme="majorBidi" w:eastAsiaTheme="minorEastAsia" w:hAnsiTheme="majorBidi" w:cstheme="majorBidi"/>
                <w:iCs/>
              </w:rPr>
              <w:t xml:space="preserve">species B </w:t>
            </w:r>
            <w:r w:rsidRPr="005244BD">
              <w:rPr>
                <w:rFonts w:asciiTheme="majorBidi" w:hAnsiTheme="majorBidi" w:cstheme="majorBidi"/>
                <w:color w:val="000000"/>
                <w:lang w:eastAsia="en-GB"/>
              </w:rPr>
              <w:t>(ML</w:t>
            </w:r>
            <w:r w:rsidRPr="005244BD">
              <w:rPr>
                <w:rFonts w:asciiTheme="majorBidi" w:hAnsiTheme="majorBidi" w:cstheme="majorBidi"/>
                <w:color w:val="000000"/>
                <w:vertAlign w:val="superscript"/>
                <w:lang w:eastAsia="en-GB"/>
              </w:rPr>
              <w:t>-3</w:t>
            </w:r>
            <w:r w:rsidRPr="005244BD">
              <w:rPr>
                <w:rFonts w:asciiTheme="majorBidi" w:hAnsiTheme="majorBidi" w:cstheme="majorBidi"/>
                <w:color w:val="000000"/>
                <w:lang w:eastAsia="en-GB"/>
              </w:rPr>
              <w:t>)</w:t>
            </w:r>
          </w:p>
        </w:tc>
        <w:tc>
          <w:tcPr>
            <w:tcW w:w="851" w:type="dxa"/>
            <w:vMerge w:val="restart"/>
            <w:vAlign w:val="center"/>
          </w:tcPr>
          <w:p w14:paraId="16707EB2" w14:textId="3FD34A7B" w:rsidR="00760BDC" w:rsidRPr="005244BD" w:rsidRDefault="007E5EE0" w:rsidP="005D54AF">
            <w:pPr>
              <w:spacing w:after="0" w:line="240" w:lineRule="auto"/>
              <w:rPr>
                <w:rFonts w:asciiTheme="majorBidi" w:hAnsiTheme="majorBidi" w:cstheme="majorBidi"/>
                <w:color w:val="000000"/>
                <w:lang w:eastAsia="en-GB"/>
              </w:rPr>
            </w:pPr>
            <m:oMathPara>
              <m:oMathParaPr>
                <m:jc m:val="left"/>
              </m:oMathParaPr>
              <m:oMath>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N</m:t>
                    </m:r>
                  </m:e>
                  <m:sub>
                    <m:r>
                      <w:rPr>
                        <w:rFonts w:ascii="Cambria Math" w:eastAsiaTheme="minorEastAsia" w:hAnsi="Cambria Math" w:cstheme="majorBidi"/>
                        <w:szCs w:val="18"/>
                      </w:rPr>
                      <m:t>n,i</m:t>
                    </m:r>
                  </m:sub>
                </m:sSub>
              </m:oMath>
            </m:oMathPara>
          </w:p>
        </w:tc>
        <w:tc>
          <w:tcPr>
            <w:tcW w:w="3826" w:type="dxa"/>
            <w:vMerge w:val="restart"/>
            <w:vAlign w:val="center"/>
          </w:tcPr>
          <w:p w14:paraId="74B930DA" w14:textId="27DD1B50"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 xml:space="preserve">number of NAPL-filled pores connected to pore </w:t>
            </w:r>
            <m:oMath>
              <m:r>
                <w:rPr>
                  <w:rFonts w:ascii="Cambria Math" w:eastAsiaTheme="minorEastAsia" w:hAnsi="Cambria Math" w:cstheme="majorBidi"/>
                </w:rPr>
                <m:t>i</m:t>
              </m:r>
            </m:oMath>
            <w:r w:rsidRPr="005244BD">
              <w:rPr>
                <w:rFonts w:asciiTheme="majorBidi" w:eastAsiaTheme="minorEastAsia" w:hAnsiTheme="majorBidi" w:cstheme="majorBidi"/>
                <w:vertAlign w:val="superscript"/>
              </w:rPr>
              <w:t>th</w:t>
            </w:r>
          </w:p>
        </w:tc>
      </w:tr>
      <w:tr w:rsidR="00760BDC" w:rsidRPr="005244BD" w14:paraId="3A63E950" w14:textId="77777777" w:rsidTr="005D54AF">
        <w:trPr>
          <w:trHeight w:val="429"/>
        </w:trPr>
        <w:tc>
          <w:tcPr>
            <w:tcW w:w="846" w:type="dxa"/>
            <w:vMerge w:val="restart"/>
            <w:vAlign w:val="center"/>
          </w:tcPr>
          <w:p w14:paraId="6E8D3994" w14:textId="6B8A49CB" w:rsidR="00760BDC" w:rsidRPr="005244BD" w:rsidRDefault="007E5EE0" w:rsidP="005D54AF">
            <w:pPr>
              <w:spacing w:after="0" w:line="240" w:lineRule="auto"/>
              <w:rPr>
                <w:color w:val="000000"/>
                <w:lang w:eastAsia="en-GB"/>
              </w:rPr>
            </w:pPr>
            <m:oMathPara>
              <m:oMathParaPr>
                <m:jc m:val="left"/>
              </m:oMathParaPr>
              <m:oMath>
                <m:sSubSup>
                  <m:sSubSupPr>
                    <m:ctrlPr>
                      <w:rPr>
                        <w:rFonts w:ascii="Cambria Math" w:eastAsiaTheme="minorEastAsia" w:hAnsi="Cambria Math" w:cstheme="majorBidi"/>
                      </w:rPr>
                    </m:ctrlPr>
                  </m:sSubSupPr>
                  <m:e>
                    <m:r>
                      <w:rPr>
                        <w:rFonts w:ascii="Cambria Math" w:eastAsiaTheme="minorEastAsia" w:hAnsi="Cambria Math" w:cstheme="majorBidi"/>
                      </w:rPr>
                      <m:t>C</m:t>
                    </m:r>
                  </m:e>
                  <m:sub>
                    <m:r>
                      <m:rPr>
                        <m:sty m:val="p"/>
                      </m:rPr>
                      <w:rPr>
                        <w:rFonts w:ascii="Cambria Math" w:eastAsiaTheme="minorEastAsia" w:hAnsi="Cambria Math" w:cstheme="majorBidi"/>
                      </w:rPr>
                      <m:t>ave</m:t>
                    </m:r>
                  </m:sub>
                  <m:sup>
                    <m:r>
                      <w:rPr>
                        <w:rFonts w:ascii="Cambria Math" w:eastAsiaTheme="minorEastAsia" w:hAnsi="Cambria Math" w:cstheme="majorBidi"/>
                      </w:rPr>
                      <m:t>t</m:t>
                    </m:r>
                  </m:sup>
                </m:sSubSup>
              </m:oMath>
            </m:oMathPara>
          </w:p>
        </w:tc>
        <w:tc>
          <w:tcPr>
            <w:tcW w:w="3827" w:type="dxa"/>
            <w:vMerge w:val="restart"/>
            <w:vAlign w:val="center"/>
          </w:tcPr>
          <w:p w14:paraId="3AE6C73F" w14:textId="77777777"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 xml:space="preserve">average concentration of species at time </w:t>
            </w:r>
            <w:r w:rsidRPr="005244BD">
              <w:rPr>
                <w:rFonts w:asciiTheme="majorBidi" w:hAnsiTheme="majorBidi" w:cstheme="majorBidi"/>
                <w:i/>
                <w:iCs/>
                <w:color w:val="000000"/>
                <w:lang w:eastAsia="en-GB"/>
              </w:rPr>
              <w:t>t</w:t>
            </w:r>
            <w:r w:rsidRPr="005244BD">
              <w:rPr>
                <w:rFonts w:asciiTheme="majorBidi" w:hAnsiTheme="majorBidi" w:cstheme="majorBidi"/>
                <w:color w:val="000000"/>
                <w:lang w:eastAsia="en-GB"/>
              </w:rPr>
              <w:t xml:space="preserve"> (ML</w:t>
            </w:r>
            <w:r w:rsidRPr="005244BD">
              <w:rPr>
                <w:rFonts w:asciiTheme="majorBidi" w:hAnsiTheme="majorBidi" w:cstheme="majorBidi"/>
                <w:color w:val="000000"/>
                <w:vertAlign w:val="superscript"/>
                <w:lang w:eastAsia="en-GB"/>
              </w:rPr>
              <w:t>-3</w:t>
            </w:r>
            <w:r w:rsidRPr="005244BD">
              <w:rPr>
                <w:rFonts w:asciiTheme="majorBidi" w:hAnsiTheme="majorBidi" w:cstheme="majorBidi"/>
                <w:color w:val="000000"/>
                <w:lang w:eastAsia="en-GB"/>
              </w:rPr>
              <w:t>)</w:t>
            </w:r>
          </w:p>
        </w:tc>
        <w:tc>
          <w:tcPr>
            <w:tcW w:w="851" w:type="dxa"/>
            <w:vMerge/>
            <w:vAlign w:val="center"/>
          </w:tcPr>
          <w:p w14:paraId="427685B1" w14:textId="5AB59FDD" w:rsidR="00760BDC" w:rsidRPr="005244BD" w:rsidRDefault="00760BDC" w:rsidP="005D54AF">
            <w:pPr>
              <w:spacing w:after="0" w:line="240" w:lineRule="auto"/>
              <w:rPr>
                <w:rFonts w:asciiTheme="majorBidi" w:hAnsiTheme="majorBidi" w:cstheme="majorBidi"/>
                <w:color w:val="000000"/>
                <w:lang w:eastAsia="en-GB"/>
              </w:rPr>
            </w:pPr>
          </w:p>
        </w:tc>
        <w:tc>
          <w:tcPr>
            <w:tcW w:w="3826" w:type="dxa"/>
            <w:vMerge/>
            <w:vAlign w:val="center"/>
          </w:tcPr>
          <w:p w14:paraId="57F3ADEB" w14:textId="359971F5" w:rsidR="00760BDC" w:rsidRPr="005244BD" w:rsidRDefault="00760BDC" w:rsidP="005D54AF">
            <w:pPr>
              <w:spacing w:after="0" w:line="240" w:lineRule="auto"/>
              <w:rPr>
                <w:rFonts w:asciiTheme="majorBidi" w:hAnsiTheme="majorBidi" w:cstheme="majorBidi"/>
                <w:color w:val="000000"/>
                <w:lang w:eastAsia="en-GB"/>
              </w:rPr>
            </w:pPr>
          </w:p>
        </w:tc>
      </w:tr>
      <w:tr w:rsidR="00760BDC" w:rsidRPr="005244BD" w14:paraId="5AA0673F" w14:textId="77777777" w:rsidTr="005D54AF">
        <w:trPr>
          <w:trHeight w:val="290"/>
        </w:trPr>
        <w:tc>
          <w:tcPr>
            <w:tcW w:w="846" w:type="dxa"/>
            <w:vMerge/>
            <w:vAlign w:val="center"/>
          </w:tcPr>
          <w:p w14:paraId="3394CC5D" w14:textId="77777777" w:rsidR="00760BDC" w:rsidRPr="005244BD" w:rsidRDefault="00760BDC" w:rsidP="005D54AF">
            <w:pPr>
              <w:spacing w:after="0" w:line="240" w:lineRule="auto"/>
            </w:pPr>
          </w:p>
        </w:tc>
        <w:tc>
          <w:tcPr>
            <w:tcW w:w="3827" w:type="dxa"/>
            <w:vMerge/>
            <w:vAlign w:val="center"/>
          </w:tcPr>
          <w:p w14:paraId="6E70C7F3" w14:textId="77777777" w:rsidR="00760BDC" w:rsidRPr="005244BD" w:rsidRDefault="00760BDC" w:rsidP="005D54AF">
            <w:pPr>
              <w:spacing w:after="0" w:line="240" w:lineRule="auto"/>
              <w:rPr>
                <w:rFonts w:asciiTheme="majorBidi" w:hAnsiTheme="majorBidi" w:cstheme="majorBidi"/>
                <w:color w:val="000000"/>
                <w:lang w:eastAsia="en-GB"/>
              </w:rPr>
            </w:pPr>
          </w:p>
        </w:tc>
        <w:tc>
          <w:tcPr>
            <w:tcW w:w="851" w:type="dxa"/>
            <w:vAlign w:val="center"/>
          </w:tcPr>
          <w:p w14:paraId="77B3B002" w14:textId="0E278147" w:rsidR="00760BDC" w:rsidRPr="005244BD" w:rsidRDefault="007E5EE0" w:rsidP="005D54AF">
            <w:pPr>
              <w:spacing w:after="0" w:line="240" w:lineRule="auto"/>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N</m:t>
                    </m:r>
                  </m:e>
                  <m:sub>
                    <m:r>
                      <m:rPr>
                        <m:sty m:val="p"/>
                      </m:rPr>
                      <w:rPr>
                        <w:rFonts w:ascii="Cambria Math" w:eastAsiaTheme="minorEastAsia" w:hAnsi="Cambria Math" w:cs="Times New Roman"/>
                      </w:rPr>
                      <m:t>colony</m:t>
                    </m:r>
                    <m:r>
                      <w:rPr>
                        <w:rFonts w:ascii="Cambria Math" w:eastAsiaTheme="minorEastAsia" w:hAnsi="Cambria Math" w:cs="Times New Roman"/>
                      </w:rPr>
                      <m:t>,i</m:t>
                    </m:r>
                  </m:sub>
                  <m:sup>
                    <m:r>
                      <w:rPr>
                        <w:rFonts w:ascii="Cambria Math" w:eastAsiaTheme="minorEastAsia" w:hAnsi="Cambria Math" w:cs="Times New Roman"/>
                      </w:rPr>
                      <m:t>t</m:t>
                    </m:r>
                  </m:sup>
                </m:sSubSup>
              </m:oMath>
            </m:oMathPara>
          </w:p>
        </w:tc>
        <w:tc>
          <w:tcPr>
            <w:tcW w:w="3826" w:type="dxa"/>
            <w:vAlign w:val="center"/>
          </w:tcPr>
          <w:p w14:paraId="43742AF2" w14:textId="1C974C79" w:rsidR="00760BDC" w:rsidRPr="005244BD" w:rsidRDefault="00760BDC" w:rsidP="005D54AF">
            <w:pPr>
              <w:spacing w:after="0" w:line="240" w:lineRule="auto"/>
              <w:rPr>
                <w:rFonts w:asciiTheme="majorBidi" w:hAnsiTheme="majorBidi" w:cstheme="majorBidi"/>
                <w:color w:val="000000"/>
                <w:lang w:eastAsia="en-GB"/>
              </w:rPr>
            </w:pPr>
            <w:r w:rsidRPr="005244BD">
              <w:rPr>
                <w:rFonts w:ascii="Times New Roman" w:eastAsiaTheme="minorEastAsia" w:hAnsi="Times New Roman" w:cs="Times New Roman"/>
              </w:rPr>
              <w:t xml:space="preserve">number of micro-colonies </w:t>
            </w:r>
            <w:r w:rsidRPr="005244BD">
              <w:rPr>
                <w:rFonts w:ascii="Times New Roman" w:eastAsiaTheme="minorEastAsia" w:hAnsi="Times New Roman"/>
              </w:rPr>
              <w:t>in</w:t>
            </w:r>
            <w:r w:rsidRPr="005244BD">
              <w:rPr>
                <w:rFonts w:ascii="Times New Roman" w:eastAsiaTheme="minorEastAsia" w:hAnsi="Times New Roman" w:cs="Times New Roman"/>
              </w:rPr>
              <w:t xml:space="preserve"> pore </w:t>
            </w:r>
            <m:oMath>
              <m:r>
                <w:rPr>
                  <w:rFonts w:ascii="Cambria Math" w:eastAsiaTheme="minorEastAsia" w:hAnsi="Cambria Math" w:cstheme="majorBidi"/>
                </w:rPr>
                <m:t>i</m:t>
              </m:r>
            </m:oMath>
            <w:r w:rsidRPr="005244BD">
              <w:rPr>
                <w:rFonts w:asciiTheme="majorBidi" w:eastAsiaTheme="minorEastAsia" w:hAnsiTheme="majorBidi" w:cstheme="majorBidi"/>
                <w:vertAlign w:val="superscript"/>
              </w:rPr>
              <w:t>th</w:t>
            </w:r>
          </w:p>
        </w:tc>
      </w:tr>
      <w:tr w:rsidR="00760BDC" w:rsidRPr="005244BD" w14:paraId="4DC44E32" w14:textId="77777777" w:rsidTr="005D54AF">
        <w:trPr>
          <w:trHeight w:val="199"/>
        </w:trPr>
        <w:tc>
          <w:tcPr>
            <w:tcW w:w="846" w:type="dxa"/>
            <w:vMerge w:val="restart"/>
            <w:vAlign w:val="center"/>
          </w:tcPr>
          <w:p w14:paraId="25FA6CD8" w14:textId="77777777" w:rsidR="00760BDC" w:rsidRPr="005244BD" w:rsidRDefault="007E5EE0" w:rsidP="005D54AF">
            <w:pPr>
              <w:spacing w:after="0" w:line="240" w:lineRule="auto"/>
              <w:rPr>
                <w:rFonts w:asciiTheme="majorBidi" w:hAnsiTheme="majorBidi" w:cstheme="majorBidi"/>
                <w:color w:val="000000"/>
                <w:lang w:eastAsia="en-GB"/>
              </w:rPr>
            </w:pPr>
            <m:oMath>
              <m:sSubSup>
                <m:sSubSupPr>
                  <m:ctrlPr>
                    <w:rPr>
                      <w:rFonts w:ascii="Cambria Math" w:eastAsia="Times New Roman" w:hAnsi="Cambria Math" w:cstheme="majorBidi"/>
                      <w:color w:val="000000"/>
                      <w:lang w:eastAsia="en-GB"/>
                    </w:rPr>
                  </m:ctrlPr>
                </m:sSubSupPr>
                <m:e>
                  <m:r>
                    <m:rPr>
                      <m:sty m:val="p"/>
                    </m:rPr>
                    <w:rPr>
                      <w:rFonts w:ascii="Cambria Math" w:hAnsi="Cambria Math" w:cstheme="majorBidi"/>
                      <w:color w:val="000000"/>
                      <w:lang w:eastAsia="en-GB"/>
                    </w:rPr>
                    <m:t>C</m:t>
                  </m:r>
                </m:e>
                <m:sub>
                  <m:r>
                    <w:rPr>
                      <w:rFonts w:ascii="Cambria Math" w:hAnsi="Cambria Math" w:cstheme="majorBidi"/>
                      <w:color w:val="000000"/>
                      <w:lang w:eastAsia="en-GB"/>
                    </w:rPr>
                    <m:t>i</m:t>
                  </m:r>
                </m:sub>
                <m:sup>
                  <m:r>
                    <w:rPr>
                      <w:rFonts w:ascii="Cambria Math" w:hAnsi="Cambria Math" w:cstheme="majorBidi"/>
                      <w:color w:val="000000"/>
                      <w:lang w:eastAsia="en-GB"/>
                    </w:rPr>
                    <m:t>t</m:t>
                  </m:r>
                </m:sup>
              </m:sSubSup>
            </m:oMath>
            <w:r w:rsidR="00760BDC" w:rsidRPr="005244BD">
              <w:rPr>
                <w:rFonts w:asciiTheme="majorBidi" w:hAnsiTheme="majorBidi" w:cstheme="majorBidi"/>
                <w:color w:val="000000"/>
                <w:lang w:eastAsia="en-GB"/>
              </w:rPr>
              <w:t xml:space="preserve"> </w:t>
            </w:r>
          </w:p>
        </w:tc>
        <w:tc>
          <w:tcPr>
            <w:tcW w:w="3827" w:type="dxa"/>
            <w:vMerge w:val="restart"/>
            <w:vAlign w:val="center"/>
          </w:tcPr>
          <w:p w14:paraId="132E5896" w14:textId="4DAF5C24"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 xml:space="preserve">NAPL concentration in pore </w:t>
            </w:r>
            <m:oMath>
              <m:r>
                <w:rPr>
                  <w:rFonts w:ascii="Cambria Math" w:eastAsiaTheme="minorEastAsia" w:hAnsi="Cambria Math" w:cstheme="majorBidi"/>
                </w:rPr>
                <m:t>i</m:t>
              </m:r>
            </m:oMath>
            <w:r w:rsidRPr="005244BD">
              <w:rPr>
                <w:rFonts w:asciiTheme="majorBidi" w:eastAsiaTheme="minorEastAsia" w:hAnsiTheme="majorBidi" w:cstheme="majorBidi"/>
                <w:vertAlign w:val="superscript"/>
              </w:rPr>
              <w:t>th</w:t>
            </w:r>
            <w:r w:rsidRPr="005244BD">
              <w:rPr>
                <w:rFonts w:asciiTheme="majorBidi" w:hAnsiTheme="majorBidi" w:cstheme="majorBidi"/>
                <w:color w:val="000000"/>
                <w:lang w:eastAsia="en-GB"/>
              </w:rPr>
              <w:t xml:space="preserve"> at time </w:t>
            </w:r>
            <w:r w:rsidRPr="005244BD">
              <w:rPr>
                <w:rFonts w:asciiTheme="majorBidi" w:hAnsiTheme="majorBidi" w:cstheme="majorBidi"/>
                <w:i/>
                <w:iCs/>
                <w:color w:val="000000"/>
                <w:lang w:eastAsia="en-GB"/>
              </w:rPr>
              <w:t>t</w:t>
            </w:r>
            <w:r w:rsidRPr="005244BD">
              <w:rPr>
                <w:rFonts w:asciiTheme="majorBidi" w:hAnsiTheme="majorBidi" w:cstheme="majorBidi"/>
                <w:color w:val="000000"/>
                <w:lang w:eastAsia="en-GB"/>
              </w:rPr>
              <w:t xml:space="preserve"> (ML</w:t>
            </w:r>
            <w:r w:rsidRPr="005244BD">
              <w:rPr>
                <w:rFonts w:asciiTheme="majorBidi" w:hAnsiTheme="majorBidi" w:cstheme="majorBidi"/>
                <w:color w:val="000000"/>
                <w:vertAlign w:val="superscript"/>
                <w:lang w:eastAsia="en-GB"/>
              </w:rPr>
              <w:t>-3</w:t>
            </w:r>
            <w:r w:rsidRPr="005244BD">
              <w:rPr>
                <w:rFonts w:asciiTheme="majorBidi" w:hAnsiTheme="majorBidi" w:cstheme="majorBidi"/>
                <w:color w:val="000000"/>
                <w:lang w:eastAsia="en-GB"/>
              </w:rPr>
              <w:t>)</w:t>
            </w:r>
          </w:p>
        </w:tc>
        <w:tc>
          <w:tcPr>
            <w:tcW w:w="851" w:type="dxa"/>
            <w:vAlign w:val="center"/>
          </w:tcPr>
          <w:p w14:paraId="74093C38" w14:textId="0C364C98" w:rsidR="00760BDC" w:rsidRPr="005244BD" w:rsidRDefault="00760BDC" w:rsidP="005D54AF">
            <w:pPr>
              <w:spacing w:after="0" w:line="240" w:lineRule="auto"/>
              <w:jc w:val="both"/>
              <w:rPr>
                <w:color w:val="000000"/>
                <w:lang w:eastAsia="en-GB"/>
              </w:rPr>
            </w:pPr>
            <m:oMath>
              <m:r>
                <w:rPr>
                  <w:rFonts w:ascii="Cambria Math" w:hAnsi="Cambria Math" w:cstheme="majorBidi"/>
                  <w:color w:val="000000"/>
                  <w:lang w:eastAsia="en-GB"/>
                </w:rPr>
                <m:t>P</m:t>
              </m:r>
            </m:oMath>
            <w:r w:rsidRPr="005244BD">
              <w:rPr>
                <w:rFonts w:asciiTheme="majorBidi" w:hAnsiTheme="majorBidi" w:cstheme="majorBidi"/>
                <w:color w:val="000000"/>
                <w:lang w:eastAsia="en-GB"/>
              </w:rPr>
              <w:t xml:space="preserve"> </w:t>
            </w:r>
          </w:p>
        </w:tc>
        <w:tc>
          <w:tcPr>
            <w:tcW w:w="3826" w:type="dxa"/>
            <w:vAlign w:val="center"/>
          </w:tcPr>
          <w:p w14:paraId="2158265C" w14:textId="18452864" w:rsidR="00760BDC" w:rsidRPr="005244BD" w:rsidRDefault="00760BDC" w:rsidP="005D54AF">
            <w:pPr>
              <w:spacing w:after="0" w:line="240" w:lineRule="auto"/>
              <w:rPr>
                <w:rFonts w:asciiTheme="majorBidi" w:hAnsiTheme="majorBidi" w:cstheme="majorBidi"/>
                <w:color w:val="000000"/>
                <w:lang w:eastAsia="en-GB"/>
              </w:rPr>
            </w:pPr>
            <w:r w:rsidRPr="005244BD">
              <w:rPr>
                <w:rFonts w:ascii="Times New Roman" w:eastAsiaTheme="minorEastAsia" w:hAnsi="Times New Roman" w:cs="Times New Roman"/>
              </w:rPr>
              <w:t>pressure (</w:t>
            </w:r>
            <w:r w:rsidRPr="005244BD">
              <w:rPr>
                <w:rFonts w:ascii="Times New Roman" w:eastAsiaTheme="minorEastAsia" w:hAnsi="Times New Roman"/>
              </w:rPr>
              <w:t>M</w:t>
            </w:r>
            <w:r w:rsidRPr="005244BD">
              <w:rPr>
                <w:rFonts w:ascii="Times New Roman" w:eastAsiaTheme="minorEastAsia" w:hAnsi="Times New Roman" w:cs="Times New Roman"/>
              </w:rPr>
              <w:t>L</w:t>
            </w:r>
            <w:r w:rsidRPr="005244BD">
              <w:rPr>
                <w:rFonts w:ascii="Times New Roman" w:eastAsiaTheme="minorEastAsia" w:hAnsi="Times New Roman" w:cs="Times New Roman"/>
                <w:vertAlign w:val="superscript"/>
              </w:rPr>
              <w:t>-1</w:t>
            </w:r>
            <w:r w:rsidRPr="005244BD">
              <w:rPr>
                <w:rFonts w:ascii="Times New Roman" w:eastAsiaTheme="minorEastAsia" w:hAnsi="Times New Roman" w:cs="Times New Roman"/>
              </w:rPr>
              <w:t>T</w:t>
            </w:r>
            <w:r w:rsidRPr="005244BD">
              <w:rPr>
                <w:rFonts w:ascii="Times New Roman" w:eastAsiaTheme="minorEastAsia" w:hAnsi="Times New Roman" w:cs="Times New Roman"/>
                <w:vertAlign w:val="superscript"/>
              </w:rPr>
              <w:t>-2</w:t>
            </w:r>
            <w:r w:rsidRPr="005244BD">
              <w:rPr>
                <w:rFonts w:ascii="Times New Roman" w:eastAsiaTheme="minorEastAsia" w:hAnsi="Times New Roman" w:cs="Times New Roman"/>
              </w:rPr>
              <w:t>)</w:t>
            </w:r>
          </w:p>
        </w:tc>
      </w:tr>
      <w:tr w:rsidR="00760BDC" w:rsidRPr="005244BD" w14:paraId="44493D15" w14:textId="77777777" w:rsidTr="005D54AF">
        <w:trPr>
          <w:trHeight w:val="199"/>
        </w:trPr>
        <w:tc>
          <w:tcPr>
            <w:tcW w:w="846" w:type="dxa"/>
            <w:vMerge/>
            <w:vAlign w:val="center"/>
          </w:tcPr>
          <w:p w14:paraId="1977ACB6" w14:textId="77777777" w:rsidR="00760BDC" w:rsidRPr="005244BD" w:rsidRDefault="00760BDC" w:rsidP="005D54AF">
            <w:pPr>
              <w:spacing w:after="0" w:line="240" w:lineRule="auto"/>
              <w:rPr>
                <w:color w:val="000000"/>
                <w:lang w:eastAsia="en-GB"/>
              </w:rPr>
            </w:pPr>
          </w:p>
        </w:tc>
        <w:tc>
          <w:tcPr>
            <w:tcW w:w="3827" w:type="dxa"/>
            <w:vMerge/>
            <w:vAlign w:val="center"/>
          </w:tcPr>
          <w:p w14:paraId="1F298375" w14:textId="77777777" w:rsidR="00760BDC" w:rsidRPr="005244BD" w:rsidRDefault="00760BDC" w:rsidP="005D54AF">
            <w:pPr>
              <w:spacing w:after="0" w:line="240" w:lineRule="auto"/>
              <w:rPr>
                <w:rFonts w:asciiTheme="majorBidi" w:hAnsiTheme="majorBidi" w:cstheme="majorBidi"/>
                <w:color w:val="000000"/>
                <w:lang w:eastAsia="en-GB"/>
              </w:rPr>
            </w:pPr>
          </w:p>
        </w:tc>
        <w:tc>
          <w:tcPr>
            <w:tcW w:w="851" w:type="dxa"/>
            <w:vAlign w:val="center"/>
          </w:tcPr>
          <w:p w14:paraId="16A4E1F8" w14:textId="75EFA91E" w:rsidR="00760BDC" w:rsidRPr="005244BD" w:rsidRDefault="00760BDC" w:rsidP="005D54AF">
            <w:pPr>
              <w:spacing w:after="0" w:line="240" w:lineRule="auto"/>
              <w:jc w:val="both"/>
              <w:rPr>
                <w:color w:val="000000"/>
                <w:lang w:eastAsia="en-GB"/>
              </w:rPr>
            </w:pPr>
            <m:oMathPara>
              <m:oMathParaPr>
                <m:jc m:val="left"/>
              </m:oMathParaPr>
              <m:oMath>
                <m:r>
                  <w:rPr>
                    <w:rFonts w:ascii="Cambria Math" w:hAnsi="Cambria Math" w:cstheme="majorBidi"/>
                    <w:color w:val="000000"/>
                    <w:lang w:eastAsia="en-GB"/>
                  </w:rPr>
                  <m:t>PVI</m:t>
                </m:r>
              </m:oMath>
            </m:oMathPara>
          </w:p>
        </w:tc>
        <w:tc>
          <w:tcPr>
            <w:tcW w:w="3826" w:type="dxa"/>
            <w:vAlign w:val="center"/>
          </w:tcPr>
          <w:p w14:paraId="4E7D9EFD" w14:textId="7CD6CCB4"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pore volume injected</w:t>
            </w:r>
          </w:p>
        </w:tc>
      </w:tr>
      <w:tr w:rsidR="00760BDC" w:rsidRPr="005244BD" w14:paraId="2C1CC96D" w14:textId="77777777" w:rsidTr="005D54AF">
        <w:trPr>
          <w:trHeight w:val="561"/>
        </w:trPr>
        <w:tc>
          <w:tcPr>
            <w:tcW w:w="846" w:type="dxa"/>
            <w:vMerge w:val="restart"/>
            <w:vAlign w:val="center"/>
          </w:tcPr>
          <w:p w14:paraId="610D6494" w14:textId="26968754" w:rsidR="00760BDC" w:rsidRPr="005244BD" w:rsidRDefault="007E5EE0" w:rsidP="005D54AF">
            <w:pPr>
              <w:spacing w:after="0" w:line="240" w:lineRule="auto"/>
              <w:rPr>
                <w:color w:val="000000"/>
                <w:lang w:eastAsia="en-GB"/>
              </w:rPr>
            </w:pPr>
            <m:oMathPara>
              <m:oMathParaPr>
                <m:jc m:val="left"/>
              </m:oMathParaPr>
              <m:oMath>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ij</m:t>
                    </m:r>
                  </m:sub>
                  <m:sup>
                    <m:r>
                      <w:rPr>
                        <w:rFonts w:ascii="Cambria Math" w:eastAsiaTheme="minorEastAsia" w:hAnsi="Cambria Math" w:cstheme="majorBidi"/>
                        <w:szCs w:val="18"/>
                      </w:rPr>
                      <m:t>*t</m:t>
                    </m:r>
                  </m:sup>
                </m:sSubSup>
              </m:oMath>
            </m:oMathPara>
          </w:p>
        </w:tc>
        <w:tc>
          <w:tcPr>
            <w:tcW w:w="3827" w:type="dxa"/>
            <w:vMerge w:val="restart"/>
            <w:vAlign w:val="center"/>
          </w:tcPr>
          <w:p w14:paraId="59D86BCA" w14:textId="7867C043" w:rsidR="00760BDC" w:rsidRPr="005244BD" w:rsidRDefault="00760BDC" w:rsidP="007621D2">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 xml:space="preserve">concentration of pore </w:t>
            </w:r>
            <m:oMath>
              <m:r>
                <w:rPr>
                  <w:rFonts w:ascii="Cambria Math" w:hAnsi="Cambria Math" w:cstheme="majorBidi"/>
                  <w:color w:val="000000"/>
                  <w:lang w:eastAsia="en-GB"/>
                </w:rPr>
                <m:t>j</m:t>
              </m:r>
            </m:oMath>
            <w:r w:rsidRPr="005244BD">
              <w:rPr>
                <w:rFonts w:asciiTheme="majorBidi" w:hAnsiTheme="majorBidi" w:cstheme="majorBidi"/>
                <w:color w:val="000000"/>
                <w:vertAlign w:val="superscript"/>
                <w:lang w:eastAsia="en-GB"/>
              </w:rPr>
              <w:t>th</w:t>
            </w:r>
            <w:r w:rsidRPr="005244BD">
              <w:rPr>
                <w:rFonts w:asciiTheme="majorBidi" w:hAnsiTheme="majorBidi" w:cstheme="majorBidi"/>
                <w:color w:val="000000"/>
                <w:lang w:eastAsia="en-GB"/>
              </w:rPr>
              <w:t xml:space="preserve"> connected to pore </w:t>
            </w:r>
            <m:oMath>
              <m:r>
                <w:rPr>
                  <w:rFonts w:ascii="Cambria Math" w:hAnsi="Cambria Math" w:cstheme="majorBidi"/>
                  <w:color w:val="000000"/>
                  <w:lang w:eastAsia="en-GB"/>
                </w:rPr>
                <m:t>i</m:t>
              </m:r>
            </m:oMath>
            <w:r w:rsidRPr="005244BD">
              <w:rPr>
                <w:rFonts w:asciiTheme="majorBidi" w:hAnsiTheme="majorBidi" w:cstheme="majorBidi"/>
                <w:color w:val="000000"/>
                <w:vertAlign w:val="superscript"/>
                <w:lang w:eastAsia="en-GB"/>
              </w:rPr>
              <w:t>th</w:t>
            </w:r>
            <w:r w:rsidRPr="005244BD">
              <w:rPr>
                <w:rFonts w:asciiTheme="majorBidi" w:hAnsiTheme="majorBidi" w:cstheme="majorBidi"/>
                <w:color w:val="000000"/>
                <w:lang w:eastAsia="en-GB"/>
              </w:rPr>
              <w:t xml:space="preserve"> if the flow direction is from pore </w:t>
            </w:r>
            <m:oMath>
              <m:r>
                <w:rPr>
                  <w:rFonts w:ascii="Cambria Math" w:hAnsi="Cambria Math" w:cstheme="majorBidi"/>
                  <w:color w:val="000000"/>
                  <w:lang w:eastAsia="en-GB"/>
                </w:rPr>
                <m:t>j</m:t>
              </m:r>
            </m:oMath>
            <w:r w:rsidRPr="005244BD">
              <w:rPr>
                <w:rFonts w:asciiTheme="majorBidi" w:hAnsiTheme="majorBidi" w:cstheme="majorBidi"/>
                <w:color w:val="000000"/>
                <w:vertAlign w:val="superscript"/>
                <w:lang w:eastAsia="en-GB"/>
              </w:rPr>
              <w:t>th</w:t>
            </w:r>
            <w:r w:rsidRPr="005244BD">
              <w:rPr>
                <w:rFonts w:asciiTheme="majorBidi" w:hAnsiTheme="majorBidi" w:cstheme="majorBidi"/>
                <w:color w:val="000000"/>
                <w:lang w:eastAsia="en-GB"/>
              </w:rPr>
              <w:t xml:space="preserve"> to </w:t>
            </w:r>
            <m:oMath>
              <m:r>
                <w:rPr>
                  <w:rFonts w:ascii="Cambria Math" w:hAnsi="Cambria Math" w:cstheme="majorBidi"/>
                  <w:color w:val="000000"/>
                  <w:lang w:eastAsia="en-GB"/>
                </w:rPr>
                <m:t>i</m:t>
              </m:r>
            </m:oMath>
            <w:r w:rsidRPr="005244BD">
              <w:rPr>
                <w:rFonts w:asciiTheme="majorBidi" w:hAnsiTheme="majorBidi" w:cstheme="majorBidi"/>
                <w:color w:val="000000"/>
                <w:vertAlign w:val="superscript"/>
                <w:lang w:eastAsia="en-GB"/>
              </w:rPr>
              <w:t>th</w:t>
            </w:r>
            <w:r w:rsidRPr="005244BD">
              <w:rPr>
                <w:rFonts w:asciiTheme="majorBidi" w:hAnsiTheme="majorBidi" w:cstheme="majorBidi"/>
                <w:color w:val="000000"/>
                <w:lang w:eastAsia="en-GB"/>
              </w:rPr>
              <w:t xml:space="preserve">; and the concentration of pore </w:t>
            </w:r>
            <m:oMath>
              <m:r>
                <w:rPr>
                  <w:rFonts w:ascii="Cambria Math" w:hAnsi="Cambria Math" w:cstheme="majorBidi"/>
                  <w:color w:val="000000"/>
                  <w:lang w:eastAsia="en-GB"/>
                </w:rPr>
                <m:t>i</m:t>
              </m:r>
            </m:oMath>
            <w:r w:rsidRPr="005244BD">
              <w:rPr>
                <w:rFonts w:asciiTheme="majorBidi" w:hAnsiTheme="majorBidi" w:cstheme="majorBidi"/>
                <w:color w:val="000000"/>
                <w:vertAlign w:val="superscript"/>
                <w:lang w:eastAsia="en-GB"/>
              </w:rPr>
              <w:t>th</w:t>
            </w:r>
            <w:r w:rsidRPr="005244BD">
              <w:rPr>
                <w:rFonts w:asciiTheme="majorBidi" w:hAnsiTheme="majorBidi" w:cstheme="majorBidi"/>
                <w:color w:val="000000"/>
                <w:lang w:eastAsia="en-GB"/>
              </w:rPr>
              <w:t xml:space="preserve"> if the direction is from pore </w:t>
            </w:r>
            <m:oMath>
              <m:r>
                <w:rPr>
                  <w:rFonts w:ascii="Cambria Math" w:hAnsi="Cambria Math" w:cstheme="majorBidi"/>
                  <w:color w:val="000000"/>
                  <w:lang w:eastAsia="en-GB"/>
                </w:rPr>
                <m:t>i</m:t>
              </m:r>
            </m:oMath>
            <w:r w:rsidRPr="005244BD">
              <w:rPr>
                <w:rFonts w:asciiTheme="majorBidi" w:hAnsiTheme="majorBidi" w:cstheme="majorBidi"/>
                <w:color w:val="000000"/>
                <w:vertAlign w:val="superscript"/>
                <w:lang w:eastAsia="en-GB"/>
              </w:rPr>
              <w:t>th</w:t>
            </w:r>
            <w:r w:rsidRPr="005244BD">
              <w:rPr>
                <w:rFonts w:asciiTheme="majorBidi" w:hAnsiTheme="majorBidi" w:cstheme="majorBidi"/>
                <w:color w:val="000000"/>
                <w:lang w:eastAsia="en-GB"/>
              </w:rPr>
              <w:t xml:space="preserve"> to </w:t>
            </w:r>
            <m:oMath>
              <m:r>
                <w:rPr>
                  <w:rFonts w:ascii="Cambria Math" w:hAnsi="Cambria Math" w:cstheme="majorBidi"/>
                  <w:color w:val="000000"/>
                  <w:lang w:eastAsia="en-GB"/>
                </w:rPr>
                <m:t>j</m:t>
              </m:r>
            </m:oMath>
            <w:r w:rsidRPr="005244BD">
              <w:rPr>
                <w:rFonts w:asciiTheme="majorBidi" w:hAnsiTheme="majorBidi" w:cstheme="majorBidi"/>
                <w:color w:val="000000"/>
                <w:vertAlign w:val="superscript"/>
                <w:lang w:eastAsia="en-GB"/>
              </w:rPr>
              <w:t>th</w:t>
            </w:r>
          </w:p>
        </w:tc>
        <w:tc>
          <w:tcPr>
            <w:tcW w:w="851" w:type="dxa"/>
            <w:vAlign w:val="center"/>
          </w:tcPr>
          <w:p w14:paraId="5EABFF0B" w14:textId="72047B5F" w:rsidR="00760BDC" w:rsidRPr="005244BD" w:rsidRDefault="007E5EE0" w:rsidP="005D54AF">
            <w:pPr>
              <w:spacing w:after="0" w:line="240" w:lineRule="auto"/>
              <w:rPr>
                <w:rFonts w:ascii="Times New Roman" w:hAnsi="Times New Roman" w:cs="Times New Roman"/>
                <w:color w:val="000000"/>
                <w:lang w:eastAsia="en-GB"/>
              </w:rPr>
            </w:pPr>
            <m:oMath>
              <m:sSub>
                <m:sSubPr>
                  <m:ctrlPr>
                    <w:rPr>
                      <w:rFonts w:ascii="Cambria Math" w:hAnsi="Cambria Math" w:cstheme="majorBidi"/>
                      <w:color w:val="000000"/>
                      <w:lang w:eastAsia="en-GB"/>
                    </w:rPr>
                  </m:ctrlPr>
                </m:sSubPr>
                <m:e>
                  <m:r>
                    <w:rPr>
                      <w:rFonts w:ascii="Cambria Math" w:hAnsi="Cambria Math" w:cstheme="majorBidi"/>
                      <w:color w:val="000000"/>
                      <w:lang w:eastAsia="en-GB"/>
                    </w:rPr>
                    <m:t>Q</m:t>
                  </m:r>
                </m:e>
                <m:sub>
                  <m:r>
                    <w:rPr>
                      <w:rFonts w:ascii="Cambria Math" w:hAnsi="Cambria Math" w:cstheme="majorBidi"/>
                      <w:color w:val="000000"/>
                      <w:lang w:eastAsia="en-GB"/>
                    </w:rPr>
                    <m:t>ij</m:t>
                  </m:r>
                </m:sub>
              </m:sSub>
            </m:oMath>
            <w:r w:rsidR="00760BDC" w:rsidRPr="005244BD">
              <w:rPr>
                <w:rFonts w:asciiTheme="majorBidi" w:hAnsiTheme="majorBidi" w:cstheme="majorBidi"/>
                <w:color w:val="000000"/>
                <w:lang w:eastAsia="en-GB"/>
              </w:rPr>
              <w:t xml:space="preserve">  </w:t>
            </w:r>
          </w:p>
        </w:tc>
        <w:tc>
          <w:tcPr>
            <w:tcW w:w="3826" w:type="dxa"/>
            <w:vAlign w:val="center"/>
          </w:tcPr>
          <w:p w14:paraId="076440F6" w14:textId="30FDDE27"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eastAsiaTheme="minorEastAsia" w:hAnsiTheme="majorBidi" w:cstheme="majorBidi"/>
                <w:iCs/>
              </w:rPr>
              <w:t xml:space="preserve">aqueous flow rate between pore </w:t>
            </w:r>
            <m:oMath>
              <m:r>
                <w:rPr>
                  <w:rFonts w:ascii="Cambria Math" w:eastAsiaTheme="minorEastAsia" w:hAnsi="Cambria Math" w:cstheme="majorBidi"/>
                </w:rPr>
                <m:t>i</m:t>
              </m:r>
            </m:oMath>
            <w:r w:rsidRPr="005244BD">
              <w:rPr>
                <w:rFonts w:asciiTheme="majorBidi" w:eastAsiaTheme="minorEastAsia" w:hAnsiTheme="majorBidi" w:cstheme="majorBidi"/>
                <w:vertAlign w:val="superscript"/>
              </w:rPr>
              <w:t>th</w:t>
            </w:r>
            <w:r w:rsidRPr="005244BD">
              <w:rPr>
                <w:rFonts w:asciiTheme="majorBidi" w:eastAsiaTheme="minorEastAsia" w:hAnsiTheme="majorBidi" w:cstheme="majorBidi"/>
                <w:iCs/>
              </w:rPr>
              <w:t xml:space="preserve"> and </w:t>
            </w:r>
            <m:oMath>
              <m:r>
                <w:rPr>
                  <w:rFonts w:ascii="Cambria Math" w:eastAsiaTheme="minorEastAsia" w:hAnsi="Cambria Math" w:cstheme="majorBidi"/>
                </w:rPr>
                <m:t>j</m:t>
              </m:r>
            </m:oMath>
            <w:r w:rsidRPr="005244BD">
              <w:rPr>
                <w:rFonts w:asciiTheme="majorBidi" w:eastAsiaTheme="minorEastAsia" w:hAnsiTheme="majorBidi" w:cstheme="majorBidi"/>
                <w:vertAlign w:val="superscript"/>
              </w:rPr>
              <w:t>th</w:t>
            </w:r>
            <w:r w:rsidRPr="005244BD">
              <w:rPr>
                <w:rFonts w:asciiTheme="majorBidi" w:eastAsiaTheme="minorEastAsia" w:hAnsiTheme="majorBidi" w:cstheme="majorBidi"/>
              </w:rPr>
              <w:t xml:space="preserve"> (L</w:t>
            </w:r>
            <w:r w:rsidRPr="005244BD">
              <w:rPr>
                <w:rFonts w:asciiTheme="majorBidi" w:eastAsiaTheme="minorEastAsia" w:hAnsiTheme="majorBidi" w:cstheme="majorBidi"/>
                <w:vertAlign w:val="superscript"/>
              </w:rPr>
              <w:t>3</w:t>
            </w:r>
            <w:r w:rsidRPr="005244BD">
              <w:rPr>
                <w:rFonts w:asciiTheme="majorBidi" w:eastAsiaTheme="minorEastAsia" w:hAnsiTheme="majorBidi" w:cstheme="majorBidi"/>
              </w:rPr>
              <w:t>T</w:t>
            </w:r>
            <w:r w:rsidRPr="005244BD">
              <w:rPr>
                <w:rFonts w:asciiTheme="majorBidi" w:eastAsiaTheme="minorEastAsia" w:hAnsiTheme="majorBidi" w:cstheme="majorBidi"/>
                <w:vertAlign w:val="superscript"/>
              </w:rPr>
              <w:t>-1</w:t>
            </w:r>
            <w:r w:rsidRPr="005244BD">
              <w:rPr>
                <w:rFonts w:asciiTheme="majorBidi" w:eastAsiaTheme="minorEastAsia" w:hAnsiTheme="majorBidi" w:cstheme="majorBidi"/>
              </w:rPr>
              <w:t>)</w:t>
            </w:r>
          </w:p>
        </w:tc>
      </w:tr>
      <w:tr w:rsidR="00760BDC" w:rsidRPr="005244BD" w14:paraId="5B484F6C" w14:textId="77777777" w:rsidTr="005D54AF">
        <w:trPr>
          <w:trHeight w:val="873"/>
        </w:trPr>
        <w:tc>
          <w:tcPr>
            <w:tcW w:w="846" w:type="dxa"/>
            <w:vMerge/>
            <w:vAlign w:val="center"/>
          </w:tcPr>
          <w:p w14:paraId="62A28FD8" w14:textId="77777777" w:rsidR="00760BDC" w:rsidRPr="005244BD" w:rsidRDefault="00760BDC" w:rsidP="005D54AF">
            <w:pPr>
              <w:spacing w:after="0" w:line="240" w:lineRule="auto"/>
              <w:rPr>
                <w:iCs/>
                <w:szCs w:val="18"/>
              </w:rPr>
            </w:pPr>
          </w:p>
        </w:tc>
        <w:tc>
          <w:tcPr>
            <w:tcW w:w="3827" w:type="dxa"/>
            <w:vMerge/>
            <w:vAlign w:val="center"/>
          </w:tcPr>
          <w:p w14:paraId="11753859" w14:textId="77777777" w:rsidR="00760BDC" w:rsidRPr="005244BD" w:rsidRDefault="00760BDC" w:rsidP="005D54AF">
            <w:pPr>
              <w:spacing w:after="0" w:line="240" w:lineRule="auto"/>
              <w:rPr>
                <w:rFonts w:asciiTheme="majorBidi" w:hAnsiTheme="majorBidi" w:cstheme="majorBidi"/>
                <w:color w:val="000000"/>
                <w:lang w:eastAsia="en-GB"/>
              </w:rPr>
            </w:pPr>
          </w:p>
        </w:tc>
        <w:tc>
          <w:tcPr>
            <w:tcW w:w="851" w:type="dxa"/>
            <w:vAlign w:val="center"/>
          </w:tcPr>
          <w:p w14:paraId="58FF70DE" w14:textId="68441894" w:rsidR="00760BDC" w:rsidRPr="005244BD" w:rsidRDefault="007E5EE0" w:rsidP="005D54AF">
            <w:pPr>
              <w:spacing w:after="0" w:line="240" w:lineRule="auto"/>
              <w:rPr>
                <w:rFonts w:ascii="Times New Roman" w:hAnsi="Times New Roman" w:cs="Times New Roman"/>
                <w:color w:val="000000"/>
                <w:lang w:eastAsia="en-GB"/>
              </w:rPr>
            </w:pPr>
            <m:oMathPara>
              <m:oMathParaPr>
                <m:jc m:val="left"/>
              </m:oMathParaPr>
              <m:oMath>
                <m:sSub>
                  <m:sSubPr>
                    <m:ctrlPr>
                      <w:rPr>
                        <w:rFonts w:ascii="Cambria Math" w:eastAsiaTheme="minorEastAsia" w:hAnsi="Cambria Math" w:cstheme="majorBidi"/>
                        <w:i/>
                        <w:iCs/>
                      </w:rPr>
                    </m:ctrlPr>
                  </m:sSubPr>
                  <m:e>
                    <m:r>
                      <w:rPr>
                        <w:rFonts w:ascii="Cambria Math" w:eastAsiaTheme="minorEastAsia" w:hAnsi="Cambria Math" w:cstheme="majorBidi"/>
                      </w:rPr>
                      <m:t>R</m:t>
                    </m:r>
                  </m:e>
                  <m:sub>
                    <m:r>
                      <w:rPr>
                        <w:rFonts w:ascii="Cambria Math" w:eastAsiaTheme="minorEastAsia" w:hAnsi="Cambria Math" w:cstheme="majorBidi"/>
                      </w:rPr>
                      <m:t>A</m:t>
                    </m:r>
                  </m:sub>
                </m:sSub>
              </m:oMath>
            </m:oMathPara>
          </w:p>
        </w:tc>
        <w:tc>
          <w:tcPr>
            <w:tcW w:w="3826" w:type="dxa"/>
            <w:vAlign w:val="center"/>
          </w:tcPr>
          <w:p w14:paraId="5A99D9E0" w14:textId="691BE174" w:rsidR="00760BDC" w:rsidRPr="005244BD" w:rsidRDefault="007152C2" w:rsidP="005D54AF">
            <w:pPr>
              <w:spacing w:after="0" w:line="240" w:lineRule="auto"/>
              <w:rPr>
                <w:rFonts w:asciiTheme="majorBidi" w:hAnsiTheme="majorBidi" w:cstheme="majorBidi"/>
                <w:color w:val="000000"/>
                <w:lang w:eastAsia="en-GB"/>
              </w:rPr>
            </w:pPr>
            <w:r w:rsidRPr="005244BD">
              <w:rPr>
                <w:rFonts w:asciiTheme="majorBidi" w:eastAsiaTheme="minorEastAsia" w:hAnsiTheme="majorBidi" w:cstheme="majorBidi"/>
                <w:iCs/>
              </w:rPr>
              <w:t xml:space="preserve">specific growth rate, </w:t>
            </w:r>
            <w:r w:rsidR="00760BDC" w:rsidRPr="005244BD">
              <w:rPr>
                <w:rFonts w:asciiTheme="majorBidi" w:eastAsiaTheme="minorEastAsia" w:hAnsiTheme="majorBidi" w:cstheme="majorBidi"/>
                <w:iCs/>
              </w:rPr>
              <w:t>nonlinear Haldane kinetic reaction term for species A (T</w:t>
            </w:r>
            <w:r w:rsidR="00760BDC" w:rsidRPr="005244BD">
              <w:rPr>
                <w:rFonts w:asciiTheme="majorBidi" w:eastAsiaTheme="minorEastAsia" w:hAnsiTheme="majorBidi" w:cstheme="majorBidi"/>
                <w:iCs/>
                <w:vertAlign w:val="superscript"/>
              </w:rPr>
              <w:t>-1</w:t>
            </w:r>
            <w:r w:rsidR="00760BDC" w:rsidRPr="005244BD">
              <w:rPr>
                <w:rFonts w:asciiTheme="majorBidi" w:eastAsiaTheme="minorEastAsia" w:hAnsiTheme="majorBidi" w:cstheme="majorBidi"/>
                <w:iCs/>
              </w:rPr>
              <w:t>)</w:t>
            </w:r>
          </w:p>
        </w:tc>
      </w:tr>
      <w:tr w:rsidR="00760BDC" w:rsidRPr="005244BD" w14:paraId="148604A4" w14:textId="77777777" w:rsidTr="005D54AF">
        <w:trPr>
          <w:trHeight w:val="450"/>
        </w:trPr>
        <w:tc>
          <w:tcPr>
            <w:tcW w:w="846" w:type="dxa"/>
            <w:vMerge w:val="restart"/>
            <w:vAlign w:val="center"/>
          </w:tcPr>
          <w:p w14:paraId="1AAA262A" w14:textId="6D75680E" w:rsidR="00760BDC" w:rsidRPr="005244BD" w:rsidRDefault="00760BDC" w:rsidP="005D54AF">
            <w:pPr>
              <w:spacing w:after="0" w:line="240" w:lineRule="auto"/>
              <w:rPr>
                <w:color w:val="000000"/>
                <w:lang w:eastAsia="en-GB"/>
              </w:rPr>
            </w:pPr>
            <m:oMathPara>
              <m:oMathParaPr>
                <m:jc m:val="left"/>
              </m:oMathParaPr>
              <m:oMath>
                <m:r>
                  <m:rPr>
                    <m:sty m:val="p"/>
                  </m:rPr>
                  <w:rPr>
                    <w:rFonts w:ascii="Cambria Math" w:eastAsiaTheme="minorEastAsia" w:hAnsi="Cambria Math" w:cstheme="majorBidi"/>
                    <w:szCs w:val="18"/>
                  </w:rPr>
                  <m:t>∆</m:t>
                </m:r>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ij</m:t>
                    </m:r>
                  </m:sub>
                  <m:sup>
                    <m:r>
                      <w:rPr>
                        <w:rFonts w:ascii="Cambria Math" w:eastAsiaTheme="minorEastAsia" w:hAnsi="Cambria Math" w:cstheme="majorBidi"/>
                        <w:szCs w:val="18"/>
                      </w:rPr>
                      <m:t>t</m:t>
                    </m:r>
                  </m:sup>
                </m:sSubSup>
              </m:oMath>
            </m:oMathPara>
          </w:p>
        </w:tc>
        <w:tc>
          <w:tcPr>
            <w:tcW w:w="3827" w:type="dxa"/>
            <w:vMerge w:val="restart"/>
            <w:vAlign w:val="center"/>
          </w:tcPr>
          <w:p w14:paraId="0C86DC06" w14:textId="296B90A4" w:rsidR="00760BDC" w:rsidRPr="005244BD" w:rsidRDefault="007621D2" w:rsidP="005D54AF">
            <w:pPr>
              <w:spacing w:after="0" w:line="240" w:lineRule="auto"/>
              <w:rPr>
                <w:rFonts w:asciiTheme="majorBidi" w:hAnsiTheme="majorBidi" w:cstheme="majorBidi"/>
                <w:color w:val="000000"/>
                <w:lang w:eastAsia="en-GB"/>
              </w:rPr>
            </w:pPr>
            <w:r w:rsidRPr="005244BD">
              <w:rPr>
                <w:rFonts w:asciiTheme="majorBidi" w:eastAsiaTheme="minorEastAsia" w:hAnsiTheme="majorBidi" w:cstheme="majorBidi"/>
                <w:iCs/>
                <w:szCs w:val="18"/>
              </w:rPr>
              <w:t xml:space="preserve">concentration difference </w:t>
            </w:r>
            <w:r w:rsidR="00760BDC" w:rsidRPr="005244BD">
              <w:rPr>
                <w:rFonts w:asciiTheme="majorBidi" w:eastAsiaTheme="minorEastAsia" w:hAnsiTheme="majorBidi" w:cstheme="majorBidi"/>
                <w:iCs/>
                <w:szCs w:val="18"/>
              </w:rPr>
              <w:t xml:space="preserve">between pore </w:t>
            </w:r>
            <m:oMath>
              <m:r>
                <w:rPr>
                  <w:rFonts w:ascii="Cambria Math" w:eastAsiaTheme="minorEastAsia" w:hAnsi="Cambria Math" w:cstheme="majorBidi"/>
                  <w:szCs w:val="18"/>
                </w:rPr>
                <m:t>i</m:t>
              </m:r>
            </m:oMath>
            <w:r w:rsidR="00760BDC" w:rsidRPr="005244BD">
              <w:rPr>
                <w:rFonts w:asciiTheme="majorBidi" w:hAnsiTheme="majorBidi" w:cstheme="majorBidi"/>
                <w:color w:val="000000"/>
                <w:vertAlign w:val="superscript"/>
                <w:lang w:eastAsia="en-GB"/>
              </w:rPr>
              <w:t>th</w:t>
            </w:r>
            <w:r w:rsidR="00760BDC" w:rsidRPr="005244BD">
              <w:rPr>
                <w:rFonts w:asciiTheme="majorBidi" w:eastAsiaTheme="minorEastAsia" w:hAnsiTheme="majorBidi" w:cstheme="majorBidi"/>
                <w:iCs/>
                <w:szCs w:val="18"/>
              </w:rPr>
              <w:t xml:space="preserve"> and </w:t>
            </w:r>
            <m:oMath>
              <m:r>
                <w:rPr>
                  <w:rFonts w:ascii="Cambria Math" w:eastAsiaTheme="minorEastAsia" w:hAnsi="Cambria Math" w:cstheme="majorBidi"/>
                  <w:szCs w:val="18"/>
                </w:rPr>
                <m:t>j</m:t>
              </m:r>
            </m:oMath>
            <w:r w:rsidR="00760BDC" w:rsidRPr="005244BD">
              <w:rPr>
                <w:rFonts w:asciiTheme="majorBidi" w:hAnsiTheme="majorBidi" w:cstheme="majorBidi"/>
                <w:color w:val="000000"/>
                <w:vertAlign w:val="superscript"/>
                <w:lang w:eastAsia="en-GB"/>
              </w:rPr>
              <w:t>th</w:t>
            </w:r>
          </w:p>
        </w:tc>
        <w:tc>
          <w:tcPr>
            <w:tcW w:w="851" w:type="dxa"/>
            <w:vAlign w:val="center"/>
          </w:tcPr>
          <w:p w14:paraId="2CB37F96" w14:textId="32427FF1" w:rsidR="00760BDC" w:rsidRPr="005244BD" w:rsidRDefault="007E5EE0" w:rsidP="005D54AF">
            <w:pPr>
              <w:spacing w:after="0" w:line="240" w:lineRule="auto"/>
              <w:jc w:val="both"/>
              <w:rPr>
                <w:rFonts w:ascii="Times New Roman" w:hAnsi="Times New Roman" w:cs="Times New Roman"/>
                <w:color w:val="000000"/>
                <w:lang w:eastAsia="en-GB"/>
              </w:rPr>
            </w:pPr>
            <m:oMathPara>
              <m:oMathParaPr>
                <m:jc m:val="left"/>
              </m:oMathParaPr>
              <m:oMath>
                <m:sSub>
                  <m:sSubPr>
                    <m:ctrlPr>
                      <w:rPr>
                        <w:rFonts w:ascii="Cambria Math" w:eastAsiaTheme="minorEastAsia" w:hAnsi="Cambria Math" w:cstheme="majorBidi"/>
                        <w:i/>
                      </w:rPr>
                    </m:ctrlPr>
                  </m:sSubPr>
                  <m:e>
                    <m:r>
                      <w:rPr>
                        <w:rFonts w:ascii="Cambria Math" w:eastAsiaTheme="minorEastAsia" w:hAnsi="Cambria Math" w:cstheme="majorBidi"/>
                      </w:rPr>
                      <m:t>r</m:t>
                    </m:r>
                  </m:e>
                  <m:sub>
                    <m:r>
                      <w:rPr>
                        <w:rFonts w:ascii="Cambria Math" w:eastAsiaTheme="minorEastAsia" w:hAnsi="Cambria Math" w:cstheme="majorBidi"/>
                      </w:rPr>
                      <m:t>i</m:t>
                    </m:r>
                  </m:sub>
                </m:sSub>
              </m:oMath>
            </m:oMathPara>
          </w:p>
        </w:tc>
        <w:tc>
          <w:tcPr>
            <w:tcW w:w="3826" w:type="dxa"/>
            <w:vAlign w:val="center"/>
          </w:tcPr>
          <w:p w14:paraId="7D327A2D" w14:textId="3C32FEAB"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eastAsiaTheme="minorEastAsia" w:hAnsiTheme="majorBidi" w:cstheme="majorBidi"/>
                <w:iCs/>
              </w:rPr>
              <w:t xml:space="preserve">radius of pore </w:t>
            </w:r>
            <m:oMath>
              <m:r>
                <w:rPr>
                  <w:rFonts w:ascii="Cambria Math" w:eastAsiaTheme="minorEastAsia" w:hAnsi="Cambria Math" w:cstheme="majorBidi"/>
                </w:rPr>
                <m:t>i</m:t>
              </m:r>
            </m:oMath>
            <w:r w:rsidRPr="005244BD">
              <w:rPr>
                <w:rFonts w:asciiTheme="majorBidi" w:eastAsiaTheme="minorEastAsia" w:hAnsiTheme="majorBidi" w:cstheme="majorBidi"/>
                <w:vertAlign w:val="superscript"/>
              </w:rPr>
              <w:t>th</w:t>
            </w:r>
            <w:r w:rsidRPr="005244BD">
              <w:rPr>
                <w:rFonts w:asciiTheme="majorBidi" w:eastAsiaTheme="minorEastAsia" w:hAnsiTheme="majorBidi" w:cstheme="majorBidi"/>
                <w:iCs/>
              </w:rPr>
              <w:t xml:space="preserve"> (L) </w:t>
            </w:r>
          </w:p>
        </w:tc>
      </w:tr>
      <w:tr w:rsidR="00760BDC" w:rsidRPr="005244BD" w14:paraId="0B4EC9A6" w14:textId="77777777" w:rsidTr="005D54AF">
        <w:trPr>
          <w:trHeight w:val="429"/>
        </w:trPr>
        <w:tc>
          <w:tcPr>
            <w:tcW w:w="846" w:type="dxa"/>
            <w:vMerge/>
            <w:vAlign w:val="center"/>
          </w:tcPr>
          <w:p w14:paraId="20B6587B" w14:textId="77777777" w:rsidR="00760BDC" w:rsidRPr="005244BD" w:rsidRDefault="00760BDC" w:rsidP="005D54AF">
            <w:pPr>
              <w:spacing w:after="0" w:line="240" w:lineRule="auto"/>
              <w:rPr>
                <w:szCs w:val="18"/>
              </w:rPr>
            </w:pPr>
          </w:p>
        </w:tc>
        <w:tc>
          <w:tcPr>
            <w:tcW w:w="3827" w:type="dxa"/>
            <w:vMerge/>
            <w:vAlign w:val="center"/>
          </w:tcPr>
          <w:p w14:paraId="0E6D1B5D" w14:textId="77777777" w:rsidR="00760BDC" w:rsidRPr="005244BD" w:rsidRDefault="00760BDC" w:rsidP="005D54AF">
            <w:pPr>
              <w:spacing w:after="0" w:line="240" w:lineRule="auto"/>
              <w:rPr>
                <w:rFonts w:asciiTheme="majorBidi" w:eastAsiaTheme="minorEastAsia" w:hAnsiTheme="majorBidi" w:cstheme="majorBidi"/>
                <w:iCs/>
                <w:szCs w:val="18"/>
              </w:rPr>
            </w:pPr>
          </w:p>
        </w:tc>
        <w:tc>
          <w:tcPr>
            <w:tcW w:w="851" w:type="dxa"/>
            <w:vMerge w:val="restart"/>
            <w:vAlign w:val="center"/>
          </w:tcPr>
          <w:p w14:paraId="0ABF6680" w14:textId="7972E39E" w:rsidR="00760BDC" w:rsidRPr="005244BD" w:rsidRDefault="007E5EE0" w:rsidP="005D54AF">
            <w:pPr>
              <w:spacing w:after="0" w:line="240" w:lineRule="auto"/>
              <w:rPr>
                <w:rFonts w:ascii="Times New Roman" w:hAnsi="Times New Roman" w:cs="Times New Roman"/>
                <w:color w:val="000000"/>
                <w:lang w:eastAsia="en-GB"/>
              </w:rPr>
            </w:pPr>
            <m:oMathPara>
              <m:oMathParaPr>
                <m:jc m:val="left"/>
              </m:oMathParaPr>
              <m:oMath>
                <m:sSub>
                  <m:sSubPr>
                    <m:ctrlPr>
                      <w:rPr>
                        <w:rFonts w:ascii="Cambria Math" w:eastAsiaTheme="minorEastAsia" w:hAnsi="Cambria Math" w:cstheme="majorBidi"/>
                        <w:i/>
                      </w:rPr>
                    </m:ctrlPr>
                  </m:sSubPr>
                  <m:e>
                    <m:r>
                      <w:rPr>
                        <w:rFonts w:ascii="Cambria Math" w:eastAsiaTheme="minorEastAsia" w:hAnsi="Cambria Math" w:cstheme="majorBidi"/>
                      </w:rPr>
                      <m:t>r</m:t>
                    </m:r>
                  </m:e>
                  <m:sub>
                    <m:r>
                      <w:rPr>
                        <w:rFonts w:ascii="Cambria Math" w:eastAsiaTheme="minorEastAsia" w:hAnsi="Cambria Math" w:cstheme="majorBidi"/>
                      </w:rPr>
                      <m:t>ij</m:t>
                    </m:r>
                  </m:sub>
                </m:sSub>
              </m:oMath>
            </m:oMathPara>
          </w:p>
        </w:tc>
        <w:tc>
          <w:tcPr>
            <w:tcW w:w="3826" w:type="dxa"/>
            <w:vMerge w:val="restart"/>
            <w:vAlign w:val="center"/>
          </w:tcPr>
          <w:p w14:paraId="6BCBFA50" w14:textId="47931EC2"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eastAsiaTheme="minorEastAsia" w:hAnsiTheme="majorBidi" w:cstheme="majorBidi"/>
                <w:iCs/>
              </w:rPr>
              <w:t xml:space="preserve">radius of throat </w:t>
            </w:r>
            <w:r w:rsidRPr="005244BD">
              <w:rPr>
                <w:rFonts w:asciiTheme="majorBidi" w:hAnsiTheme="majorBidi" w:cstheme="majorBidi"/>
                <w:color w:val="000000"/>
                <w:lang w:eastAsia="en-GB"/>
              </w:rPr>
              <w:t xml:space="preserve">between pore </w:t>
            </w:r>
            <m:oMath>
              <m:r>
                <w:rPr>
                  <w:rFonts w:ascii="Cambria Math" w:eastAsiaTheme="minorEastAsia" w:hAnsi="Cambria Math" w:cstheme="majorBidi"/>
                </w:rPr>
                <m:t>i</m:t>
              </m:r>
            </m:oMath>
            <w:r w:rsidRPr="005244BD">
              <w:rPr>
                <w:rFonts w:asciiTheme="majorBidi" w:eastAsiaTheme="minorEastAsia" w:hAnsiTheme="majorBidi" w:cstheme="majorBidi"/>
                <w:vertAlign w:val="superscript"/>
              </w:rPr>
              <w:t>th</w:t>
            </w:r>
            <w:r w:rsidRPr="005244BD">
              <w:rPr>
                <w:rFonts w:asciiTheme="majorBidi" w:hAnsiTheme="majorBidi" w:cstheme="majorBidi"/>
                <w:color w:val="000000"/>
                <w:lang w:eastAsia="en-GB"/>
              </w:rPr>
              <w:t xml:space="preserve"> and </w:t>
            </w:r>
            <m:oMath>
              <m:r>
                <w:rPr>
                  <w:rFonts w:ascii="Cambria Math" w:eastAsiaTheme="minorEastAsia" w:hAnsi="Cambria Math" w:cstheme="majorBidi"/>
                </w:rPr>
                <m:t>j</m:t>
              </m:r>
            </m:oMath>
            <w:r w:rsidRPr="005244BD">
              <w:rPr>
                <w:rFonts w:asciiTheme="majorBidi" w:eastAsiaTheme="minorEastAsia" w:hAnsiTheme="majorBidi" w:cstheme="majorBidi"/>
                <w:vertAlign w:val="superscript"/>
              </w:rPr>
              <w:t>th</w:t>
            </w:r>
            <w:r w:rsidRPr="005244BD">
              <w:rPr>
                <w:rFonts w:asciiTheme="majorBidi" w:hAnsiTheme="majorBidi" w:cstheme="majorBidi"/>
                <w:color w:val="000000"/>
                <w:lang w:eastAsia="en-GB"/>
              </w:rPr>
              <w:t xml:space="preserve"> </w:t>
            </w:r>
            <w:r w:rsidRPr="005244BD">
              <w:rPr>
                <w:rFonts w:asciiTheme="majorBidi" w:eastAsiaTheme="minorEastAsia" w:hAnsiTheme="majorBidi" w:cstheme="majorBidi"/>
              </w:rPr>
              <w:t>(L)</w:t>
            </w:r>
          </w:p>
        </w:tc>
      </w:tr>
      <w:tr w:rsidR="00760BDC" w:rsidRPr="005244BD" w14:paraId="7E0458DE" w14:textId="77777777" w:rsidTr="005D54AF">
        <w:tc>
          <w:tcPr>
            <w:tcW w:w="846" w:type="dxa"/>
            <w:vAlign w:val="center"/>
          </w:tcPr>
          <w:p w14:paraId="42814111" w14:textId="1CBA51C6" w:rsidR="00760BDC" w:rsidRPr="005244BD" w:rsidRDefault="007E5EE0" w:rsidP="005D54AF">
            <w:pPr>
              <w:spacing w:after="0" w:line="240" w:lineRule="auto"/>
              <w:rPr>
                <w:color w:val="000000"/>
                <w:lang w:eastAsia="en-GB"/>
              </w:rPr>
            </w:pPr>
            <m:oMath>
              <m:sSub>
                <m:sSubPr>
                  <m:ctrlPr>
                    <w:rPr>
                      <w:rFonts w:ascii="Cambria Math" w:hAnsi="Cambria Math" w:cstheme="majorBidi"/>
                      <w:color w:val="000000"/>
                      <w:lang w:eastAsia="en-GB"/>
                    </w:rPr>
                  </m:ctrlPr>
                </m:sSubPr>
                <m:e>
                  <m:r>
                    <w:rPr>
                      <w:rFonts w:ascii="Cambria Math" w:hAnsi="Cambria Math" w:cstheme="majorBidi"/>
                      <w:color w:val="000000"/>
                      <w:lang w:eastAsia="en-GB"/>
                    </w:rPr>
                    <m:t>C</m:t>
                  </m:r>
                </m:e>
                <m:sub>
                  <m:r>
                    <w:rPr>
                      <w:rFonts w:ascii="Cambria Math" w:hAnsi="Cambria Math" w:cstheme="majorBidi"/>
                      <w:color w:val="000000"/>
                      <w:lang w:eastAsia="en-GB"/>
                    </w:rPr>
                    <m:t>s</m:t>
                  </m:r>
                </m:sub>
              </m:sSub>
            </m:oMath>
            <w:r w:rsidR="00760BDC" w:rsidRPr="005244BD">
              <w:rPr>
                <w:rFonts w:asciiTheme="majorBidi" w:hAnsiTheme="majorBidi" w:cstheme="majorBidi"/>
                <w:color w:val="000000"/>
                <w:lang w:eastAsia="en-GB"/>
              </w:rPr>
              <w:t xml:space="preserve"> </w:t>
            </w:r>
          </w:p>
        </w:tc>
        <w:tc>
          <w:tcPr>
            <w:tcW w:w="3827" w:type="dxa"/>
            <w:vAlign w:val="center"/>
          </w:tcPr>
          <w:p w14:paraId="73AA0842" w14:textId="32DFD58C"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equilibrium  concentration, (ML</w:t>
            </w:r>
            <w:r w:rsidRPr="005244BD">
              <w:rPr>
                <w:rFonts w:asciiTheme="majorBidi" w:hAnsiTheme="majorBidi" w:cstheme="majorBidi"/>
                <w:color w:val="000000"/>
                <w:vertAlign w:val="superscript"/>
                <w:lang w:eastAsia="en-GB"/>
              </w:rPr>
              <w:t>-3</w:t>
            </w:r>
            <w:r w:rsidRPr="005244BD">
              <w:rPr>
                <w:rFonts w:asciiTheme="majorBidi" w:hAnsiTheme="majorBidi" w:cstheme="majorBidi"/>
                <w:color w:val="000000"/>
                <w:lang w:eastAsia="en-GB"/>
              </w:rPr>
              <w:t>)</w:t>
            </w:r>
          </w:p>
        </w:tc>
        <w:tc>
          <w:tcPr>
            <w:tcW w:w="851" w:type="dxa"/>
            <w:vMerge/>
            <w:vAlign w:val="center"/>
          </w:tcPr>
          <w:p w14:paraId="5D0BB912" w14:textId="3F1855F2" w:rsidR="00760BDC" w:rsidRPr="005244BD" w:rsidRDefault="00760BDC" w:rsidP="005D54AF">
            <w:pPr>
              <w:spacing w:after="0" w:line="240" w:lineRule="auto"/>
              <w:rPr>
                <w:rFonts w:ascii="Times New Roman" w:hAnsi="Times New Roman" w:cs="Times New Roman"/>
              </w:rPr>
            </w:pPr>
          </w:p>
        </w:tc>
        <w:tc>
          <w:tcPr>
            <w:tcW w:w="3826" w:type="dxa"/>
            <w:vMerge/>
            <w:vAlign w:val="center"/>
          </w:tcPr>
          <w:p w14:paraId="25C7D35D" w14:textId="179EB87D" w:rsidR="00760BDC" w:rsidRPr="005244BD" w:rsidRDefault="00760BDC" w:rsidP="005D54AF">
            <w:pPr>
              <w:spacing w:after="0" w:line="240" w:lineRule="auto"/>
              <w:rPr>
                <w:rFonts w:ascii="Times New Roman" w:eastAsiaTheme="minorEastAsia" w:hAnsi="Times New Roman"/>
              </w:rPr>
            </w:pPr>
          </w:p>
        </w:tc>
      </w:tr>
      <w:tr w:rsidR="00760BDC" w:rsidRPr="005244BD" w14:paraId="18A31F09" w14:textId="77777777" w:rsidTr="005D54AF">
        <w:tc>
          <w:tcPr>
            <w:tcW w:w="846" w:type="dxa"/>
            <w:vAlign w:val="center"/>
          </w:tcPr>
          <w:p w14:paraId="50183880" w14:textId="77777777" w:rsidR="00760BDC" w:rsidRPr="005244BD" w:rsidRDefault="00760BDC" w:rsidP="005D54AF">
            <w:pPr>
              <w:spacing w:after="0" w:line="240" w:lineRule="auto"/>
              <w:rPr>
                <w:color w:val="000000"/>
                <w:lang w:eastAsia="en-GB"/>
              </w:rPr>
            </w:pPr>
            <m:oMathPara>
              <m:oMathParaPr>
                <m:jc m:val="left"/>
              </m:oMathParaPr>
              <m:oMath>
                <m:r>
                  <w:rPr>
                    <w:rFonts w:ascii="Cambria Math" w:hAnsi="Cambria Math"/>
                    <w:color w:val="000000"/>
                    <w:lang w:eastAsia="en-GB"/>
                  </w:rPr>
                  <m:t>D</m:t>
                </m:r>
              </m:oMath>
            </m:oMathPara>
          </w:p>
        </w:tc>
        <w:tc>
          <w:tcPr>
            <w:tcW w:w="3827" w:type="dxa"/>
            <w:vAlign w:val="center"/>
          </w:tcPr>
          <w:p w14:paraId="4C3C63EF" w14:textId="5CF13C23"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diffusion coefficient (L</w:t>
            </w:r>
            <w:r w:rsidRPr="005244BD">
              <w:rPr>
                <w:rFonts w:asciiTheme="majorBidi" w:hAnsiTheme="majorBidi" w:cstheme="majorBidi"/>
                <w:color w:val="000000"/>
                <w:vertAlign w:val="superscript"/>
                <w:lang w:eastAsia="en-GB"/>
              </w:rPr>
              <w:t>2</w:t>
            </w:r>
            <w:r w:rsidRPr="005244BD">
              <w:rPr>
                <w:rFonts w:asciiTheme="majorBidi" w:hAnsiTheme="majorBidi" w:cstheme="majorBidi"/>
                <w:color w:val="000000"/>
                <w:lang w:eastAsia="en-GB"/>
              </w:rPr>
              <w:t>T</w:t>
            </w:r>
            <w:r w:rsidRPr="005244BD">
              <w:rPr>
                <w:rFonts w:asciiTheme="majorBidi" w:hAnsiTheme="majorBidi" w:cstheme="majorBidi"/>
                <w:color w:val="000000"/>
                <w:vertAlign w:val="superscript"/>
                <w:lang w:eastAsia="en-GB"/>
              </w:rPr>
              <w:t>-1</w:t>
            </w:r>
            <w:r w:rsidRPr="005244BD">
              <w:rPr>
                <w:rFonts w:asciiTheme="majorBidi" w:hAnsiTheme="majorBidi" w:cstheme="majorBidi"/>
                <w:color w:val="000000"/>
                <w:lang w:eastAsia="en-GB"/>
              </w:rPr>
              <w:t xml:space="preserve">) </w:t>
            </w:r>
          </w:p>
        </w:tc>
        <w:tc>
          <w:tcPr>
            <w:tcW w:w="851" w:type="dxa"/>
            <w:vAlign w:val="center"/>
          </w:tcPr>
          <w:p w14:paraId="43D2B512" w14:textId="61315D8E" w:rsidR="00760BDC" w:rsidRPr="005244BD" w:rsidRDefault="00760BDC" w:rsidP="005D54AF">
            <w:pPr>
              <w:spacing w:after="0" w:line="240" w:lineRule="auto"/>
            </w:pPr>
            <m:oMathPara>
              <m:oMathParaPr>
                <m:jc m:val="left"/>
              </m:oMathParaPr>
              <m:oMath>
                <m:r>
                  <w:rPr>
                    <w:rFonts w:ascii="Cambria Math" w:hAnsi="Cambria Math" w:cstheme="majorBidi"/>
                    <w:color w:val="000000"/>
                    <w:lang w:eastAsia="en-GB"/>
                  </w:rPr>
                  <m:t>t</m:t>
                </m:r>
              </m:oMath>
            </m:oMathPara>
          </w:p>
        </w:tc>
        <w:tc>
          <w:tcPr>
            <w:tcW w:w="3826" w:type="dxa"/>
            <w:vAlign w:val="center"/>
          </w:tcPr>
          <w:p w14:paraId="057946F0" w14:textId="3DDEEC86"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time (T)</w:t>
            </w:r>
          </w:p>
        </w:tc>
      </w:tr>
      <w:tr w:rsidR="00760BDC" w:rsidRPr="005244BD" w14:paraId="4498402F" w14:textId="77777777" w:rsidTr="005D54AF">
        <w:trPr>
          <w:trHeight w:val="159"/>
        </w:trPr>
        <w:tc>
          <w:tcPr>
            <w:tcW w:w="846" w:type="dxa"/>
            <w:vAlign w:val="center"/>
          </w:tcPr>
          <w:p w14:paraId="05764602" w14:textId="7C1D1EB3" w:rsidR="00760BDC" w:rsidRPr="005244BD" w:rsidRDefault="007E5EE0" w:rsidP="005D54AF">
            <w:pPr>
              <w:spacing w:after="0" w:line="240" w:lineRule="auto"/>
            </w:pPr>
            <m:oMathPara>
              <m:oMathParaPr>
                <m:jc m:val="left"/>
              </m:oMathParaPr>
              <m:oMath>
                <m:sSub>
                  <m:sSubPr>
                    <m:ctrlPr>
                      <w:rPr>
                        <w:rFonts w:ascii="Cambria Math" w:eastAsiaTheme="minorEastAsia" w:hAnsi="Cambria Math" w:cstheme="majorBidi"/>
                        <w:i/>
                      </w:rPr>
                    </m:ctrlPr>
                  </m:sSubPr>
                  <m:e>
                    <m:r>
                      <w:rPr>
                        <w:rFonts w:ascii="Cambria Math" w:eastAsiaTheme="minorEastAsia" w:hAnsi="Cambria Math" w:cstheme="majorBidi"/>
                      </w:rPr>
                      <m:t>K</m:t>
                    </m:r>
                  </m:e>
                  <m:sub>
                    <m:r>
                      <w:rPr>
                        <w:rFonts w:ascii="Cambria Math" w:eastAsiaTheme="minorEastAsia" w:hAnsi="Cambria Math" w:cstheme="majorBidi"/>
                      </w:rPr>
                      <m:t>abs</m:t>
                    </m:r>
                  </m:sub>
                </m:sSub>
              </m:oMath>
            </m:oMathPara>
          </w:p>
        </w:tc>
        <w:tc>
          <w:tcPr>
            <w:tcW w:w="3827" w:type="dxa"/>
            <w:vAlign w:val="center"/>
          </w:tcPr>
          <w:p w14:paraId="25686D4E" w14:textId="6FA7CF6E" w:rsidR="00760BDC" w:rsidRPr="005244BD" w:rsidRDefault="00760BDC" w:rsidP="005D54AF">
            <w:pPr>
              <w:spacing w:after="0" w:line="240" w:lineRule="auto"/>
              <w:rPr>
                <w:rFonts w:ascii="Times New Roman" w:eastAsiaTheme="minorEastAsia" w:hAnsi="Times New Roman" w:cs="Times New Roman"/>
              </w:rPr>
            </w:pPr>
            <w:r w:rsidRPr="005244BD">
              <w:rPr>
                <w:rFonts w:ascii="Times New Roman" w:eastAsiaTheme="minorEastAsia" w:hAnsi="Times New Roman" w:cs="Times New Roman"/>
              </w:rPr>
              <w:t>absolute permeability</w:t>
            </w:r>
            <w:r w:rsidRPr="005244BD">
              <w:rPr>
                <w:rFonts w:ascii="Times New Roman" w:eastAsiaTheme="minorEastAsia" w:hAnsi="Times New Roman"/>
              </w:rPr>
              <w:t xml:space="preserve"> </w:t>
            </w:r>
            <w:r w:rsidRPr="005244BD">
              <w:rPr>
                <w:rFonts w:asciiTheme="majorBidi" w:hAnsiTheme="majorBidi" w:cstheme="majorBidi"/>
                <w:color w:val="000000"/>
                <w:lang w:eastAsia="en-GB"/>
              </w:rPr>
              <w:t>(L</w:t>
            </w:r>
            <w:r w:rsidRPr="005244BD">
              <w:rPr>
                <w:rFonts w:asciiTheme="majorBidi" w:hAnsiTheme="majorBidi" w:cstheme="majorBidi"/>
                <w:color w:val="000000"/>
                <w:vertAlign w:val="superscript"/>
                <w:lang w:eastAsia="en-GB"/>
              </w:rPr>
              <w:t>2</w:t>
            </w:r>
            <w:r w:rsidRPr="005244BD">
              <w:rPr>
                <w:rFonts w:asciiTheme="majorBidi" w:hAnsiTheme="majorBidi" w:cstheme="majorBidi"/>
                <w:color w:val="000000"/>
                <w:lang w:eastAsia="en-GB"/>
              </w:rPr>
              <w:t>)</w:t>
            </w:r>
          </w:p>
        </w:tc>
        <w:tc>
          <w:tcPr>
            <w:tcW w:w="851" w:type="dxa"/>
            <w:vAlign w:val="center"/>
          </w:tcPr>
          <w:p w14:paraId="3236141E" w14:textId="2C24A5A6" w:rsidR="00760BDC" w:rsidRPr="005244BD" w:rsidRDefault="007E5EE0" w:rsidP="005D54AF">
            <w:pPr>
              <w:spacing w:after="0" w:line="240" w:lineRule="auto"/>
              <w:rPr>
                <w:rFonts w:ascii="Times New Roman" w:eastAsia="Times New Roman" w:hAnsi="Times New Roman"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m:rPr>
                        <m:sty m:val="p"/>
                      </m:rPr>
                      <w:rPr>
                        <w:rFonts w:ascii="Cambria Math" w:eastAsiaTheme="minorEastAsia" w:hAnsi="Cambria Math" w:cs="Times New Roman"/>
                      </w:rPr>
                      <m:t>colony</m:t>
                    </m:r>
                  </m:sub>
                </m:sSub>
              </m:oMath>
            </m:oMathPara>
          </w:p>
        </w:tc>
        <w:tc>
          <w:tcPr>
            <w:tcW w:w="3826" w:type="dxa"/>
            <w:vAlign w:val="center"/>
          </w:tcPr>
          <w:p w14:paraId="5FAE8103" w14:textId="14F3AA66" w:rsidR="00760BDC" w:rsidRPr="005244BD" w:rsidRDefault="00760BDC" w:rsidP="005D54AF">
            <w:pPr>
              <w:spacing w:after="0" w:line="240" w:lineRule="auto"/>
              <w:rPr>
                <w:rFonts w:asciiTheme="majorBidi" w:hAnsiTheme="majorBidi" w:cstheme="majorBidi"/>
                <w:color w:val="000000"/>
                <w:lang w:eastAsia="en-GB"/>
              </w:rPr>
            </w:pPr>
            <w:r w:rsidRPr="005244BD">
              <w:rPr>
                <w:rFonts w:ascii="Times New Roman" w:eastAsiaTheme="minorEastAsia" w:hAnsi="Times New Roman"/>
              </w:rPr>
              <w:t>v</w:t>
            </w:r>
            <w:r w:rsidRPr="005244BD">
              <w:rPr>
                <w:rFonts w:ascii="Times New Roman" w:eastAsiaTheme="minorEastAsia" w:hAnsi="Times New Roman" w:cs="Times New Roman"/>
              </w:rPr>
              <w:t>olume of each bacteria colony</w:t>
            </w:r>
            <w:r w:rsidRPr="005244BD">
              <w:rPr>
                <w:rFonts w:ascii="Times New Roman" w:eastAsiaTheme="minorEastAsia" w:hAnsi="Times New Roman"/>
              </w:rPr>
              <w:t xml:space="preserve"> (L</w:t>
            </w:r>
            <w:r w:rsidRPr="005244BD">
              <w:rPr>
                <w:rFonts w:ascii="Times New Roman" w:eastAsiaTheme="minorEastAsia" w:hAnsi="Times New Roman"/>
                <w:vertAlign w:val="superscript"/>
              </w:rPr>
              <w:t>3</w:t>
            </w:r>
            <w:r w:rsidRPr="005244BD">
              <w:rPr>
                <w:rFonts w:ascii="Times New Roman" w:eastAsiaTheme="minorEastAsia" w:hAnsi="Times New Roman"/>
              </w:rPr>
              <w:t>)</w:t>
            </w:r>
          </w:p>
        </w:tc>
      </w:tr>
      <w:tr w:rsidR="00760BDC" w:rsidRPr="005244BD" w14:paraId="69F9B94E" w14:textId="77777777" w:rsidTr="005D54AF">
        <w:trPr>
          <w:trHeight w:val="256"/>
        </w:trPr>
        <w:tc>
          <w:tcPr>
            <w:tcW w:w="846" w:type="dxa"/>
            <w:vMerge w:val="restart"/>
            <w:vAlign w:val="center"/>
          </w:tcPr>
          <w:p w14:paraId="44EA5870" w14:textId="2C2E52BC" w:rsidR="00760BDC" w:rsidRPr="005244BD" w:rsidRDefault="007E5EE0" w:rsidP="005D54AF">
            <w:pPr>
              <w:spacing w:after="0" w:line="240" w:lineRule="auto"/>
              <w:rPr>
                <w:iCs/>
              </w:rPr>
            </w:pPr>
            <m:oMathPara>
              <m:oMathParaPr>
                <m:jc m:val="left"/>
              </m:oMathParaPr>
              <m:oMath>
                <m:sSub>
                  <m:sSubPr>
                    <m:ctrlPr>
                      <w:rPr>
                        <w:rFonts w:ascii="Cambria Math" w:eastAsiaTheme="minorEastAsia" w:hAnsi="Cambria Math" w:cstheme="majorBidi"/>
                        <w:i/>
                      </w:rPr>
                    </m:ctrlPr>
                  </m:sSubPr>
                  <m:e>
                    <m:r>
                      <w:rPr>
                        <w:rFonts w:ascii="Cambria Math" w:eastAsiaTheme="minorEastAsia" w:hAnsi="Cambria Math" w:cstheme="majorBidi"/>
                      </w:rPr>
                      <m:t>K</m:t>
                    </m:r>
                  </m:e>
                  <m:sub>
                    <m:eqArr>
                      <m:eqArrPr>
                        <m:ctrlPr>
                          <w:rPr>
                            <w:rFonts w:ascii="Cambria Math" w:eastAsiaTheme="minorEastAsia" w:hAnsi="Cambria Math" w:cstheme="majorBidi"/>
                            <w:i/>
                          </w:rPr>
                        </m:ctrlPr>
                      </m:eqArrPr>
                      <m:e>
                        <m:r>
                          <w:rPr>
                            <w:rFonts w:ascii="Cambria Math" w:eastAsiaTheme="minorEastAsia" w:hAnsi="Cambria Math" w:cstheme="majorBidi"/>
                          </w:rPr>
                          <m:t xml:space="preserve">effec, </m:t>
                        </m:r>
                      </m:e>
                      <m:e>
                        <m:r>
                          <w:rPr>
                            <w:rFonts w:ascii="Cambria Math" w:eastAsiaTheme="minorEastAsia" w:hAnsi="Cambria Math" w:cstheme="majorBidi"/>
                          </w:rPr>
                          <m:t>with bio</m:t>
                        </m:r>
                      </m:e>
                    </m:eqArr>
                  </m:sub>
                </m:sSub>
              </m:oMath>
            </m:oMathPara>
          </w:p>
        </w:tc>
        <w:tc>
          <w:tcPr>
            <w:tcW w:w="3827" w:type="dxa"/>
            <w:vMerge w:val="restart"/>
            <w:vAlign w:val="center"/>
          </w:tcPr>
          <w:p w14:paraId="6D4F950E" w14:textId="21B86370" w:rsidR="00760BDC" w:rsidRPr="005244BD" w:rsidRDefault="00760BDC" w:rsidP="005D54AF">
            <w:pPr>
              <w:spacing w:after="0" w:line="240" w:lineRule="auto"/>
              <w:rPr>
                <w:rFonts w:asciiTheme="majorBidi" w:eastAsiaTheme="minorEastAsia" w:hAnsiTheme="majorBidi" w:cstheme="majorBidi"/>
                <w:iCs/>
              </w:rPr>
            </w:pPr>
            <w:r w:rsidRPr="005244BD">
              <w:rPr>
                <w:rFonts w:ascii="Times New Roman" w:eastAsiaTheme="minorEastAsia" w:hAnsi="Times New Roman" w:cs="Times New Roman"/>
              </w:rPr>
              <w:t>effective permeability</w:t>
            </w:r>
            <w:r w:rsidRPr="005244BD">
              <w:rPr>
                <w:rFonts w:ascii="Times New Roman" w:eastAsiaTheme="minorEastAsia" w:hAnsi="Times New Roman"/>
              </w:rPr>
              <w:t xml:space="preserve"> </w:t>
            </w:r>
            <w:r w:rsidRPr="005244BD">
              <w:rPr>
                <w:rFonts w:asciiTheme="majorBidi" w:hAnsiTheme="majorBidi" w:cstheme="majorBidi"/>
                <w:color w:val="000000"/>
                <w:lang w:eastAsia="en-GB"/>
              </w:rPr>
              <w:t>(L</w:t>
            </w:r>
            <w:r w:rsidRPr="005244BD">
              <w:rPr>
                <w:rFonts w:asciiTheme="majorBidi" w:hAnsiTheme="majorBidi" w:cstheme="majorBidi"/>
                <w:color w:val="000000"/>
                <w:vertAlign w:val="superscript"/>
                <w:lang w:eastAsia="en-GB"/>
              </w:rPr>
              <w:t>2</w:t>
            </w:r>
            <w:r w:rsidRPr="005244BD">
              <w:rPr>
                <w:rFonts w:asciiTheme="majorBidi" w:hAnsiTheme="majorBidi" w:cstheme="majorBidi"/>
                <w:color w:val="000000"/>
                <w:lang w:eastAsia="en-GB"/>
              </w:rPr>
              <w:t>) when biofilm is assumed as an impermeable/solid phase</w:t>
            </w:r>
          </w:p>
        </w:tc>
        <w:tc>
          <w:tcPr>
            <w:tcW w:w="851" w:type="dxa"/>
            <w:vAlign w:val="center"/>
          </w:tcPr>
          <w:p w14:paraId="21162828" w14:textId="43AE5D56" w:rsidR="00760BDC" w:rsidRPr="005244BD" w:rsidRDefault="007E5EE0" w:rsidP="005D54AF">
            <w:pPr>
              <w:spacing w:after="0" w:line="240" w:lineRule="auto"/>
              <w:rPr>
                <w:rFonts w:asciiTheme="majorBidi" w:hAnsiTheme="majorBidi" w:cstheme="majorBidi"/>
                <w:color w:val="000000"/>
                <w:lang w:eastAsia="en-GB"/>
              </w:rPr>
            </w:pPr>
            <m:oMath>
              <m:sSub>
                <m:sSubPr>
                  <m:ctrlPr>
                    <w:rPr>
                      <w:rFonts w:ascii="Cambria Math" w:hAnsi="Cambria Math" w:cstheme="majorBidi"/>
                      <w:color w:val="000000"/>
                      <w:lang w:eastAsia="en-GB"/>
                    </w:rPr>
                  </m:ctrlPr>
                </m:sSubPr>
                <m:e>
                  <m:r>
                    <w:rPr>
                      <w:rFonts w:ascii="Cambria Math" w:hAnsi="Cambria Math" w:cstheme="majorBidi"/>
                      <w:color w:val="000000"/>
                      <w:lang w:eastAsia="en-GB"/>
                    </w:rPr>
                    <m:t>V</m:t>
                  </m:r>
                </m:e>
                <m:sub>
                  <m:r>
                    <w:rPr>
                      <w:rFonts w:ascii="Cambria Math" w:hAnsi="Cambria Math" w:cstheme="majorBidi"/>
                      <w:color w:val="000000"/>
                      <w:lang w:eastAsia="en-GB"/>
                    </w:rPr>
                    <m:t>i</m:t>
                  </m:r>
                </m:sub>
              </m:sSub>
            </m:oMath>
            <w:r w:rsidR="00760BDC" w:rsidRPr="005244BD">
              <w:rPr>
                <w:rFonts w:asciiTheme="majorBidi" w:hAnsiTheme="majorBidi" w:cstheme="majorBidi"/>
                <w:color w:val="000000"/>
                <w:lang w:eastAsia="en-GB"/>
              </w:rPr>
              <w:t xml:space="preserve"> </w:t>
            </w:r>
          </w:p>
        </w:tc>
        <w:tc>
          <w:tcPr>
            <w:tcW w:w="3826" w:type="dxa"/>
            <w:vAlign w:val="center"/>
          </w:tcPr>
          <w:p w14:paraId="6A0F59ED" w14:textId="133F930C"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 xml:space="preserve"> pore volume (L</w:t>
            </w:r>
            <w:r w:rsidRPr="005244BD">
              <w:rPr>
                <w:rFonts w:asciiTheme="majorBidi" w:hAnsiTheme="majorBidi" w:cstheme="majorBidi"/>
                <w:color w:val="000000"/>
                <w:vertAlign w:val="superscript"/>
                <w:lang w:eastAsia="en-GB"/>
              </w:rPr>
              <w:t>3</w:t>
            </w:r>
            <w:r w:rsidRPr="005244BD">
              <w:rPr>
                <w:rFonts w:asciiTheme="majorBidi" w:hAnsiTheme="majorBidi" w:cstheme="majorBidi"/>
                <w:color w:val="000000"/>
                <w:lang w:eastAsia="en-GB"/>
              </w:rPr>
              <w:t xml:space="preserve">) </w:t>
            </w:r>
          </w:p>
        </w:tc>
      </w:tr>
      <w:tr w:rsidR="00760BDC" w:rsidRPr="005244BD" w14:paraId="010131E5" w14:textId="77777777" w:rsidTr="005D54AF">
        <w:trPr>
          <w:trHeight w:val="256"/>
        </w:trPr>
        <w:tc>
          <w:tcPr>
            <w:tcW w:w="846" w:type="dxa"/>
            <w:vMerge/>
            <w:vAlign w:val="center"/>
          </w:tcPr>
          <w:p w14:paraId="7EC65186" w14:textId="77777777" w:rsidR="00760BDC" w:rsidRPr="005244BD" w:rsidRDefault="00760BDC" w:rsidP="005D54AF">
            <w:pPr>
              <w:spacing w:after="0" w:line="240" w:lineRule="auto"/>
            </w:pPr>
          </w:p>
        </w:tc>
        <w:tc>
          <w:tcPr>
            <w:tcW w:w="3827" w:type="dxa"/>
            <w:vMerge/>
            <w:vAlign w:val="center"/>
          </w:tcPr>
          <w:p w14:paraId="19327140" w14:textId="77777777" w:rsidR="00760BDC" w:rsidRPr="005244BD" w:rsidRDefault="00760BDC" w:rsidP="005D54AF">
            <w:pPr>
              <w:spacing w:after="0" w:line="240" w:lineRule="auto"/>
              <w:rPr>
                <w:rFonts w:ascii="Times New Roman" w:eastAsiaTheme="minorEastAsia" w:hAnsi="Times New Roman" w:cs="Times New Roman"/>
              </w:rPr>
            </w:pPr>
          </w:p>
        </w:tc>
        <w:tc>
          <w:tcPr>
            <w:tcW w:w="851" w:type="dxa"/>
            <w:vAlign w:val="center"/>
          </w:tcPr>
          <w:p w14:paraId="3F2F698F" w14:textId="08F8EEEE" w:rsidR="00760BDC" w:rsidRPr="005244BD" w:rsidRDefault="007E5EE0" w:rsidP="005D54AF">
            <w:pPr>
              <w:spacing w:after="0" w:line="240" w:lineRule="auto"/>
              <w:rPr>
                <w:rFonts w:asciiTheme="majorBidi" w:hAnsiTheme="majorBidi" w:cstheme="majorBidi"/>
                <w:color w:val="000000"/>
                <w:lang w:eastAsia="en-GB"/>
              </w:rPr>
            </w:pPr>
            <m:oMathPara>
              <m:oMathParaPr>
                <m:jc m:val="left"/>
              </m:oMathParaPr>
              <m:oMath>
                <m:sSubSup>
                  <m:sSubSupPr>
                    <m:ctrlPr>
                      <w:rPr>
                        <w:rFonts w:ascii="Cambria Math" w:eastAsiaTheme="minorEastAsia" w:hAnsi="Cambria Math" w:cstheme="majorBidi"/>
                        <w:i/>
                      </w:rPr>
                    </m:ctrlPr>
                  </m:sSubSupPr>
                  <m:e>
                    <m:r>
                      <w:rPr>
                        <w:rFonts w:ascii="Cambria Math" w:eastAsiaTheme="minorEastAsia" w:hAnsi="Cambria Math" w:cstheme="majorBidi"/>
                      </w:rPr>
                      <m:t>V</m:t>
                    </m:r>
                  </m:e>
                  <m:sub>
                    <m:r>
                      <m:rPr>
                        <m:sty m:val="p"/>
                      </m:rPr>
                      <w:rPr>
                        <w:rFonts w:ascii="Cambria Math" w:eastAsiaTheme="minorEastAsia" w:hAnsi="Cambria Math" w:cstheme="majorBidi"/>
                      </w:rPr>
                      <m:t>bio</m:t>
                    </m:r>
                    <m:r>
                      <w:rPr>
                        <w:rFonts w:ascii="Cambria Math" w:eastAsiaTheme="minorEastAsia" w:hAnsi="Cambria Math" w:cstheme="majorBidi"/>
                      </w:rPr>
                      <m:t>,i</m:t>
                    </m:r>
                  </m:sub>
                  <m:sup>
                    <m:r>
                      <w:rPr>
                        <w:rFonts w:ascii="Cambria Math" w:eastAsiaTheme="minorEastAsia" w:hAnsi="Cambria Math" w:cstheme="majorBidi"/>
                      </w:rPr>
                      <m:t>t</m:t>
                    </m:r>
                  </m:sup>
                </m:sSubSup>
              </m:oMath>
            </m:oMathPara>
          </w:p>
        </w:tc>
        <w:tc>
          <w:tcPr>
            <w:tcW w:w="3826" w:type="dxa"/>
            <w:vAlign w:val="center"/>
          </w:tcPr>
          <w:p w14:paraId="18F16D77" w14:textId="50F2E372"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 xml:space="preserve">Volume of bio in pore </w:t>
            </w:r>
            <m:oMath>
              <m:r>
                <w:rPr>
                  <w:rFonts w:ascii="Cambria Math" w:eastAsiaTheme="minorEastAsia" w:hAnsi="Cambria Math" w:cstheme="majorBidi"/>
                </w:rPr>
                <m:t>i</m:t>
              </m:r>
            </m:oMath>
            <w:r w:rsidRPr="005244BD">
              <w:rPr>
                <w:rFonts w:asciiTheme="majorBidi" w:eastAsiaTheme="minorEastAsia" w:hAnsiTheme="majorBidi" w:cstheme="majorBidi"/>
                <w:vertAlign w:val="superscript"/>
              </w:rPr>
              <w:t>th</w:t>
            </w:r>
            <w:r w:rsidRPr="005244BD">
              <w:rPr>
                <w:rFonts w:asciiTheme="majorBidi" w:hAnsiTheme="majorBidi" w:cstheme="majorBidi"/>
                <w:color w:val="000000"/>
                <w:lang w:eastAsia="en-GB"/>
              </w:rPr>
              <w:t xml:space="preserve"> at time t (L</w:t>
            </w:r>
            <w:r w:rsidRPr="005244BD">
              <w:rPr>
                <w:rFonts w:asciiTheme="majorBidi" w:hAnsiTheme="majorBidi" w:cstheme="majorBidi"/>
                <w:color w:val="000000"/>
                <w:vertAlign w:val="superscript"/>
                <w:lang w:eastAsia="en-GB"/>
              </w:rPr>
              <w:t>3</w:t>
            </w:r>
            <w:r w:rsidRPr="005244BD">
              <w:rPr>
                <w:rFonts w:asciiTheme="majorBidi" w:hAnsiTheme="majorBidi" w:cstheme="majorBidi"/>
                <w:color w:val="000000"/>
                <w:lang w:eastAsia="en-GB"/>
              </w:rPr>
              <w:t>)</w:t>
            </w:r>
          </w:p>
        </w:tc>
      </w:tr>
      <w:tr w:rsidR="00760BDC" w:rsidRPr="005244BD" w14:paraId="2055F6F7" w14:textId="77777777" w:rsidTr="005D54AF">
        <w:trPr>
          <w:trHeight w:val="856"/>
        </w:trPr>
        <w:tc>
          <w:tcPr>
            <w:tcW w:w="846" w:type="dxa"/>
            <w:vAlign w:val="center"/>
          </w:tcPr>
          <w:p w14:paraId="7B2C4ECF" w14:textId="4CD0FFF6" w:rsidR="00760BDC" w:rsidRPr="005244BD" w:rsidRDefault="007E5EE0" w:rsidP="005D54AF">
            <w:pPr>
              <w:spacing w:after="0" w:line="240" w:lineRule="auto"/>
              <w:rPr>
                <w:rFonts w:asciiTheme="majorBidi" w:hAnsiTheme="majorBidi" w:cstheme="majorBidi"/>
                <w:highlight w:val="yellow"/>
                <w:lang w:eastAsia="en-GB"/>
              </w:rPr>
            </w:pPr>
            <m:oMathPara>
              <m:oMathParaPr>
                <m:jc m:val="left"/>
              </m:oMathParaPr>
              <m:oMath>
                <m:sSub>
                  <m:sSubPr>
                    <m:ctrlPr>
                      <w:rPr>
                        <w:rFonts w:ascii="Cambria Math" w:eastAsiaTheme="minorEastAsia" w:hAnsi="Cambria Math" w:cstheme="majorBidi"/>
                        <w:i/>
                      </w:rPr>
                    </m:ctrlPr>
                  </m:sSubPr>
                  <m:e>
                    <m:r>
                      <w:rPr>
                        <w:rFonts w:ascii="Cambria Math" w:eastAsiaTheme="minorEastAsia" w:hAnsi="Cambria Math" w:cstheme="majorBidi"/>
                      </w:rPr>
                      <m:t>K</m:t>
                    </m:r>
                  </m:e>
                  <m:sub>
                    <m:eqArr>
                      <m:eqArrPr>
                        <m:ctrlPr>
                          <w:rPr>
                            <w:rFonts w:ascii="Cambria Math" w:eastAsiaTheme="minorEastAsia" w:hAnsi="Cambria Math" w:cstheme="majorBidi"/>
                            <w:i/>
                          </w:rPr>
                        </m:ctrlPr>
                      </m:eqArrPr>
                      <m:e>
                        <m:r>
                          <w:rPr>
                            <w:rFonts w:ascii="Cambria Math" w:eastAsiaTheme="minorEastAsia" w:hAnsi="Cambria Math" w:cstheme="majorBidi"/>
                          </w:rPr>
                          <m:t xml:space="preserve">effec, </m:t>
                        </m:r>
                      </m:e>
                      <m:e>
                        <m:r>
                          <w:rPr>
                            <w:rFonts w:ascii="Cambria Math" w:eastAsiaTheme="minorEastAsia" w:hAnsi="Cambria Math" w:cstheme="majorBidi"/>
                          </w:rPr>
                          <m:t>no bio</m:t>
                        </m:r>
                      </m:e>
                    </m:eqArr>
                  </m:sub>
                </m:sSub>
              </m:oMath>
            </m:oMathPara>
          </w:p>
        </w:tc>
        <w:tc>
          <w:tcPr>
            <w:tcW w:w="3827" w:type="dxa"/>
            <w:vAlign w:val="center"/>
          </w:tcPr>
          <w:p w14:paraId="6DD855B4" w14:textId="7F0D01E4" w:rsidR="00760BDC" w:rsidRPr="005244BD" w:rsidRDefault="00760BDC" w:rsidP="005D54AF">
            <w:pPr>
              <w:spacing w:after="0" w:line="240" w:lineRule="auto"/>
              <w:rPr>
                <w:rFonts w:asciiTheme="majorBidi" w:hAnsiTheme="majorBidi" w:cstheme="majorBidi"/>
                <w:color w:val="000000"/>
                <w:highlight w:val="yellow"/>
                <w:lang w:eastAsia="en-GB"/>
              </w:rPr>
            </w:pPr>
            <w:r w:rsidRPr="005244BD">
              <w:rPr>
                <w:rFonts w:ascii="Times New Roman" w:eastAsiaTheme="minorEastAsia" w:hAnsi="Times New Roman" w:cs="Times New Roman"/>
              </w:rPr>
              <w:t>effective  permeability</w:t>
            </w:r>
            <w:r w:rsidRPr="005244BD">
              <w:rPr>
                <w:rFonts w:ascii="Times New Roman" w:eastAsiaTheme="minorEastAsia" w:hAnsi="Times New Roman"/>
              </w:rPr>
              <w:t xml:space="preserve"> </w:t>
            </w:r>
            <w:r w:rsidRPr="005244BD">
              <w:rPr>
                <w:rFonts w:asciiTheme="majorBidi" w:hAnsiTheme="majorBidi" w:cstheme="majorBidi"/>
                <w:color w:val="000000"/>
                <w:lang w:eastAsia="en-GB"/>
              </w:rPr>
              <w:t>(L</w:t>
            </w:r>
            <w:r w:rsidRPr="005244BD">
              <w:rPr>
                <w:rFonts w:asciiTheme="majorBidi" w:hAnsiTheme="majorBidi" w:cstheme="majorBidi"/>
                <w:color w:val="000000"/>
                <w:vertAlign w:val="superscript"/>
                <w:lang w:eastAsia="en-GB"/>
              </w:rPr>
              <w:t>2</w:t>
            </w:r>
            <w:r w:rsidRPr="005244BD">
              <w:rPr>
                <w:rFonts w:asciiTheme="majorBidi" w:hAnsiTheme="majorBidi" w:cstheme="majorBidi"/>
                <w:color w:val="000000"/>
                <w:lang w:eastAsia="en-GB"/>
              </w:rPr>
              <w:t>) when biofilm is assumed as a very high permeable phase</w:t>
            </w:r>
          </w:p>
        </w:tc>
        <w:tc>
          <w:tcPr>
            <w:tcW w:w="851" w:type="dxa"/>
            <w:vAlign w:val="center"/>
          </w:tcPr>
          <w:p w14:paraId="12F1F895" w14:textId="44964652" w:rsidR="00760BDC" w:rsidRPr="005244BD" w:rsidRDefault="007E5EE0" w:rsidP="005D54AF">
            <w:pPr>
              <w:spacing w:after="0" w:line="240" w:lineRule="auto"/>
              <w:rPr>
                <w:rFonts w:asciiTheme="majorBidi" w:hAnsiTheme="majorBidi" w:cstheme="majorBidi"/>
                <w:color w:val="000000"/>
                <w:lang w:eastAsia="en-GB"/>
              </w:rPr>
            </w:pPr>
            <m:oMathPara>
              <m:oMathParaPr>
                <m:jc m:val="left"/>
              </m:oMathParaPr>
              <m:oMath>
                <m:sSub>
                  <m:sSubPr>
                    <m:ctrlPr>
                      <w:rPr>
                        <w:rFonts w:ascii="Cambria Math" w:eastAsiaTheme="minorEastAsia" w:hAnsi="Cambria Math" w:cstheme="majorBidi"/>
                        <w:i/>
                      </w:rPr>
                    </m:ctrlPr>
                  </m:sSubPr>
                  <m:e>
                    <m:r>
                      <w:rPr>
                        <w:rFonts w:ascii="Cambria Math" w:eastAsiaTheme="minorEastAsia" w:hAnsi="Cambria Math" w:cstheme="majorBidi"/>
                      </w:rPr>
                      <m:t>Y</m:t>
                    </m:r>
                  </m:e>
                  <m:sub>
                    <m:r>
                      <m:rPr>
                        <m:sty m:val="p"/>
                      </m:rPr>
                      <w:rPr>
                        <w:rFonts w:ascii="Cambria Math" w:eastAsiaTheme="minorEastAsia" w:hAnsi="Cambria Math" w:cstheme="majorBidi"/>
                      </w:rPr>
                      <m:t>bio</m:t>
                    </m:r>
                  </m:sub>
                </m:sSub>
              </m:oMath>
            </m:oMathPara>
          </w:p>
        </w:tc>
        <w:tc>
          <w:tcPr>
            <w:tcW w:w="3826" w:type="dxa"/>
            <w:vAlign w:val="center"/>
          </w:tcPr>
          <w:p w14:paraId="4823CC00" w14:textId="54148F4E" w:rsidR="00760BDC" w:rsidRPr="005244BD" w:rsidRDefault="00760BDC" w:rsidP="005D54AF">
            <w:pPr>
              <w:spacing w:after="0" w:line="240" w:lineRule="auto"/>
              <w:rPr>
                <w:rFonts w:asciiTheme="majorBidi" w:hAnsiTheme="majorBidi" w:cstheme="majorBidi"/>
                <w:color w:val="000000"/>
                <w:lang w:eastAsia="en-GB"/>
              </w:rPr>
            </w:pPr>
            <w:r w:rsidRPr="005244BD">
              <w:rPr>
                <w:rFonts w:ascii="Times New Roman" w:eastAsiaTheme="minorEastAsia" w:hAnsi="Times New Roman" w:cs="Times New Roman"/>
              </w:rPr>
              <w:t>yield or stoichiometric coefficient (mg of biomass per mg of NAPL)</w:t>
            </w:r>
          </w:p>
        </w:tc>
      </w:tr>
      <w:tr w:rsidR="00760BDC" w:rsidRPr="005244BD" w14:paraId="7D3668FE" w14:textId="77777777" w:rsidTr="005D54AF">
        <w:trPr>
          <w:trHeight w:val="213"/>
        </w:trPr>
        <w:tc>
          <w:tcPr>
            <w:tcW w:w="846" w:type="dxa"/>
            <w:vAlign w:val="center"/>
          </w:tcPr>
          <w:p w14:paraId="31FE9986" w14:textId="57B6F09F" w:rsidR="00760BDC" w:rsidRPr="005244BD" w:rsidRDefault="007E5EE0" w:rsidP="005D54AF">
            <w:pPr>
              <w:spacing w:after="0" w:line="240" w:lineRule="auto"/>
              <w:rPr>
                <w:iCs/>
              </w:rPr>
            </w:pPr>
            <m:oMathPara>
              <m:oMathParaPr>
                <m:jc m:val="left"/>
              </m:oMathParaPr>
              <m:oMath>
                <m:sSub>
                  <m:sSubPr>
                    <m:ctrlPr>
                      <w:rPr>
                        <w:rFonts w:ascii="Cambria Math" w:eastAsiaTheme="minorEastAsia" w:hAnsi="Cambria Math" w:cstheme="majorBidi"/>
                        <w:i/>
                      </w:rPr>
                    </m:ctrlPr>
                  </m:sSubPr>
                  <m:e>
                    <m:r>
                      <w:rPr>
                        <w:rFonts w:ascii="Cambria Math" w:eastAsiaTheme="minorEastAsia" w:hAnsi="Cambria Math" w:cstheme="majorBidi"/>
                      </w:rPr>
                      <m:t>K</m:t>
                    </m:r>
                  </m:e>
                  <m:sub>
                    <m:r>
                      <m:rPr>
                        <m:sty m:val="p"/>
                      </m:rPr>
                      <w:rPr>
                        <w:rFonts w:ascii="Cambria Math" w:eastAsiaTheme="minorEastAsia" w:hAnsi="Cambria Math" w:cstheme="majorBidi"/>
                      </w:rPr>
                      <m:t>ext</m:t>
                    </m:r>
                  </m:sub>
                </m:sSub>
              </m:oMath>
            </m:oMathPara>
          </w:p>
        </w:tc>
        <w:tc>
          <w:tcPr>
            <w:tcW w:w="3827" w:type="dxa"/>
            <w:vAlign w:val="center"/>
          </w:tcPr>
          <w:p w14:paraId="0F547330" w14:textId="2039DF07" w:rsidR="00760BDC" w:rsidRPr="005244BD" w:rsidRDefault="00760BDC" w:rsidP="005D54AF">
            <w:pPr>
              <w:spacing w:after="0" w:line="240" w:lineRule="auto"/>
              <w:rPr>
                <w:rFonts w:asciiTheme="majorBidi" w:eastAsiaTheme="minorEastAsia" w:hAnsiTheme="majorBidi" w:cstheme="majorBidi"/>
                <w:iCs/>
              </w:rPr>
            </w:pPr>
            <w:r w:rsidRPr="005244BD">
              <w:rPr>
                <w:rFonts w:ascii="Times New Roman" w:eastAsiaTheme="minorEastAsia" w:hAnsi="Times New Roman" w:cs="Times New Roman"/>
              </w:rPr>
              <w:t>extinction coefficient of bacteria</w:t>
            </w:r>
            <w:r w:rsidRPr="005244BD">
              <w:rPr>
                <w:rFonts w:ascii="Times New Roman" w:eastAsiaTheme="minorEastAsia" w:hAnsi="Times New Roman"/>
              </w:rPr>
              <w:t xml:space="preserve"> (T</w:t>
            </w:r>
            <w:r w:rsidRPr="005244BD">
              <w:rPr>
                <w:rFonts w:ascii="Times New Roman" w:eastAsiaTheme="minorEastAsia" w:hAnsi="Times New Roman"/>
                <w:vertAlign w:val="superscript"/>
              </w:rPr>
              <w:t>-1</w:t>
            </w:r>
            <w:r w:rsidRPr="005244BD">
              <w:rPr>
                <w:rFonts w:ascii="Times New Roman" w:eastAsiaTheme="minorEastAsia" w:hAnsi="Times New Roman"/>
              </w:rPr>
              <w:t>)</w:t>
            </w:r>
          </w:p>
        </w:tc>
        <w:tc>
          <w:tcPr>
            <w:tcW w:w="851" w:type="dxa"/>
            <w:vAlign w:val="center"/>
          </w:tcPr>
          <w:p w14:paraId="63E217F1" w14:textId="158A8DBE" w:rsidR="00760BDC" w:rsidRPr="005244BD" w:rsidRDefault="00760BDC" w:rsidP="005D54AF">
            <w:pPr>
              <w:spacing w:after="0" w:line="240" w:lineRule="auto"/>
              <w:rPr>
                <w:rFonts w:ascii="Times New Roman" w:eastAsiaTheme="minorEastAsia" w:hAnsi="Times New Roman" w:cs="Times New Roman"/>
              </w:rPr>
            </w:pPr>
          </w:p>
        </w:tc>
        <w:tc>
          <w:tcPr>
            <w:tcW w:w="3826" w:type="dxa"/>
            <w:vAlign w:val="center"/>
          </w:tcPr>
          <w:p w14:paraId="158DD523" w14:textId="02D08BA9" w:rsidR="00760BDC" w:rsidRPr="005244BD" w:rsidRDefault="00760BDC" w:rsidP="005D54AF">
            <w:pPr>
              <w:spacing w:after="0" w:line="240" w:lineRule="auto"/>
              <w:rPr>
                <w:rFonts w:ascii="Times New Roman" w:eastAsiaTheme="minorEastAsia" w:hAnsi="Times New Roman" w:cs="Times New Roman"/>
              </w:rPr>
            </w:pPr>
          </w:p>
        </w:tc>
      </w:tr>
      <w:tr w:rsidR="00760BDC" w:rsidRPr="005244BD" w14:paraId="3B1C17CB" w14:textId="77777777" w:rsidTr="005D54AF">
        <w:trPr>
          <w:trHeight w:val="450"/>
        </w:trPr>
        <w:tc>
          <w:tcPr>
            <w:tcW w:w="846" w:type="dxa"/>
            <w:vAlign w:val="center"/>
          </w:tcPr>
          <w:p w14:paraId="45C3AF11" w14:textId="599DF8EE" w:rsidR="00760BDC" w:rsidRPr="005244BD" w:rsidRDefault="007E5EE0" w:rsidP="005D54AF">
            <w:pPr>
              <w:spacing w:after="0" w:line="240" w:lineRule="auto"/>
              <w:rPr>
                <w:iCs/>
              </w:rPr>
            </w:pPr>
            <m:oMathPara>
              <m:oMathParaPr>
                <m:jc m:val="left"/>
              </m:oMathParaPr>
              <m:oMath>
                <m:sSub>
                  <m:sSubPr>
                    <m:ctrlPr>
                      <w:rPr>
                        <w:rFonts w:ascii="Cambria Math" w:eastAsiaTheme="minorEastAsia" w:hAnsi="Cambria Math" w:cstheme="majorBidi"/>
                        <w:i/>
                        <w:iCs/>
                      </w:rPr>
                    </m:ctrlPr>
                  </m:sSubPr>
                  <m:e>
                    <m:r>
                      <w:rPr>
                        <w:rFonts w:ascii="Cambria Math" w:eastAsiaTheme="minorEastAsia" w:hAnsi="Cambria Math" w:cstheme="majorBidi"/>
                      </w:rPr>
                      <m:t>K</m:t>
                    </m:r>
                  </m:e>
                  <m:sub>
                    <m:r>
                      <w:rPr>
                        <w:rFonts w:ascii="Cambria Math" w:eastAsiaTheme="minorEastAsia" w:hAnsi="Cambria Math" w:cstheme="majorBidi"/>
                      </w:rPr>
                      <m:t>i</m:t>
                    </m:r>
                  </m:sub>
                </m:sSub>
              </m:oMath>
            </m:oMathPara>
          </w:p>
        </w:tc>
        <w:tc>
          <w:tcPr>
            <w:tcW w:w="3827" w:type="dxa"/>
            <w:vAlign w:val="center"/>
          </w:tcPr>
          <w:p w14:paraId="7F200A78" w14:textId="1C63B0FC" w:rsidR="00760BDC" w:rsidRPr="005244BD" w:rsidRDefault="00760BDC" w:rsidP="005D54AF">
            <w:pPr>
              <w:spacing w:after="0" w:line="240" w:lineRule="auto"/>
              <w:rPr>
                <w:rFonts w:asciiTheme="majorBidi" w:eastAsiaTheme="minorEastAsia" w:hAnsiTheme="majorBidi" w:cstheme="majorBidi"/>
                <w:iCs/>
              </w:rPr>
            </w:pPr>
            <w:r w:rsidRPr="005244BD">
              <w:rPr>
                <w:rFonts w:asciiTheme="majorBidi" w:eastAsiaTheme="minorEastAsia" w:hAnsiTheme="majorBidi" w:cstheme="majorBidi"/>
                <w:iCs/>
              </w:rPr>
              <w:t>inhibition coefficient (M L</w:t>
            </w:r>
            <w:r w:rsidRPr="005244BD">
              <w:rPr>
                <w:rFonts w:asciiTheme="majorBidi" w:eastAsiaTheme="minorEastAsia" w:hAnsiTheme="majorBidi" w:cstheme="majorBidi"/>
                <w:iCs/>
                <w:vertAlign w:val="superscript"/>
              </w:rPr>
              <w:t>-3</w:t>
            </w:r>
            <w:r w:rsidRPr="005244BD">
              <w:rPr>
                <w:rFonts w:asciiTheme="majorBidi" w:eastAsiaTheme="minorEastAsia" w:hAnsiTheme="majorBidi" w:cstheme="majorBidi"/>
                <w:iCs/>
              </w:rPr>
              <w:t>)</w:t>
            </w:r>
          </w:p>
        </w:tc>
        <w:tc>
          <w:tcPr>
            <w:tcW w:w="4677" w:type="dxa"/>
            <w:gridSpan w:val="2"/>
            <w:vAlign w:val="center"/>
          </w:tcPr>
          <w:p w14:paraId="7CD9659C" w14:textId="55BFEE07" w:rsidR="00760BDC" w:rsidRPr="005244BD" w:rsidRDefault="00760BDC" w:rsidP="005D54AF">
            <w:pPr>
              <w:spacing w:after="0" w:line="240" w:lineRule="auto"/>
              <w:rPr>
                <w:rFonts w:ascii="Times New Roman" w:eastAsiaTheme="minorEastAsia" w:hAnsi="Times New Roman" w:cs="Times New Roman"/>
              </w:rPr>
            </w:pPr>
            <w:r w:rsidRPr="005244BD">
              <w:rPr>
                <w:rFonts w:asciiTheme="majorBidi" w:hAnsiTheme="majorBidi" w:cstheme="majorBidi"/>
                <w:b/>
                <w:bCs/>
                <w:color w:val="000000"/>
                <w:lang w:eastAsia="en-GB"/>
              </w:rPr>
              <w:t>Greek symbols</w:t>
            </w:r>
          </w:p>
        </w:tc>
      </w:tr>
      <w:tr w:rsidR="00760BDC" w:rsidRPr="005244BD" w14:paraId="6C6FE1A8" w14:textId="77777777" w:rsidTr="005D54AF">
        <w:trPr>
          <w:trHeight w:val="450"/>
        </w:trPr>
        <w:tc>
          <w:tcPr>
            <w:tcW w:w="846" w:type="dxa"/>
            <w:vMerge w:val="restart"/>
            <w:vAlign w:val="center"/>
          </w:tcPr>
          <w:p w14:paraId="5A9A5CA5" w14:textId="6C857B38" w:rsidR="00760BDC" w:rsidRPr="005244BD" w:rsidRDefault="007E5EE0" w:rsidP="005D54AF">
            <w:pPr>
              <w:spacing w:after="0" w:line="240" w:lineRule="auto"/>
            </w:pPr>
            <m:oMathPara>
              <m:oMathParaPr>
                <m:jc m:val="left"/>
              </m:oMathParaPr>
              <m:oMath>
                <m:sSub>
                  <m:sSubPr>
                    <m:ctrlPr>
                      <w:rPr>
                        <w:rFonts w:ascii="Cambria Math" w:eastAsiaTheme="minorEastAsia" w:hAnsi="Cambria Math" w:cstheme="majorBidi"/>
                        <w:i/>
                        <w:iCs/>
                      </w:rPr>
                    </m:ctrlPr>
                  </m:sSubPr>
                  <m:e>
                    <m:r>
                      <w:rPr>
                        <w:rFonts w:ascii="Cambria Math" w:eastAsiaTheme="minorEastAsia" w:hAnsi="Cambria Math" w:cstheme="majorBidi"/>
                      </w:rPr>
                      <m:t>K</m:t>
                    </m:r>
                  </m:e>
                  <m:sub>
                    <m:r>
                      <w:rPr>
                        <w:rFonts w:ascii="Cambria Math" w:eastAsiaTheme="minorEastAsia" w:hAnsi="Cambria Math" w:cstheme="majorBidi"/>
                      </w:rPr>
                      <m:t>m,A</m:t>
                    </m:r>
                  </m:sub>
                </m:sSub>
              </m:oMath>
            </m:oMathPara>
          </w:p>
        </w:tc>
        <w:tc>
          <w:tcPr>
            <w:tcW w:w="3827" w:type="dxa"/>
            <w:vMerge w:val="restart"/>
            <w:vAlign w:val="center"/>
          </w:tcPr>
          <w:p w14:paraId="6EE0FC8E" w14:textId="57D5096E" w:rsidR="00760BDC" w:rsidRPr="005244BD" w:rsidRDefault="00760BDC" w:rsidP="005D54AF">
            <w:pPr>
              <w:spacing w:after="0" w:line="240" w:lineRule="auto"/>
              <w:rPr>
                <w:rFonts w:ascii="Times New Roman" w:eastAsiaTheme="minorEastAsia" w:hAnsi="Times New Roman"/>
              </w:rPr>
            </w:pPr>
            <w:r w:rsidRPr="005244BD">
              <w:rPr>
                <w:rFonts w:asciiTheme="majorBidi" w:eastAsiaTheme="minorEastAsia" w:hAnsiTheme="majorBidi" w:cstheme="majorBidi"/>
                <w:iCs/>
              </w:rPr>
              <w:t>half-saturation constant for species A biodegradation rate (M L</w:t>
            </w:r>
            <w:r w:rsidRPr="005244BD">
              <w:rPr>
                <w:rFonts w:asciiTheme="majorBidi" w:eastAsiaTheme="minorEastAsia" w:hAnsiTheme="majorBidi" w:cstheme="majorBidi"/>
                <w:iCs/>
                <w:vertAlign w:val="superscript"/>
              </w:rPr>
              <w:t>-3</w:t>
            </w:r>
            <w:r w:rsidRPr="005244BD">
              <w:rPr>
                <w:rFonts w:asciiTheme="majorBidi" w:eastAsiaTheme="minorEastAsia" w:hAnsiTheme="majorBidi" w:cstheme="majorBidi"/>
                <w:iCs/>
              </w:rPr>
              <w:t>)</w:t>
            </w:r>
          </w:p>
        </w:tc>
        <w:tc>
          <w:tcPr>
            <w:tcW w:w="851" w:type="dxa"/>
            <w:vAlign w:val="center"/>
          </w:tcPr>
          <w:p w14:paraId="4845D2E4" w14:textId="74D9F796" w:rsidR="00760BDC" w:rsidRPr="005244BD" w:rsidRDefault="00760BDC" w:rsidP="005D54AF">
            <w:pPr>
              <w:spacing w:after="0" w:line="240" w:lineRule="auto"/>
              <w:rPr>
                <w:rFonts w:asciiTheme="majorBidi" w:hAnsiTheme="majorBidi" w:cstheme="majorBidi"/>
                <w:color w:val="000000"/>
                <w:lang w:eastAsia="en-GB"/>
              </w:rPr>
            </w:pPr>
            <m:oMath>
              <m:r>
                <w:rPr>
                  <w:rFonts w:ascii="Cambria Math" w:hAnsi="Cambria Math" w:cstheme="majorBidi"/>
                  <w:color w:val="000000"/>
                  <w:lang w:eastAsia="en-GB"/>
                </w:rPr>
                <m:t>Δ</m:t>
              </m:r>
              <m:r>
                <m:rPr>
                  <m:sty m:val="p"/>
                </m:rPr>
                <w:rPr>
                  <w:rFonts w:ascii="Cambria Math" w:hAnsi="Cambria Math" w:cstheme="majorBidi"/>
                  <w:color w:val="000000"/>
                  <w:lang w:eastAsia="en-GB"/>
                </w:rPr>
                <m:t>t</m:t>
              </m:r>
            </m:oMath>
            <w:r w:rsidRPr="005244BD">
              <w:rPr>
                <w:rFonts w:asciiTheme="majorBidi" w:hAnsiTheme="majorBidi" w:cstheme="majorBidi"/>
              </w:rPr>
              <w:t xml:space="preserve"> </w:t>
            </w:r>
          </w:p>
        </w:tc>
        <w:tc>
          <w:tcPr>
            <w:tcW w:w="3826" w:type="dxa"/>
            <w:vAlign w:val="center"/>
          </w:tcPr>
          <w:p w14:paraId="39B83FAF" w14:textId="68FC1F70"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increment in time (T)</w:t>
            </w:r>
          </w:p>
        </w:tc>
      </w:tr>
      <w:tr w:rsidR="00760BDC" w:rsidRPr="005244BD" w14:paraId="33E16087" w14:textId="77777777" w:rsidTr="005D54AF">
        <w:trPr>
          <w:trHeight w:val="294"/>
        </w:trPr>
        <w:tc>
          <w:tcPr>
            <w:tcW w:w="846" w:type="dxa"/>
            <w:vMerge/>
            <w:vAlign w:val="center"/>
          </w:tcPr>
          <w:p w14:paraId="2D4EF28C" w14:textId="77777777" w:rsidR="00760BDC" w:rsidRPr="005244BD" w:rsidRDefault="00760BDC" w:rsidP="005D54AF">
            <w:pPr>
              <w:spacing w:after="0" w:line="240" w:lineRule="auto"/>
            </w:pPr>
          </w:p>
        </w:tc>
        <w:tc>
          <w:tcPr>
            <w:tcW w:w="3827" w:type="dxa"/>
            <w:vMerge/>
            <w:vAlign w:val="center"/>
          </w:tcPr>
          <w:p w14:paraId="48BBBA0D" w14:textId="77777777" w:rsidR="00760BDC" w:rsidRPr="005244BD" w:rsidRDefault="00760BDC" w:rsidP="005D54AF">
            <w:pPr>
              <w:spacing w:after="0" w:line="240" w:lineRule="auto"/>
              <w:rPr>
                <w:rFonts w:ascii="Times New Roman" w:eastAsiaTheme="minorEastAsia" w:hAnsi="Times New Roman" w:cs="Times New Roman"/>
              </w:rPr>
            </w:pPr>
          </w:p>
        </w:tc>
        <w:tc>
          <w:tcPr>
            <w:tcW w:w="851" w:type="dxa"/>
            <w:vAlign w:val="center"/>
          </w:tcPr>
          <w:p w14:paraId="64DD72B7" w14:textId="2B4F05E6" w:rsidR="00760BDC" w:rsidRPr="005244BD" w:rsidRDefault="00760BDC" w:rsidP="005D54AF">
            <w:pPr>
              <w:spacing w:after="0" w:line="240" w:lineRule="auto"/>
              <w:rPr>
                <w:rFonts w:asciiTheme="majorBidi" w:hAnsiTheme="majorBidi" w:cstheme="majorBidi"/>
                <w:color w:val="000000"/>
                <w:lang w:eastAsia="en-GB"/>
              </w:rPr>
            </w:pPr>
            <m:oMath>
              <m:r>
                <w:rPr>
                  <w:rFonts w:ascii="Cambria Math" w:hAnsi="Cambria Math" w:cstheme="majorBidi"/>
                  <w:color w:val="000000"/>
                  <w:lang w:eastAsia="en-GB"/>
                </w:rPr>
                <m:t>μ</m:t>
              </m:r>
            </m:oMath>
            <w:r w:rsidRPr="005244BD">
              <w:rPr>
                <w:rFonts w:asciiTheme="majorBidi" w:hAnsiTheme="majorBidi" w:cstheme="majorBidi"/>
                <w:color w:val="000000"/>
                <w:lang w:eastAsia="en-GB"/>
              </w:rPr>
              <w:t xml:space="preserve"> </w:t>
            </w:r>
          </w:p>
        </w:tc>
        <w:tc>
          <w:tcPr>
            <w:tcW w:w="3826" w:type="dxa"/>
            <w:vAlign w:val="center"/>
          </w:tcPr>
          <w:p w14:paraId="1E86C933" w14:textId="11A205D9"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viscosity (M L</w:t>
            </w:r>
            <w:r w:rsidRPr="005244BD">
              <w:rPr>
                <w:rFonts w:asciiTheme="majorBidi" w:hAnsiTheme="majorBidi" w:cstheme="majorBidi"/>
                <w:color w:val="000000"/>
                <w:vertAlign w:val="superscript"/>
                <w:lang w:eastAsia="en-GB"/>
              </w:rPr>
              <w:t>-1</w:t>
            </w:r>
            <w:r w:rsidRPr="005244BD">
              <w:rPr>
                <w:rFonts w:asciiTheme="majorBidi" w:hAnsiTheme="majorBidi" w:cstheme="majorBidi"/>
                <w:color w:val="000000"/>
                <w:lang w:eastAsia="en-GB"/>
              </w:rPr>
              <w:t>T</w:t>
            </w:r>
            <w:r w:rsidRPr="005244BD">
              <w:rPr>
                <w:rFonts w:asciiTheme="majorBidi" w:hAnsiTheme="majorBidi" w:cstheme="majorBidi"/>
                <w:color w:val="000000"/>
                <w:vertAlign w:val="superscript"/>
                <w:lang w:eastAsia="en-GB"/>
              </w:rPr>
              <w:t>-1</w:t>
            </w:r>
            <w:r w:rsidRPr="005244BD">
              <w:rPr>
                <w:rFonts w:asciiTheme="majorBidi" w:hAnsiTheme="majorBidi" w:cstheme="majorBidi"/>
                <w:color w:val="000000"/>
                <w:lang w:eastAsia="en-GB"/>
              </w:rPr>
              <w:t>)</w:t>
            </w:r>
          </w:p>
        </w:tc>
      </w:tr>
      <w:tr w:rsidR="00760BDC" w:rsidRPr="005244BD" w14:paraId="2899D451" w14:textId="77777777" w:rsidTr="005D54AF">
        <w:trPr>
          <w:trHeight w:val="876"/>
        </w:trPr>
        <w:tc>
          <w:tcPr>
            <w:tcW w:w="846" w:type="dxa"/>
            <w:vAlign w:val="center"/>
          </w:tcPr>
          <w:p w14:paraId="113A050E" w14:textId="789153A2" w:rsidR="00760BDC" w:rsidRPr="005244BD" w:rsidRDefault="007E5EE0" w:rsidP="005D54AF">
            <w:pPr>
              <w:spacing w:after="0" w:line="240" w:lineRule="auto"/>
              <w:rPr>
                <w:color w:val="000000"/>
                <w:lang w:eastAsia="en-GB"/>
              </w:rPr>
            </w:pPr>
            <m:oMathPara>
              <m:oMathParaPr>
                <m:jc m:val="left"/>
              </m:oMathParaPr>
              <m:oMath>
                <m:sSub>
                  <m:sSubPr>
                    <m:ctrlPr>
                      <w:rPr>
                        <w:rFonts w:ascii="Cambria Math" w:eastAsiaTheme="minorEastAsia" w:hAnsi="Cambria Math" w:cstheme="majorBidi"/>
                        <w:i/>
                        <w:iCs/>
                      </w:rPr>
                    </m:ctrlPr>
                  </m:sSubPr>
                  <m:e>
                    <m:r>
                      <w:rPr>
                        <w:rFonts w:ascii="Cambria Math" w:eastAsiaTheme="minorEastAsia" w:hAnsi="Cambria Math" w:cstheme="majorBidi"/>
                      </w:rPr>
                      <m:t>K</m:t>
                    </m:r>
                  </m:e>
                  <m:sub>
                    <m:r>
                      <w:rPr>
                        <w:rFonts w:ascii="Cambria Math" w:eastAsiaTheme="minorEastAsia" w:hAnsi="Cambria Math" w:cstheme="majorBidi"/>
                      </w:rPr>
                      <m:t>m,B</m:t>
                    </m:r>
                  </m:sub>
                </m:sSub>
              </m:oMath>
            </m:oMathPara>
          </w:p>
        </w:tc>
        <w:tc>
          <w:tcPr>
            <w:tcW w:w="3827" w:type="dxa"/>
            <w:vAlign w:val="center"/>
          </w:tcPr>
          <w:p w14:paraId="79E0AB32" w14:textId="7A4275C5"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eastAsiaTheme="minorEastAsia" w:hAnsiTheme="majorBidi" w:cstheme="majorBidi"/>
                <w:iCs/>
              </w:rPr>
              <w:t>half-saturation constant for species B biodegradation rate (M L</w:t>
            </w:r>
            <w:r w:rsidRPr="005244BD">
              <w:rPr>
                <w:rFonts w:asciiTheme="majorBidi" w:eastAsiaTheme="minorEastAsia" w:hAnsiTheme="majorBidi" w:cstheme="majorBidi"/>
                <w:iCs/>
                <w:vertAlign w:val="superscript"/>
              </w:rPr>
              <w:t>-3</w:t>
            </w:r>
            <w:r w:rsidRPr="005244BD">
              <w:rPr>
                <w:rFonts w:asciiTheme="majorBidi" w:eastAsiaTheme="minorEastAsia" w:hAnsiTheme="majorBidi" w:cstheme="majorBidi"/>
                <w:iCs/>
              </w:rPr>
              <w:t>)</w:t>
            </w:r>
          </w:p>
        </w:tc>
        <w:tc>
          <w:tcPr>
            <w:tcW w:w="851" w:type="dxa"/>
            <w:vAlign w:val="center"/>
          </w:tcPr>
          <w:p w14:paraId="3B149773" w14:textId="277CC288" w:rsidR="00760BDC" w:rsidRPr="005244BD" w:rsidRDefault="007E5EE0" w:rsidP="005D54AF">
            <w:pPr>
              <w:spacing w:after="0" w:line="240" w:lineRule="auto"/>
              <w:rPr>
                <w:rFonts w:asciiTheme="majorBidi" w:hAnsiTheme="majorBidi" w:cstheme="majorBidi"/>
                <w:color w:val="000000"/>
                <w:lang w:eastAsia="en-GB"/>
              </w:rPr>
            </w:pPr>
            <m:oMathPara>
              <m:oMathParaPr>
                <m:jc m:val="left"/>
              </m:oMathParaPr>
              <m:oMath>
                <m:sSub>
                  <m:sSubPr>
                    <m:ctrlPr>
                      <w:rPr>
                        <w:rFonts w:ascii="Cambria Math" w:eastAsiaTheme="minorEastAsia" w:hAnsi="Cambria Math" w:cstheme="majorBidi"/>
                        <w:i/>
                      </w:rPr>
                    </m:ctrlPr>
                  </m:sSubPr>
                  <m:e>
                    <m:r>
                      <w:rPr>
                        <w:rFonts w:ascii="Cambria Math" w:eastAsiaTheme="minorEastAsia" w:hAnsi="Cambria Math" w:cstheme="majorBidi"/>
                      </w:rPr>
                      <m:t>μ</m:t>
                    </m:r>
                  </m:e>
                  <m:sub>
                    <m:r>
                      <m:rPr>
                        <m:sty m:val="p"/>
                      </m:rPr>
                      <w:rPr>
                        <w:rFonts w:ascii="Cambria Math" w:eastAsiaTheme="minorEastAsia" w:hAnsi="Cambria Math" w:cstheme="majorBidi"/>
                      </w:rPr>
                      <m:t>bio</m:t>
                    </m:r>
                  </m:sub>
                </m:sSub>
              </m:oMath>
            </m:oMathPara>
          </w:p>
        </w:tc>
        <w:tc>
          <w:tcPr>
            <w:tcW w:w="3826" w:type="dxa"/>
            <w:vAlign w:val="center"/>
          </w:tcPr>
          <w:p w14:paraId="2002DB0A" w14:textId="783FA9EE"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eastAsiaTheme="minorEastAsia" w:hAnsiTheme="majorBidi" w:cstheme="majorBidi"/>
                <w:iCs/>
              </w:rPr>
              <w:t xml:space="preserve">maximum reaction rate (specific </w:t>
            </w:r>
            <w:r w:rsidRPr="005244BD">
              <w:rPr>
                <w:rFonts w:asciiTheme="majorBidi" w:hAnsiTheme="majorBidi" w:cstheme="majorBidi"/>
                <w:color w:val="000000"/>
                <w:lang w:eastAsia="en-GB"/>
              </w:rPr>
              <w:t>degradation</w:t>
            </w:r>
            <w:r w:rsidRPr="005244BD">
              <w:rPr>
                <w:rFonts w:asciiTheme="majorBidi" w:eastAsiaTheme="minorEastAsia" w:hAnsiTheme="majorBidi" w:cstheme="majorBidi"/>
                <w:iCs/>
              </w:rPr>
              <w:t xml:space="preserve"> rate) for the species A (T</w:t>
            </w:r>
            <w:r w:rsidRPr="005244BD">
              <w:rPr>
                <w:rFonts w:asciiTheme="majorBidi" w:eastAsiaTheme="minorEastAsia" w:hAnsiTheme="majorBidi" w:cstheme="majorBidi"/>
                <w:iCs/>
                <w:vertAlign w:val="superscript"/>
              </w:rPr>
              <w:t>-1</w:t>
            </w:r>
            <w:r w:rsidRPr="005244BD">
              <w:rPr>
                <w:rFonts w:asciiTheme="majorBidi" w:eastAsiaTheme="minorEastAsia" w:hAnsiTheme="majorBidi" w:cstheme="majorBidi"/>
                <w:iCs/>
              </w:rPr>
              <w:t>)</w:t>
            </w:r>
          </w:p>
        </w:tc>
      </w:tr>
      <w:tr w:rsidR="00760BDC" w:rsidRPr="005244BD" w14:paraId="415DDC60" w14:textId="77777777" w:rsidTr="005D54AF">
        <w:tc>
          <w:tcPr>
            <w:tcW w:w="846" w:type="dxa"/>
            <w:vMerge w:val="restart"/>
            <w:vAlign w:val="center"/>
          </w:tcPr>
          <w:p w14:paraId="304CBCF8" w14:textId="7315668E" w:rsidR="00760BDC" w:rsidRPr="005244BD" w:rsidRDefault="007E5EE0" w:rsidP="005D54AF">
            <w:pPr>
              <w:spacing w:after="0" w:line="240" w:lineRule="auto"/>
            </w:pPr>
            <m:oMathPara>
              <m:oMathParaPr>
                <m:jc m:val="left"/>
              </m:oMathParaPr>
              <m:oMath>
                <m:sSub>
                  <m:sSubPr>
                    <m:ctrlPr>
                      <w:rPr>
                        <w:rFonts w:ascii="Cambria Math" w:eastAsia="Times New Roman" w:hAnsi="Cambria Math" w:cs="Times New Roman"/>
                        <w:i/>
                      </w:rPr>
                    </m:ctrlPr>
                  </m:sSubPr>
                  <m:e>
                    <m:r>
                      <w:rPr>
                        <w:rFonts w:ascii="Cambria Math" w:hAnsi="Cambria Math"/>
                      </w:rPr>
                      <m:t>K</m:t>
                    </m:r>
                  </m:e>
                  <m:sub>
                    <m:r>
                      <m:rPr>
                        <m:sty m:val="p"/>
                      </m:rPr>
                      <w:rPr>
                        <w:rFonts w:ascii="Cambria Math" w:hAnsi="Cambria Math"/>
                      </w:rPr>
                      <m:t>part</m:t>
                    </m:r>
                  </m:sub>
                </m:sSub>
              </m:oMath>
            </m:oMathPara>
          </w:p>
        </w:tc>
        <w:tc>
          <w:tcPr>
            <w:tcW w:w="3827" w:type="dxa"/>
            <w:vMerge w:val="restart"/>
            <w:vAlign w:val="center"/>
          </w:tcPr>
          <w:p w14:paraId="0AFA4D64" w14:textId="170C4ED3" w:rsidR="00760BDC" w:rsidRPr="005244BD" w:rsidRDefault="00760BDC" w:rsidP="005D54AF">
            <w:pPr>
              <w:spacing w:after="0" w:line="240" w:lineRule="auto"/>
              <w:rPr>
                <w:rFonts w:asciiTheme="majorBidi" w:eastAsiaTheme="minorEastAsia" w:hAnsiTheme="majorBidi" w:cstheme="majorBidi"/>
              </w:rPr>
            </w:pPr>
            <w:r w:rsidRPr="005244BD">
              <w:rPr>
                <w:rFonts w:ascii="Times New Roman" w:eastAsiaTheme="minorEastAsia" w:hAnsi="Times New Roman" w:cs="Times New Roman"/>
              </w:rPr>
              <w:t>partitioning coefficient between the NAPL and the biofilm phase</w:t>
            </w:r>
          </w:p>
        </w:tc>
        <w:tc>
          <w:tcPr>
            <w:tcW w:w="851" w:type="dxa"/>
            <w:vAlign w:val="center"/>
          </w:tcPr>
          <w:p w14:paraId="3F7799E5" w14:textId="4E1AC7E4" w:rsidR="00760BDC" w:rsidRPr="005244BD" w:rsidRDefault="007E5EE0" w:rsidP="005D54AF">
            <w:pPr>
              <w:spacing w:after="0" w:line="240" w:lineRule="auto"/>
              <w:rPr>
                <w:rFonts w:ascii="Times New Roman" w:hAnsi="Times New Roman" w:cs="Times New Roman"/>
                <w:color w:val="000000"/>
                <w:lang w:eastAsia="en-GB"/>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ρ</m:t>
                    </m:r>
                  </m:e>
                  <m:sub>
                    <m:r>
                      <m:rPr>
                        <m:sty m:val="p"/>
                      </m:rPr>
                      <w:rPr>
                        <w:rFonts w:ascii="Cambria Math" w:eastAsiaTheme="minorEastAsia" w:hAnsi="Cambria Math" w:cs="Times New Roman"/>
                      </w:rPr>
                      <m:t>bio</m:t>
                    </m:r>
                  </m:sub>
                </m:sSub>
              </m:oMath>
            </m:oMathPara>
          </w:p>
        </w:tc>
        <w:tc>
          <w:tcPr>
            <w:tcW w:w="3826" w:type="dxa"/>
            <w:vAlign w:val="center"/>
          </w:tcPr>
          <w:p w14:paraId="6A57B23E" w14:textId="39CB8585" w:rsidR="00760BDC" w:rsidRPr="005244BD" w:rsidRDefault="00DE3AF0" w:rsidP="00DE3AF0">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biomass density (wet mass per volume) (M L</w:t>
            </w:r>
            <w:r w:rsidRPr="005244BD">
              <w:rPr>
                <w:rFonts w:asciiTheme="majorBidi" w:hAnsiTheme="majorBidi" w:cstheme="majorBidi"/>
                <w:color w:val="000000"/>
                <w:vertAlign w:val="superscript"/>
                <w:lang w:eastAsia="en-GB"/>
              </w:rPr>
              <w:t>-3</w:t>
            </w:r>
            <w:r w:rsidRPr="005244BD">
              <w:rPr>
                <w:rFonts w:asciiTheme="majorBidi" w:hAnsiTheme="majorBidi" w:cstheme="majorBidi"/>
                <w:color w:val="000000"/>
                <w:lang w:eastAsia="en-GB"/>
              </w:rPr>
              <w:t>)</w:t>
            </w:r>
          </w:p>
        </w:tc>
      </w:tr>
      <w:tr w:rsidR="00760BDC" w:rsidRPr="005244BD" w14:paraId="46C3E3F3" w14:textId="77777777" w:rsidTr="005D54AF">
        <w:tc>
          <w:tcPr>
            <w:tcW w:w="846" w:type="dxa"/>
            <w:vMerge/>
            <w:vAlign w:val="center"/>
          </w:tcPr>
          <w:p w14:paraId="781E4F94" w14:textId="1DE88D81" w:rsidR="00760BDC" w:rsidRPr="005244BD" w:rsidRDefault="00760BDC" w:rsidP="005D54AF">
            <w:pPr>
              <w:spacing w:after="0" w:line="240" w:lineRule="auto"/>
            </w:pPr>
          </w:p>
        </w:tc>
        <w:tc>
          <w:tcPr>
            <w:tcW w:w="3827" w:type="dxa"/>
            <w:vMerge/>
            <w:vAlign w:val="center"/>
          </w:tcPr>
          <w:p w14:paraId="3DDFC937" w14:textId="19F9C433" w:rsidR="00760BDC" w:rsidRPr="005244BD" w:rsidRDefault="00760BDC" w:rsidP="005D54AF">
            <w:pPr>
              <w:spacing w:after="0" w:line="240" w:lineRule="auto"/>
              <w:rPr>
                <w:rFonts w:asciiTheme="majorBidi" w:eastAsiaTheme="minorEastAsia" w:hAnsiTheme="majorBidi" w:cstheme="majorBidi"/>
              </w:rPr>
            </w:pPr>
          </w:p>
        </w:tc>
        <w:tc>
          <w:tcPr>
            <w:tcW w:w="851" w:type="dxa"/>
            <w:vAlign w:val="center"/>
          </w:tcPr>
          <w:p w14:paraId="4D3724E9" w14:textId="05CA100C" w:rsidR="00760BDC" w:rsidRPr="005244BD" w:rsidRDefault="00760BDC" w:rsidP="005D54AF">
            <w:pPr>
              <w:spacing w:after="0" w:line="240" w:lineRule="auto"/>
              <w:rPr>
                <w:rFonts w:ascii="Times New Roman" w:hAnsi="Times New Roman" w:cs="Times New Roman"/>
                <w:color w:val="000000"/>
                <w:lang w:eastAsia="en-GB"/>
              </w:rPr>
            </w:pPr>
            <m:oMath>
              <m:r>
                <w:rPr>
                  <w:rFonts w:ascii="Cambria Math" w:hAnsi="Cambria Math" w:cstheme="majorBidi"/>
                  <w:color w:val="000000"/>
                  <w:lang w:eastAsia="en-GB"/>
                </w:rPr>
                <m:t>ϕ</m:t>
              </m:r>
            </m:oMath>
            <w:r w:rsidRPr="005244BD">
              <w:rPr>
                <w:rFonts w:asciiTheme="majorBidi" w:hAnsiTheme="majorBidi" w:cstheme="majorBidi"/>
                <w:color w:val="000000"/>
                <w:lang w:eastAsia="en-GB"/>
              </w:rPr>
              <w:t xml:space="preserve"> </w:t>
            </w:r>
          </w:p>
        </w:tc>
        <w:tc>
          <w:tcPr>
            <w:tcW w:w="3826" w:type="dxa"/>
            <w:vAlign w:val="center"/>
          </w:tcPr>
          <w:p w14:paraId="578FE7FE" w14:textId="33D65CB9" w:rsidR="00760BDC" w:rsidRPr="005244BD" w:rsidRDefault="00760BDC" w:rsidP="005D54AF">
            <w:pPr>
              <w:spacing w:after="0" w:line="240" w:lineRule="auto"/>
              <w:rPr>
                <w:rFonts w:asciiTheme="majorBidi" w:hAnsiTheme="majorBidi" w:cstheme="majorBidi"/>
                <w:color w:val="000000"/>
                <w:lang w:eastAsia="en-GB"/>
              </w:rPr>
            </w:pPr>
            <w:r w:rsidRPr="005244BD">
              <w:rPr>
                <w:rFonts w:asciiTheme="majorBidi" w:hAnsiTheme="majorBidi" w:cstheme="majorBidi"/>
                <w:color w:val="000000"/>
                <w:lang w:eastAsia="en-GB"/>
              </w:rPr>
              <w:t>porosity (fraction)</w:t>
            </w:r>
          </w:p>
        </w:tc>
      </w:tr>
    </w:tbl>
    <w:p w14:paraId="402027B3" w14:textId="77777777" w:rsidR="00F81936" w:rsidRPr="005244BD" w:rsidRDefault="00F81936">
      <w:pPr>
        <w:spacing w:after="200" w:line="276" w:lineRule="auto"/>
        <w:rPr>
          <w:rFonts w:asciiTheme="majorBidi" w:eastAsiaTheme="majorEastAsia" w:hAnsiTheme="majorBidi" w:cstheme="majorBidi"/>
          <w:b/>
          <w:bCs/>
          <w:color w:val="365F91" w:themeColor="accent1" w:themeShade="BF"/>
          <w:sz w:val="28"/>
          <w:szCs w:val="28"/>
        </w:rPr>
      </w:pPr>
      <w:r w:rsidRPr="005244BD">
        <w:rPr>
          <w:rFonts w:asciiTheme="majorBidi" w:hAnsiTheme="majorBidi"/>
        </w:rPr>
        <w:br w:type="page"/>
      </w:r>
    </w:p>
    <w:p w14:paraId="217C65C4" w14:textId="13B5CA57" w:rsidR="003D0DC6" w:rsidRPr="005244BD" w:rsidRDefault="003D0DC6" w:rsidP="003D0DC6">
      <w:pPr>
        <w:pStyle w:val="Heading1"/>
        <w:spacing w:line="480" w:lineRule="auto"/>
        <w:rPr>
          <w:rFonts w:asciiTheme="majorBidi" w:hAnsiTheme="majorBidi"/>
        </w:rPr>
      </w:pPr>
      <w:r w:rsidRPr="005244BD">
        <w:rPr>
          <w:rFonts w:asciiTheme="majorBidi" w:hAnsiTheme="majorBidi"/>
        </w:rPr>
        <w:lastRenderedPageBreak/>
        <w:t>1</w:t>
      </w:r>
      <w:r w:rsidR="00051696" w:rsidRPr="005244BD">
        <w:rPr>
          <w:rFonts w:asciiTheme="majorBidi" w:hAnsiTheme="majorBidi"/>
        </w:rPr>
        <w:t xml:space="preserve"> </w:t>
      </w:r>
      <w:r w:rsidRPr="005244BD">
        <w:rPr>
          <w:rFonts w:asciiTheme="majorBidi" w:hAnsiTheme="majorBidi"/>
        </w:rPr>
        <w:t>–</w:t>
      </w:r>
      <w:r w:rsidR="00051696" w:rsidRPr="005244BD">
        <w:rPr>
          <w:rFonts w:asciiTheme="majorBidi" w:hAnsiTheme="majorBidi"/>
        </w:rPr>
        <w:t xml:space="preserve"> </w:t>
      </w:r>
      <w:r w:rsidRPr="005244BD">
        <w:rPr>
          <w:rFonts w:asciiTheme="majorBidi" w:hAnsiTheme="majorBidi"/>
        </w:rPr>
        <w:t>Introduction</w:t>
      </w:r>
    </w:p>
    <w:p w14:paraId="050E467B" w14:textId="70D3E1A6" w:rsidR="00AB37E6" w:rsidRPr="005244BD" w:rsidRDefault="00AB37E6" w:rsidP="005A5E4D">
      <w:pPr>
        <w:spacing w:line="480" w:lineRule="auto"/>
        <w:jc w:val="both"/>
        <w:rPr>
          <w:rFonts w:asciiTheme="majorBidi" w:eastAsiaTheme="minorEastAsia" w:hAnsiTheme="majorBidi" w:cstheme="majorBidi"/>
          <w:iCs/>
          <w:szCs w:val="18"/>
        </w:rPr>
      </w:pPr>
      <w:r w:rsidRPr="005244BD">
        <w:rPr>
          <w:rFonts w:asciiTheme="majorBidi" w:eastAsiaTheme="minorEastAsia" w:hAnsiTheme="majorBidi" w:cstheme="majorBidi"/>
          <w:iCs/>
          <w:szCs w:val="18"/>
        </w:rPr>
        <w:t xml:space="preserve">Contamination of soil and aquifer by non-aqueous-phase liquids (NAPLs) and other industrial waste are encountered </w:t>
      </w:r>
      <w:r w:rsidR="00FF731E" w:rsidRPr="005244BD">
        <w:rPr>
          <w:rFonts w:asciiTheme="majorBidi" w:eastAsiaTheme="minorEastAsia" w:hAnsiTheme="majorBidi" w:cstheme="majorBidi"/>
          <w:iCs/>
          <w:szCs w:val="18"/>
        </w:rPr>
        <w:t>because of</w:t>
      </w:r>
      <w:r w:rsidRPr="005244BD">
        <w:rPr>
          <w:rFonts w:asciiTheme="majorBidi" w:eastAsiaTheme="minorEastAsia" w:hAnsiTheme="majorBidi" w:cstheme="majorBidi"/>
          <w:iCs/>
          <w:szCs w:val="18"/>
        </w:rPr>
        <w:t xml:space="preserve"> their </w:t>
      </w:r>
      <w:r w:rsidR="005A5E4D" w:rsidRPr="005244BD">
        <w:rPr>
          <w:rFonts w:asciiTheme="majorBidi" w:eastAsiaTheme="minorEastAsia" w:hAnsiTheme="majorBidi" w:cstheme="majorBidi"/>
          <w:iCs/>
          <w:szCs w:val="18"/>
        </w:rPr>
        <w:t>ubiquitous</w:t>
      </w:r>
      <w:r w:rsidRPr="005244BD">
        <w:rPr>
          <w:rFonts w:asciiTheme="majorBidi" w:eastAsiaTheme="minorEastAsia" w:hAnsiTheme="majorBidi" w:cstheme="majorBidi"/>
          <w:iCs/>
          <w:szCs w:val="18"/>
        </w:rPr>
        <w:t xml:space="preserve"> use, </w:t>
      </w:r>
      <w:r w:rsidR="00FF731E" w:rsidRPr="005244BD">
        <w:rPr>
          <w:rFonts w:asciiTheme="majorBidi" w:eastAsiaTheme="minorEastAsia" w:hAnsiTheme="majorBidi" w:cstheme="majorBidi"/>
          <w:iCs/>
          <w:szCs w:val="18"/>
        </w:rPr>
        <w:t xml:space="preserve">unintended </w:t>
      </w:r>
      <w:r w:rsidRPr="005244BD">
        <w:rPr>
          <w:rFonts w:asciiTheme="majorBidi" w:eastAsiaTheme="minorEastAsia" w:hAnsiTheme="majorBidi" w:cstheme="majorBidi"/>
          <w:iCs/>
          <w:szCs w:val="18"/>
        </w:rPr>
        <w:t>release and, perhaps poor disposal. Several remediation/removal option</w:t>
      </w:r>
      <w:r w:rsidR="000D3C6D" w:rsidRPr="005244BD">
        <w:rPr>
          <w:rFonts w:asciiTheme="majorBidi" w:eastAsiaTheme="minorEastAsia" w:hAnsiTheme="majorBidi" w:cstheme="majorBidi"/>
          <w:iCs/>
          <w:szCs w:val="18"/>
        </w:rPr>
        <w:t>s</w:t>
      </w:r>
      <w:r w:rsidRPr="005244BD">
        <w:rPr>
          <w:rFonts w:asciiTheme="majorBidi" w:eastAsiaTheme="minorEastAsia" w:hAnsiTheme="majorBidi" w:cstheme="majorBidi"/>
          <w:iCs/>
          <w:szCs w:val="18"/>
        </w:rPr>
        <w:t xml:space="preserve"> have been used to remove NAPL from </w:t>
      </w:r>
      <w:r w:rsidR="00B96A4F" w:rsidRPr="005244BD">
        <w:rPr>
          <w:rFonts w:asciiTheme="majorBidi" w:eastAsiaTheme="minorEastAsia" w:hAnsiTheme="majorBidi" w:cstheme="majorBidi"/>
          <w:iCs/>
          <w:szCs w:val="18"/>
        </w:rPr>
        <w:t xml:space="preserve">soil and </w:t>
      </w:r>
      <w:r w:rsidRPr="005244BD">
        <w:rPr>
          <w:rFonts w:asciiTheme="majorBidi" w:eastAsiaTheme="minorEastAsia" w:hAnsiTheme="majorBidi" w:cstheme="majorBidi"/>
          <w:iCs/>
          <w:szCs w:val="18"/>
        </w:rPr>
        <w:t xml:space="preserve">groundwater including ex-situ and </w:t>
      </w:r>
      <w:r w:rsidRPr="005244BD">
        <w:t>i</w:t>
      </w:r>
      <w:r w:rsidRPr="005244BD">
        <w:rPr>
          <w:rFonts w:asciiTheme="majorBidi" w:eastAsiaTheme="minorEastAsia" w:hAnsiTheme="majorBidi" w:cstheme="majorBidi"/>
          <w:iCs/>
          <w:szCs w:val="18"/>
        </w:rPr>
        <w:t>n-situ treatment (biological, chemical, and physical). In the ex-sit</w:t>
      </w:r>
      <w:r w:rsidR="00E63730" w:rsidRPr="005244BD">
        <w:rPr>
          <w:rFonts w:asciiTheme="majorBidi" w:eastAsiaTheme="minorEastAsia" w:hAnsiTheme="majorBidi" w:cstheme="majorBidi"/>
          <w:iCs/>
          <w:szCs w:val="18"/>
        </w:rPr>
        <w:t>u</w:t>
      </w:r>
      <w:r w:rsidRPr="005244BD">
        <w:rPr>
          <w:rFonts w:asciiTheme="majorBidi" w:eastAsiaTheme="minorEastAsia" w:hAnsiTheme="majorBidi" w:cstheme="majorBidi"/>
          <w:iCs/>
          <w:szCs w:val="18"/>
        </w:rPr>
        <w:t xml:space="preserve"> treatment, the source of contamination is taken out from the soil and then treated. </w:t>
      </w:r>
      <w:r w:rsidR="002D5E5F" w:rsidRPr="005244BD">
        <w:rPr>
          <w:rFonts w:asciiTheme="majorBidi" w:eastAsiaTheme="minorEastAsia" w:hAnsiTheme="majorBidi" w:cstheme="majorBidi"/>
          <w:iCs/>
          <w:szCs w:val="18"/>
        </w:rPr>
        <w:t>Ex-situ treatment</w:t>
      </w:r>
      <w:r w:rsidRPr="005244BD">
        <w:rPr>
          <w:rFonts w:asciiTheme="majorBidi" w:eastAsiaTheme="minorEastAsia" w:hAnsiTheme="majorBidi" w:cstheme="majorBidi"/>
          <w:iCs/>
          <w:szCs w:val="18"/>
        </w:rPr>
        <w:t xml:space="preserve"> is </w:t>
      </w:r>
      <w:r w:rsidR="002D5E5F" w:rsidRPr="005244BD">
        <w:rPr>
          <w:rFonts w:asciiTheme="majorBidi" w:eastAsiaTheme="minorEastAsia" w:hAnsiTheme="majorBidi" w:cstheme="majorBidi"/>
          <w:iCs/>
          <w:szCs w:val="18"/>
        </w:rPr>
        <w:t>not always an efficient method</w:t>
      </w:r>
      <w:r w:rsidRPr="005244BD">
        <w:rPr>
          <w:rFonts w:asciiTheme="majorBidi" w:eastAsiaTheme="minorEastAsia" w:hAnsiTheme="majorBidi" w:cstheme="majorBidi"/>
          <w:iCs/>
          <w:szCs w:val="18"/>
        </w:rPr>
        <w:t xml:space="preserve">, so in-situ NAPL remediation </w:t>
      </w:r>
      <w:r w:rsidR="00726BA9" w:rsidRPr="005244BD">
        <w:rPr>
          <w:rFonts w:asciiTheme="majorBidi" w:eastAsiaTheme="minorEastAsia" w:hAnsiTheme="majorBidi" w:cstheme="majorBidi"/>
          <w:iCs/>
          <w:szCs w:val="18"/>
        </w:rPr>
        <w:t xml:space="preserve">methods </w:t>
      </w:r>
      <w:r w:rsidRPr="005244BD">
        <w:rPr>
          <w:rFonts w:asciiTheme="majorBidi" w:eastAsiaTheme="minorEastAsia" w:hAnsiTheme="majorBidi" w:cstheme="majorBidi"/>
          <w:iCs/>
          <w:szCs w:val="18"/>
        </w:rPr>
        <w:t xml:space="preserve">have </w:t>
      </w:r>
      <w:r w:rsidR="00726BA9" w:rsidRPr="005244BD">
        <w:rPr>
          <w:rFonts w:asciiTheme="majorBidi" w:eastAsiaTheme="minorEastAsia" w:hAnsiTheme="majorBidi" w:cstheme="majorBidi"/>
          <w:iCs/>
          <w:szCs w:val="18"/>
        </w:rPr>
        <w:t xml:space="preserve">instead </w:t>
      </w:r>
      <w:r w:rsidRPr="005244BD">
        <w:rPr>
          <w:rFonts w:asciiTheme="majorBidi" w:eastAsiaTheme="minorEastAsia" w:hAnsiTheme="majorBidi" w:cstheme="majorBidi"/>
          <w:iCs/>
          <w:szCs w:val="18"/>
        </w:rPr>
        <w:t>been proposed including chemical oxidation</w:t>
      </w:r>
      <w:r w:rsidR="00A90C2B" w:rsidRPr="005244BD">
        <w:rPr>
          <w:rFonts w:asciiTheme="majorBidi" w:eastAsiaTheme="minorEastAsia" w:hAnsiTheme="majorBidi" w:cstheme="majorBidi"/>
          <w:iCs/>
          <w:szCs w:val="18"/>
        </w:rPr>
        <w:t xml:space="preserve"> </w:t>
      </w:r>
      <w:r w:rsidR="00724243"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{"citationItems":[{"id":"ITEM-1","itemData":{"author":[{"dropping-particle":"","family":"Soga","given":"K","non-dropping-particle":"","parse-names":false,"suffix":""},{"dropping-particle":"","family":"Page","given":"J W E","non-dropping-particle":"","parse-names":false,"suffix":""},{"dropping-particle":"","family":"Illangasekare","given":"T H","non-dropping-particle":"","parse-names":false,"suffix":""}],"container-title":"Journal of Hazardous Materials","id":"ITEM-1","issue":"1-3","issued":{"date-parts":[["2004"]]},"page":"13-27","publisher":"Elsevier","title":"A review of NAPL source zone remediation efficiency and the mass flux approach","type":"article-journal","volume":"110"},"uris":["http://www.mendeley.com/documents/?uuid=39a0e1f1-3786-4af9-989f-9ba1ded3f6c2","http://www.mendeley.com/documents/?uuid=8eed845b-2f4c-4f50-be4e-b3bbfb18941d"]}],"mendeley":{"formattedCitation":"(Soga et al., 2004)","manualFormatting":"(Soga et al., 2004, ","plainTextFormattedCitation":"(Soga et al., 2004)","previouslyFormattedCitation":"(Soga et al., 2004)"},"properties":{"noteIndex":0},"schema":"https://github.com/citation-style-language/schema/raw/master/csl-citation.json"}</w:instrText>
      </w:r>
      <w:r w:rsidR="00724243"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(Soga et al., 2004</w:t>
      </w:r>
      <w:r w:rsidR="00EB0C99" w:rsidRPr="005244BD">
        <w:rPr>
          <w:rFonts w:asciiTheme="majorBidi" w:eastAsiaTheme="minorEastAsia" w:hAnsiTheme="majorBidi" w:cstheme="majorBidi"/>
          <w:iCs/>
          <w:noProof/>
          <w:szCs w:val="18"/>
        </w:rPr>
        <w:t xml:space="preserve">, </w:t>
      </w:r>
      <w:r w:rsidR="00724243" w:rsidRPr="005244BD">
        <w:rPr>
          <w:rFonts w:asciiTheme="majorBidi" w:eastAsiaTheme="minorEastAsia" w:hAnsiTheme="majorBidi" w:cstheme="majorBidi"/>
          <w:iCs/>
          <w:szCs w:val="18"/>
        </w:rPr>
        <w:fldChar w:fldCharType="end"/>
      </w:r>
      <w:r w:rsidR="00A90C2B"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{"citationItems":[{"id":"ITEM-1","itemData":{"author":[{"dropping-particle":"","family":"Huling","given":"Scott G","non-dropping-particle":"","parse-names":false,"suffix":""},{"dropping-particle":"","family":"Pivetz","given":"Bruce E","non-dropping-particle":"","parse-names":false,"suffix":""}],"id":"ITEM-1","issued":{"date-parts":[["2006"]]},"title":"In-situ chemical oxidation","type":"report"},"uris":["http://www.mendeley.com/documents/?uuid=b3dacd4e-a2df-4ce1-a946-8b2b5319b0b3","http://www.mendeley.com/documents/?uuid=7db9042b-e90e-40e9-9d79-ca45435256fb"]}],"mendeley":{"formattedCitation":"(Huling &amp; Pivetz, 2006)","manualFormatting":"Huling &amp; Pivetz, 2006)","plainTextFormattedCitation":"(Huling &amp; Pivetz, 2006)","previouslyFormattedCitation":"(Huling &amp; Pivetz, 2006)"},"properties":{"noteIndex":0},"schema":"https://github.com/citation-style-language/schema/raw/master/csl-citation.json"}</w:instrText>
      </w:r>
      <w:r w:rsidR="00A90C2B"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Huling &amp; Pivetz, 2006)</w:t>
      </w:r>
      <w:r w:rsidR="00A90C2B" w:rsidRPr="005244BD">
        <w:rPr>
          <w:rFonts w:asciiTheme="majorBidi" w:eastAsiaTheme="minorEastAsia" w:hAnsiTheme="majorBidi" w:cstheme="majorBidi"/>
          <w:iCs/>
          <w:szCs w:val="18"/>
        </w:rPr>
        <w:fldChar w:fldCharType="end"/>
      </w:r>
      <w:r w:rsidRPr="005244BD">
        <w:rPr>
          <w:rFonts w:asciiTheme="majorBidi" w:eastAsiaTheme="minorEastAsia" w:hAnsiTheme="majorBidi" w:cstheme="majorBidi"/>
          <w:iCs/>
          <w:szCs w:val="18"/>
        </w:rPr>
        <w:t>, surfactant-enhanced aquifer remediation (SEAR)</w:t>
      </w:r>
      <w:r w:rsidR="00A90C2B" w:rsidRPr="005244BD">
        <w:rPr>
          <w:rFonts w:asciiTheme="majorBidi" w:eastAsiaTheme="minorEastAsia" w:hAnsiTheme="majorBidi" w:cstheme="majorBidi"/>
          <w:iCs/>
          <w:szCs w:val="18"/>
        </w:rPr>
        <w:t xml:space="preserve"> </w:t>
      </w:r>
      <w:r w:rsidR="00A90C2B"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{"citationItems":[{"id":"ITEM-1","itemData":{"author":[{"dropping-particle":"","family":"Fountain","given":"John C","non-dropping-particle":"","parse-names":false,"suffix":""},{"dropping-particle":"","family":"Starr","given":"Robert C","non-dropping-particle":"","parse-names":false,"suffix":""},{"dropping-particle":"","family":"Middleton","given":"Thomas","non-dropping-particle":"","parse-names":false,"suffix":""},{"dropping-particle":"","family":"Beikirch","given":"Michael","non-dropping-particle":"","parse-names":false,"suffix":""},{"dropping-particle":"","family":"Taylor","given":"Craig","non-dropping-particle":"","parse-names":false,"suffix":""},{"dropping-particle":"","family":"Hodge","given":"Dennis","non-dropping-particle":"","parse-names":false,"suffix":""}],"container-title":"Groundwater","id":"ITEM-1","issue":"5","issued":{"date-parts":[["1996"]]},"page":"910-916","publisher":"Wiley Online Library","title":"A controlled field test of surfactant-enhanced aquifer remediation","type":"article-journal","volume":"34"},"uris":["http://www.mendeley.com/documents/?uuid=0545d29a-82e2-4953-8f9f-9aa7e11f60b6","http://www.mendeley.com/documents/?uuid=f9d303b7-17c7-4826-80cf-e2c73d6eb73a"]}],"mendeley":{"formattedCitation":"(Fountain et al., 1996)","manualFormatting":"(Fountain et al., 1996, ","plainTextFormattedCitation":"(Fountain et al., 1996)","previouslyFormattedCitation":"(Fountain et al., 1996)"},"properties":{"noteIndex":0},"schema":"https://github.com/citation-style-language/schema/raw/master/csl-citation.json"}</w:instrText>
      </w:r>
      <w:r w:rsidR="00A90C2B"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(Fountain et al., 1996</w:t>
      </w:r>
      <w:r w:rsidR="004E651B" w:rsidRPr="005244BD">
        <w:rPr>
          <w:rFonts w:asciiTheme="majorBidi" w:eastAsiaTheme="minorEastAsia" w:hAnsiTheme="majorBidi" w:cstheme="majorBidi"/>
          <w:iCs/>
          <w:noProof/>
          <w:szCs w:val="18"/>
        </w:rPr>
        <w:t>,</w:t>
      </w:r>
      <w:r w:rsidR="004E651B" w:rsidRPr="005244BD" w:rsidDel="004E651B">
        <w:rPr>
          <w:rFonts w:asciiTheme="majorBidi" w:eastAsiaTheme="minorEastAsia" w:hAnsiTheme="majorBidi" w:cstheme="majorBidi"/>
          <w:iCs/>
          <w:noProof/>
          <w:szCs w:val="18"/>
        </w:rPr>
        <w:t xml:space="preserve"> </w:t>
      </w:r>
      <w:r w:rsidR="00A90C2B" w:rsidRPr="005244BD">
        <w:rPr>
          <w:rFonts w:asciiTheme="majorBidi" w:eastAsiaTheme="minorEastAsia" w:hAnsiTheme="majorBidi" w:cstheme="majorBidi"/>
          <w:iCs/>
          <w:szCs w:val="18"/>
        </w:rPr>
        <w:fldChar w:fldCharType="end"/>
      </w:r>
      <w:r w:rsidR="00A90C2B"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{"citationItems":[{"id":"ITEM-1","itemData":{"author":[{"dropping-particle":"","family":"Mulligan","given":"C N","non-dropping-particle":"","parse-names":false,"suffix":""},{"dropping-particle":"","family":"Yong","given":"R N","non-dropping-particle":"","parse-names":false,"suffix":""},{"dropping-particle":"","family":"Gibbs","given":"B F","non-dropping-particle":"","parse-names":false,"suffix":""}],"container-title":"Engineering geology","id":"ITEM-1","issue":"1-4","issued":{"date-parts":[["2001"]]},"page":"371-380","publisher":"Elsevier","title":"Surfactant-enhanced remediation of contaminated soil: a review","type":"article-journal","volume":"60"},"uris":["http://www.mendeley.com/documents/?uuid=a36e4989-e215-469a-826a-dc5c49a4ddf3","http://www.mendeley.com/documents/?uuid=f13068ff-0b76-48e9-9ee1-e6cf3b3dc16a"]}],"mendeley":{"formattedCitation":"(Mulligan et al., 2001)","manualFormatting":"Mulligan et al., 2001)","plainTextFormattedCitation":"(Mulligan et al., 2001)","previouslyFormattedCitation":"(Mulligan et al., 2001)"},"properties":{"noteIndex":0},"schema":"https://github.com/citation-style-language/schema/raw/master/csl-citation.json"}</w:instrText>
      </w:r>
      <w:r w:rsidR="00A90C2B"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Mulligan et al., 2001)</w:t>
      </w:r>
      <w:r w:rsidR="00A90C2B" w:rsidRPr="005244BD">
        <w:rPr>
          <w:rFonts w:asciiTheme="majorBidi" w:eastAsiaTheme="minorEastAsia" w:hAnsiTheme="majorBidi" w:cstheme="majorBidi"/>
          <w:iCs/>
          <w:szCs w:val="18"/>
        </w:rPr>
        <w:fldChar w:fldCharType="end"/>
      </w:r>
      <w:r w:rsidRPr="005244BD">
        <w:rPr>
          <w:rFonts w:asciiTheme="majorBidi" w:eastAsiaTheme="minorEastAsia" w:hAnsiTheme="majorBidi" w:cstheme="majorBidi"/>
          <w:iCs/>
          <w:szCs w:val="18"/>
        </w:rPr>
        <w:t xml:space="preserve">, </w:t>
      </w:r>
      <w:r w:rsidR="00C91411" w:rsidRPr="005244BD">
        <w:rPr>
          <w:rFonts w:asciiTheme="majorBidi" w:eastAsiaTheme="minorEastAsia" w:hAnsiTheme="majorBidi" w:cstheme="majorBidi"/>
          <w:iCs/>
          <w:szCs w:val="18"/>
        </w:rPr>
        <w:t xml:space="preserve">bioremediation </w:t>
      </w:r>
      <w:r w:rsidR="00997963"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Singh","given":"Rajbir","non-dropping-particle":"","parse-names":false,"suffix":""},{"dropping-particle":"","family":"Paul","given":"Debarati","non-dropping-particle":"","parse-names":false,"suffix":""},{"dropping-particle":"","family":"Jain","given":"Rakesh K","non-dropping-particle":"","parse-names":false,"suffix":""}],"container-title":"Trends in microbiology","id":"ITEM-1","issue":"9","issued":{"date-parts":[["2006"]]},"page":"389-397","publisher":"Elsevier","title":"Biofilms: implications in bioremediation","type":"article-journal","volume":"14"},"uris":["http://www.mendeley.com/documents/?uuid=cc401ed6-e54e-4d0b-9a77-98e47d4dcf10","http://www.mendeley.com/documents/?uuid=e56af598-9969-4068-8392-8888b74d5a43"]}],"mendeley":{"formattedCitation":"(Singh et al., 2006)","plainTextFormattedCitation":"(Singh et al., 2006)","previouslyFormattedCitation":"(Singh et al., 2006)"},"properties":{"noteIndex":0},"schema":"https://github.com/citation-style-language/schema/raw/master/csl-citation.json"}</w:instrText>
      </w:r>
      <w:r w:rsidR="00997963"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(Singh et al., 2006)</w:t>
      </w:r>
      <w:r w:rsidR="00997963" w:rsidRPr="005244BD">
        <w:rPr>
          <w:rFonts w:asciiTheme="majorBidi" w:eastAsiaTheme="minorEastAsia" w:hAnsiTheme="majorBidi" w:cstheme="majorBidi"/>
          <w:iCs/>
          <w:szCs w:val="18"/>
        </w:rPr>
        <w:fldChar w:fldCharType="end"/>
      </w:r>
      <w:r w:rsidRPr="005244BD">
        <w:rPr>
          <w:rFonts w:asciiTheme="majorBidi" w:eastAsiaTheme="minorEastAsia" w:hAnsiTheme="majorBidi" w:cstheme="majorBidi"/>
          <w:iCs/>
          <w:szCs w:val="18"/>
        </w:rPr>
        <w:t>, vapour extraction</w:t>
      </w:r>
      <w:r w:rsidR="00997963" w:rsidRPr="005244BD">
        <w:rPr>
          <w:rFonts w:asciiTheme="majorBidi" w:eastAsiaTheme="minorEastAsia" w:hAnsiTheme="majorBidi" w:cstheme="majorBidi"/>
          <w:iCs/>
          <w:szCs w:val="18"/>
        </w:rPr>
        <w:t xml:space="preserve"> </w:t>
      </w:r>
      <w:r w:rsidR="00997963"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Heron","given":"Gorm","non-dropping-particle":"","parse-names":false,"suffix":""},{"dropping-particle":"","family":"Carroll","given":"Steven","non-dropping-particle":"","parse-names":false,"suffix":""},{"dropping-particle":"","family":"Nielsen","given":"Steffen G","non-dropping-particle":"","parse-names":false,"suffix":""}],"container-title":"Groundwater Monitoring &amp; Remediation","id":"ITEM-1","issue":"4","issued":{"date-parts":[["2005"]]},"page":"92-107","publisher":"Wiley Online Library","title":"Full-scale removal of DNAPL constituents using steam-enhanced extraction and electrical resistance heating","type":"article-journal","volume":"25"},"uris":["http://www.mendeley.com/documents/?uuid=3f9f879c-5c41-4b5c-87e1-b4bd8e723445","http://www.mendeley.com/documents/?uuid=cb61d323-1087-4930-8ec1-0bfafd5d4ba3"]}],"mendeley":{"formattedCitation":"(Heron et al., 2005)","plainTextFormattedCitation":"(Heron et al., 2005)","previouslyFormattedCitation":"(Heron et al., 2005)"},"properties":{"noteIndex":0},"schema":"https://github.com/citation-style-language/schema/raw/master/csl-citation.json"}</w:instrText>
      </w:r>
      <w:r w:rsidR="00997963"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(Heron et al., 2005)</w:t>
      </w:r>
      <w:r w:rsidR="00997963" w:rsidRPr="005244BD">
        <w:rPr>
          <w:rFonts w:asciiTheme="majorBidi" w:eastAsiaTheme="minorEastAsia" w:hAnsiTheme="majorBidi" w:cstheme="majorBidi"/>
          <w:iCs/>
          <w:szCs w:val="18"/>
        </w:rPr>
        <w:fldChar w:fldCharType="end"/>
      </w:r>
      <w:r w:rsidRPr="005244BD">
        <w:rPr>
          <w:rFonts w:asciiTheme="majorBidi" w:eastAsiaTheme="minorEastAsia" w:hAnsiTheme="majorBidi" w:cstheme="majorBidi"/>
          <w:iCs/>
          <w:szCs w:val="18"/>
        </w:rPr>
        <w:t>, and natural attenuation</w:t>
      </w:r>
      <w:r w:rsidR="00997963" w:rsidRPr="005244BD">
        <w:rPr>
          <w:rFonts w:asciiTheme="majorBidi" w:eastAsiaTheme="minorEastAsia" w:hAnsiTheme="majorBidi" w:cstheme="majorBidi"/>
          <w:iCs/>
          <w:szCs w:val="18"/>
        </w:rPr>
        <w:t xml:space="preserve"> </w:t>
      </w:r>
      <w:r w:rsidR="00997963"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{"citationItems":[{"id":"ITEM-1","itemData":{"author":[{"dropping-particle":"","family":"Wiedemeier","given":"Todd H","non-dropping-particle":"","parse-names":false,"suffix":""},{"dropping-particle":"","family":"Rifai","given":"Hanadi S","non-dropping-particle":"","parse-names":false,"suffix":""},{"dropping-particle":"","family":"Newell","given":"Charles J","non-dropping-particle":"","parse-names":false,"suffix":""},{"dropping-particle":"","family":"Wilson","given":"John T","non-dropping-particle":"","parse-names":false,"suffix":""}],"id":"ITEM-1","issued":{"date-parts":[["1999"]]},"publisher":"John Wiley &amp; Sons","title":"Natural attenuation of fuels and chlorinated solvents in the subsurface","type":"book"},"uris":["http://www.mendeley.com/documents/?uuid=c6652cf8-3374-472c-b5fa-d776a3874b2b","http://www.mendeley.com/documents/?uuid=ea2dcf4e-7433-4a53-b258-96da9eb364ee"]}],"mendeley":{"formattedCitation":"(Wiedemeier et al., 1999)","manualFormatting":"(Wiedemeier et al., 1999, ","plainTextFormattedCitation":"(Wiedemeier et al., 1999)","previouslyFormattedCitation":"(Wiedemeier et al., 1999)"},"properties":{"noteIndex":0},"schema":"https://github.com/citation-style-language/schema/raw/master/csl-citation.json"}</w:instrText>
      </w:r>
      <w:r w:rsidR="00997963"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(Wiedemeier et al., 1999</w:t>
      </w:r>
      <w:r w:rsidR="004E651B" w:rsidRPr="005244BD">
        <w:rPr>
          <w:rFonts w:asciiTheme="majorBidi" w:eastAsiaTheme="minorEastAsia" w:hAnsiTheme="majorBidi" w:cstheme="majorBidi"/>
          <w:iCs/>
          <w:noProof/>
          <w:szCs w:val="18"/>
        </w:rPr>
        <w:t>,</w:t>
      </w:r>
      <w:r w:rsidR="004E651B" w:rsidRPr="005244BD" w:rsidDel="004E651B">
        <w:rPr>
          <w:rFonts w:asciiTheme="majorBidi" w:eastAsiaTheme="minorEastAsia" w:hAnsiTheme="majorBidi" w:cstheme="majorBidi"/>
          <w:iCs/>
          <w:noProof/>
          <w:szCs w:val="18"/>
        </w:rPr>
        <w:t xml:space="preserve"> </w:t>
      </w:r>
      <w:r w:rsidR="00997963" w:rsidRPr="005244BD">
        <w:rPr>
          <w:rFonts w:asciiTheme="majorBidi" w:eastAsiaTheme="minorEastAsia" w:hAnsiTheme="majorBidi" w:cstheme="majorBidi"/>
          <w:iCs/>
          <w:szCs w:val="18"/>
        </w:rPr>
        <w:fldChar w:fldCharType="end"/>
      </w:r>
      <w:r w:rsidR="009A0D27"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{"citationItems":[{"id":"ITEM-1","itemData":{"author":[{"dropping-particle":"","family":"Lari","given":"Kaveh Sookhak","non-dropping-particle":"","parse-names":false,"suffix":""},{"dropping-particle":"","family":"Davis","given":"Greg B","non-dropping-particle":"","parse-names":false,"suffix":""},{"dropping-particle":"","family":"Rayner","given":"John L","non-dropping-particle":"","parse-names":false,"suffix":""},{"dropping-particle":"","family":"Bastow","given":"Trevor P","non-dropping-particle":"","parse-names":false,"suffix":""},{"dropping-particle":"","family":"Puzon","given":"Geoffrey J","non-dropping-particle":"","parse-names":false,"suffix":""}],"container-title":"Water research","id":"ITEM-1","issued":{"date-parts":[["2019"]]},"publisher":"Elsevier","title":"Natural source zone depletion of LNAPL: A critical review supporting modelling approaches","type":"article-journal"},"uris":["http://www.mendeley.com/documents/?uuid=bb528ca4-838a-43ac-8590-8a4f218eebc8","http://www.mendeley.com/documents/?uuid=78e19b4f-ab17-44d9-a1c3-cb3b2d294e42"]}],"mendeley":{"formattedCitation":"(Lari et al., 2019)","manualFormatting":"Lari et al., 2019)","plainTextFormattedCitation":"(Lari et al., 2019)","previouslyFormattedCitation":"(Lari et al., 2019)"},"properties":{"noteIndex":0},"schema":"https://github.com/citation-style-language/schema/raw/master/csl-citation.json"}</w:instrText>
      </w:r>
      <w:r w:rsidR="009A0D27" w:rsidRPr="005244BD">
        <w:rPr>
          <w:rFonts w:asciiTheme="majorBidi" w:eastAsiaTheme="minorEastAsia" w:hAnsiTheme="majorBidi" w:cstheme="majorBidi"/>
          <w:iCs/>
          <w:szCs w:val="18"/>
        </w:rPr>
        <w:fldChar w:fldCharType="separate"/>
      </w:r>
      <w:r w:rsidR="009A0D27" w:rsidRPr="005244BD">
        <w:rPr>
          <w:rFonts w:asciiTheme="majorBidi" w:eastAsiaTheme="minorEastAsia" w:hAnsiTheme="majorBidi" w:cstheme="majorBidi"/>
          <w:iCs/>
          <w:noProof/>
          <w:szCs w:val="18"/>
        </w:rPr>
        <w:t>Lari et al., 2019)</w:t>
      </w:r>
      <w:r w:rsidR="009A0D27" w:rsidRPr="005244BD">
        <w:rPr>
          <w:rFonts w:asciiTheme="majorBidi" w:eastAsiaTheme="minorEastAsia" w:hAnsiTheme="majorBidi" w:cstheme="majorBidi"/>
          <w:iCs/>
          <w:szCs w:val="18"/>
        </w:rPr>
        <w:fldChar w:fldCharType="end"/>
      </w:r>
      <w:r w:rsidRPr="005244BD">
        <w:rPr>
          <w:rFonts w:asciiTheme="majorBidi" w:eastAsiaTheme="minorEastAsia" w:hAnsiTheme="majorBidi" w:cstheme="majorBidi"/>
          <w:iCs/>
          <w:szCs w:val="18"/>
        </w:rPr>
        <w:t>. In the natural attenuation process, NAPL is naturally removed and remediate</w:t>
      </w:r>
      <w:r w:rsidR="00726BA9" w:rsidRPr="005244BD">
        <w:rPr>
          <w:rFonts w:asciiTheme="majorBidi" w:eastAsiaTheme="minorEastAsia" w:hAnsiTheme="majorBidi" w:cstheme="majorBidi"/>
          <w:iCs/>
          <w:szCs w:val="18"/>
        </w:rPr>
        <w:t>d</w:t>
      </w:r>
      <w:r w:rsidRPr="005244BD">
        <w:rPr>
          <w:rFonts w:asciiTheme="majorBidi" w:eastAsiaTheme="minorEastAsia" w:hAnsiTheme="majorBidi" w:cstheme="majorBidi"/>
          <w:iCs/>
          <w:szCs w:val="18"/>
        </w:rPr>
        <w:t xml:space="preserve"> from the groundwater and no specific engineering technologies are employed except NAPL monitoring. Natural attenuation process includes</w:t>
      </w:r>
      <w:r w:rsidR="00C91411" w:rsidRPr="005244BD">
        <w:rPr>
          <w:rFonts w:asciiTheme="majorBidi" w:eastAsiaTheme="minorEastAsia" w:hAnsiTheme="majorBidi" w:cstheme="majorBidi"/>
          <w:iCs/>
          <w:szCs w:val="18"/>
        </w:rPr>
        <w:t xml:space="preserve"> various mechanisms such as</w:t>
      </w:r>
      <w:r w:rsidRPr="005244BD">
        <w:rPr>
          <w:rFonts w:asciiTheme="majorBidi" w:eastAsiaTheme="minorEastAsia" w:hAnsiTheme="majorBidi" w:cstheme="majorBidi"/>
          <w:iCs/>
          <w:szCs w:val="18"/>
        </w:rPr>
        <w:t xml:space="preserve"> </w:t>
      </w:r>
      <w:r w:rsidR="00C91411" w:rsidRPr="005244BD">
        <w:rPr>
          <w:rFonts w:asciiTheme="majorBidi" w:eastAsiaTheme="minorEastAsia" w:hAnsiTheme="majorBidi" w:cstheme="majorBidi"/>
          <w:iCs/>
          <w:szCs w:val="18"/>
        </w:rPr>
        <w:t>biodegradation</w:t>
      </w:r>
      <w:r w:rsidRPr="005244BD">
        <w:rPr>
          <w:rFonts w:asciiTheme="majorBidi" w:eastAsiaTheme="minorEastAsia" w:hAnsiTheme="majorBidi" w:cstheme="majorBidi"/>
          <w:iCs/>
          <w:szCs w:val="18"/>
        </w:rPr>
        <w:t xml:space="preserve">, volatilization, sorption, and natural dissolution. </w:t>
      </w:r>
    </w:p>
    <w:p w14:paraId="0FB2817A" w14:textId="66C375E1" w:rsidR="00AB37E6" w:rsidRPr="00B91E94" w:rsidRDefault="00AB37E6" w:rsidP="007E3CAF">
      <w:pPr>
        <w:spacing w:line="480" w:lineRule="auto"/>
        <w:jc w:val="both"/>
        <w:rPr>
          <w:rFonts w:asciiTheme="majorBidi" w:eastAsiaTheme="minorEastAsia" w:hAnsiTheme="majorBidi" w:cstheme="majorBidi"/>
          <w:iCs/>
          <w:szCs w:val="18"/>
          <w:lang w:val="es-MX"/>
        </w:rPr>
      </w:pPr>
      <w:r w:rsidRPr="005244BD">
        <w:rPr>
          <w:rFonts w:asciiTheme="majorBidi" w:eastAsiaTheme="minorEastAsia" w:hAnsiTheme="majorBidi" w:cstheme="majorBidi"/>
          <w:iCs/>
          <w:szCs w:val="18"/>
        </w:rPr>
        <w:t>Among the a</w:t>
      </w:r>
      <w:r w:rsidR="00726BA9" w:rsidRPr="005244BD">
        <w:rPr>
          <w:rFonts w:asciiTheme="majorBidi" w:eastAsiaTheme="minorEastAsia" w:hAnsiTheme="majorBidi" w:cstheme="majorBidi"/>
          <w:iCs/>
          <w:szCs w:val="18"/>
        </w:rPr>
        <w:t>bove</w:t>
      </w:r>
      <w:r w:rsidRPr="005244BD">
        <w:rPr>
          <w:rFonts w:asciiTheme="majorBidi" w:eastAsiaTheme="minorEastAsia" w:hAnsiTheme="majorBidi" w:cstheme="majorBidi"/>
          <w:iCs/>
          <w:szCs w:val="18"/>
        </w:rPr>
        <w:t>mentioned technologies and options, bioremediation is one of the cost</w:t>
      </w:r>
      <w:r w:rsidR="00726BA9" w:rsidRPr="005244BD">
        <w:rPr>
          <w:rFonts w:asciiTheme="majorBidi" w:eastAsiaTheme="minorEastAsia" w:hAnsiTheme="majorBidi" w:cstheme="majorBidi"/>
          <w:iCs/>
          <w:szCs w:val="18"/>
        </w:rPr>
        <w:t>-</w:t>
      </w:r>
      <w:r w:rsidRPr="005244BD">
        <w:rPr>
          <w:rFonts w:asciiTheme="majorBidi" w:eastAsiaTheme="minorEastAsia" w:hAnsiTheme="majorBidi" w:cstheme="majorBidi"/>
          <w:iCs/>
          <w:szCs w:val="18"/>
        </w:rPr>
        <w:t>effective and environmental</w:t>
      </w:r>
      <w:r w:rsidR="00726BA9" w:rsidRPr="005244BD">
        <w:rPr>
          <w:rFonts w:asciiTheme="majorBidi" w:eastAsiaTheme="minorEastAsia" w:hAnsiTheme="majorBidi" w:cstheme="majorBidi"/>
          <w:iCs/>
          <w:szCs w:val="18"/>
        </w:rPr>
        <w:t>ly friendly</w:t>
      </w:r>
      <w:r w:rsidRPr="005244BD">
        <w:rPr>
          <w:rFonts w:asciiTheme="majorBidi" w:eastAsiaTheme="minorEastAsia" w:hAnsiTheme="majorBidi" w:cstheme="majorBidi"/>
          <w:iCs/>
          <w:szCs w:val="18"/>
        </w:rPr>
        <w:t xml:space="preserve"> technologies for pollutant remediation </w:t>
      </w:r>
      <w:r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Bhatnagar","given":"Sonal","non-dropping-particle":"","parse-names":false,"suffix":""},{"dropping-particle":"","family":"Kumari","given":"Reeta","non-dropping-particle":"","parse-names":false,"suffix":""}],"container-title":"Annual Research &amp; Review in Biology","id":"ITEM-1","issued":{"date-parts":[["2013"]]},"page":"974-993","title":"Bioremediation: a sustainable tool for environmental management--a review","type":"article-journal"},"uris":["http://www.mendeley.com/documents/?uuid=4306ce74-b74f-4fc7-980b-dd34ae16528e","http://www.mendeley.com/documents/?uuid=4b82f135-6cd2-40f6-a780-c8704348e8f5"]}],"mendeley":{"formattedCitation":"(Bhatnagar &amp; Kumari, 2013)","plainTextFormattedCitation":"(Bhatnagar &amp; Kumari, 2013)","previouslyFormattedCitation":"(Bhatnagar &amp; Kumari, 2013)"},"properties":{"noteIndex":0},"schema":"https://github.com/citation-style-language/schema/raw/master/csl-citation.json"}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(Bhatnagar &amp; Kumari, 2013)</w:t>
      </w:r>
      <w:r w:rsidRPr="005244BD">
        <w:rPr>
          <w:rFonts w:asciiTheme="majorBidi" w:eastAsiaTheme="minorEastAsia" w:hAnsiTheme="majorBidi" w:cstheme="majorBidi"/>
          <w:iCs/>
          <w:szCs w:val="18"/>
        </w:rPr>
        <w:fldChar w:fldCharType="end"/>
      </w:r>
      <w:r w:rsidRPr="005244BD">
        <w:rPr>
          <w:rFonts w:asciiTheme="majorBidi" w:eastAsiaTheme="minorEastAsia" w:hAnsiTheme="majorBidi" w:cstheme="majorBidi"/>
          <w:iCs/>
          <w:szCs w:val="18"/>
        </w:rPr>
        <w:t xml:space="preserve">. In the biodegradation process, the microorganism breakdown </w:t>
      </w:r>
      <w:r w:rsidR="00726BA9" w:rsidRPr="005244BD">
        <w:rPr>
          <w:rFonts w:asciiTheme="majorBidi" w:eastAsiaTheme="minorEastAsia" w:hAnsiTheme="majorBidi" w:cstheme="majorBidi"/>
          <w:iCs/>
          <w:szCs w:val="18"/>
        </w:rPr>
        <w:t xml:space="preserve">of </w:t>
      </w:r>
      <w:r w:rsidRPr="005244BD">
        <w:rPr>
          <w:rFonts w:asciiTheme="majorBidi" w:eastAsiaTheme="minorEastAsia" w:hAnsiTheme="majorBidi" w:cstheme="majorBidi"/>
          <w:iCs/>
          <w:szCs w:val="18"/>
        </w:rPr>
        <w:t>the contaminants to smaller and non-toxic compounds</w:t>
      </w:r>
      <w:r w:rsidR="00726BA9" w:rsidRPr="005244BD">
        <w:rPr>
          <w:rFonts w:asciiTheme="majorBidi" w:eastAsiaTheme="minorEastAsia" w:hAnsiTheme="majorBidi" w:cstheme="majorBidi"/>
          <w:iCs/>
          <w:szCs w:val="18"/>
        </w:rPr>
        <w:t xml:space="preserve"> occur</w:t>
      </w:r>
      <w:r w:rsidRPr="005244BD">
        <w:rPr>
          <w:rFonts w:asciiTheme="majorBidi" w:eastAsiaTheme="minorEastAsia" w:hAnsiTheme="majorBidi" w:cstheme="majorBidi"/>
          <w:iCs/>
          <w:szCs w:val="18"/>
        </w:rPr>
        <w:t xml:space="preserve"> </w:t>
      </w:r>
      <w:r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{"citationItems":[{"id":"ITEM-1","itemData":{"DOI":"10.1021/es062165z","ISSN":"0013936X","abstract":"In situ bioremediation of the nitroaromatic explosive 2,4,6-trinitrotoluene (TNT) provides a cost-effective alternative for cleaning up contaminated sites. Here we compare the effectiveness of several bioremediation techniques: natural attenuation, bioaugmentation with TNT-degrading Pseudomonas putida JLR11, phytoremediation with maize (Zea mays L.) and broad beans (Vicia faba L.), and rhizoremediation with maize and broad beans inoculated with P. putida JLR11. Experiments in spiked hydroponic medium demonstrated that inoculation with bacteria did not affect TNT levels. On the other hand, axenic plants were able to remove 32% to 38% of the TNT from the medium. However, when plants were inoculated with bacteria, TNT disappeared to an even greater extent (80% to 88%), a result that advocates a role for P. putida JLR11 in rhizoremediation. In field experiments neither natural attenuation nor bioaugmentation with P. putida JLR11 affected TNT levels to a significant degree. However, the extractable TNT content in rhizosphere soil associated to maize roots decreased by more than 96% in 60 days regardless of inoculation. This indicates that under these field conditions, the effect of phytoremediation by maize overshadowed any effect of rhizoremediation by P. putida JLR11.","author":[{"drop</w:instrText>
      </w:r>
      <w:r w:rsidR="00BF6D87" w:rsidRPr="00EE0F85">
        <w:rPr>
          <w:rFonts w:asciiTheme="majorBidi" w:eastAsiaTheme="minorEastAsia" w:hAnsiTheme="majorBidi" w:cstheme="majorBidi"/>
          <w:iCs/>
          <w:szCs w:val="18"/>
          <w:lang w:val="es-MX"/>
        </w:rPr>
        <w:instrText>ping-particle":"","family":"Dillewijn","given":"Pieter","non-dropping-particle":"Van","parse-names":false,"suffix":""},{"dropping-particle":"","family":"Caballero","given":"Antonio","non-dropping-particle":"","parse-names":false,"suffix":""},{"dropp</w:instrText>
      </w:r>
      <w:r w:rsidR="00BF6D87" w:rsidRPr="00B91E94">
        <w:rPr>
          <w:rFonts w:asciiTheme="majorBidi" w:eastAsiaTheme="minorEastAsia" w:hAnsiTheme="majorBidi" w:cstheme="majorBidi"/>
          <w:iCs/>
          <w:szCs w:val="18"/>
          <w:lang w:val="es-MX"/>
        </w:rPr>
        <w:instrText>ing-particle":"","family":"Paz","given":"José A.","non-dropping-particle":"","parse-names":false,"suffix":""},{"dropping-particle":"","family":"González-Pérez","given":"M. Mar","non-dropping-particle":"","parse-names":false,"suffix":""},{"dropping-particle":"","family":"Oliva","given":"José M.","non-dropping-particle":"","parse-names":false,"suffix":""},{"dropping-particle":"","family":"Ramos","given":"Juan L.","non-dropping-particle":"","parse-names":false,"suffix":""}],"container-title":"Environmental Science and Technology","id":"ITEM-1","issue":"4","issued":{"date-parts":[["2007"]]},"page":"1378-1383","title":"Bioremediation of 2,4,6-trinitrotoluene under field conditions","type":"article-journal","volume":"41"},"uris":["http://www.mendeley.com/documents/?uuid=6f0f6686-57ea-40af-84fc-c6baa422a2d2","http://www.mendeley.com/documents/?uuid=8b055f01-a151-48aa-96e8-11b607c8a136"]}],"mendeley":{"formattedCitation":"(Van Dillewijn et al., 2007)","manualFormatting":"(Van Dillewijn et al., 2007, ","plainTextFormattedCitation":"(Van Dillewijn et al., 2007)","previouslyFormattedCitation":"(Van Dillewijn et al., 2007)"},"properties":{"noteIndex":0},"schema":"https://github.com/citation-style-language/schema/raw/master/csl-citation.json"}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007E3CAF" w:rsidRPr="00B91E94">
        <w:rPr>
          <w:rFonts w:asciiTheme="majorBidi" w:eastAsiaTheme="minorEastAsia" w:hAnsiTheme="majorBidi" w:cstheme="majorBidi"/>
          <w:iCs/>
          <w:noProof/>
          <w:szCs w:val="18"/>
          <w:lang w:val="es-MX"/>
        </w:rPr>
        <w:t>(Van Dillewijn et al., 2007</w:t>
      </w:r>
      <w:r w:rsidR="004E651B" w:rsidRPr="00B91E94">
        <w:rPr>
          <w:rFonts w:asciiTheme="majorBidi" w:eastAsiaTheme="minorEastAsia" w:hAnsiTheme="majorBidi" w:cstheme="majorBidi"/>
          <w:iCs/>
          <w:noProof/>
          <w:szCs w:val="18"/>
          <w:lang w:val="es-MX"/>
        </w:rPr>
        <w:t>,</w:t>
      </w:r>
      <w:r w:rsidR="004E651B" w:rsidRPr="00B91E94" w:rsidDel="004E651B">
        <w:rPr>
          <w:rFonts w:asciiTheme="majorBidi" w:eastAsiaTheme="minorEastAsia" w:hAnsiTheme="majorBidi" w:cstheme="majorBidi"/>
          <w:iCs/>
          <w:noProof/>
          <w:szCs w:val="18"/>
          <w:lang w:val="es-MX"/>
        </w:rPr>
        <w:t xml:space="preserve"> </w:t>
      </w:r>
      <w:r w:rsidRPr="005244BD">
        <w:rPr>
          <w:rFonts w:asciiTheme="majorBidi" w:eastAsiaTheme="minorEastAsia" w:hAnsiTheme="majorBidi" w:cstheme="majorBidi"/>
          <w:iCs/>
          <w:szCs w:val="18"/>
        </w:rPr>
        <w:fldChar w:fldCharType="end"/>
      </w:r>
      <w:r w:rsidRPr="005244BD">
        <w:rPr>
          <w:rFonts w:asciiTheme="majorBidi" w:eastAsiaTheme="minorEastAsia" w:hAnsiTheme="majorBidi" w:cstheme="majorBidi"/>
          <w:iCs/>
          <w:szCs w:val="18"/>
        </w:rPr>
        <w:fldChar w:fldCharType="begin" w:fldLock="1"/>
      </w:r>
      <w:r w:rsidR="00BF6D87" w:rsidRPr="00B91E94">
        <w:rPr>
          <w:rFonts w:asciiTheme="majorBidi" w:eastAsiaTheme="minorEastAsia" w:hAnsiTheme="majorBidi" w:cstheme="majorBidi"/>
          <w:iCs/>
          <w:szCs w:val="18"/>
          <w:lang w:val="es-MX"/>
        </w:rPr>
        <w:instrText>ADDIN CSL_CITATION {"citationItems":[{"id":"ITEM-1","itemData":{"abstract":"Bioremediation is considered as one of the safer, cleaner, cost effective and environmental friendly technology for decontaminating sites which are contaminated with wide range of pollutants. Various industrial and anthropogenic activities resulted in increased contaminated sites due to unawareness regarding production, use and disposal of hazardous substances. The process of bioremediation uses various agents such as bacteria, yeast, fungi, algae and higher plants as major tools in treating oil spills and heavy metals present in the environment. A continuous search for the new biological forms is required to regulate increasing pollution and environmental problems faced by man residing in an area. As microorganism shows wide range of mechanisms, there are still few mechanisms which are not known, therefore bioremediation is still considered as a developing technology. Thus, there is an urgent need to for us to review and modify the available options for environmental clean up. The objective of this paper is to conduct a comprehensive review on various sources of bioremediation agents and their limitations in treating pollutants present in the environment.","author":[{"dropping-particle":"","family":"Bhatnagar","given":"Sonal","non-dropping-particle":"","parse-names":false,"suffix":""},{"dropping-particle":"","family":"Kumari","given":"Reeta","non-dropping-particle":"","parse-names":false,"suffix":""}],"container-title":"Nature Environment and Pollution Technology","id":"ITEM-1","issue":"1","issued":{"date-parts":[["2015"]]},"page":"181-190","title":"Bioremediation: a sustainable tool for environmental management - A review","type":"article-journal","volume":"14"},"uris":["http://www.mendeley.com/documents/?uuid=0f8dd8e0-7590-4c11-891b-aa00cd653201","http://www.mendeley.com/documents/?uuid=e68c497a-5c77-4b5d-b121-de29625b9237"]}],"mendeley":{"formattedCitation":"(Bhatnagar &amp; Kumari, 2015)","manualFormatting":"Bhatnagar &amp; Kumari, 2015)","plainTextFormattedCitation":"(Bhatnagar &amp; Kumari, 2015)","previouslyFormattedCitation":"(Bhatnagar &amp; Kumari, 2015)"},"properties":{"noteIndex":0},"schema":"https://github.com/citation-style-language/schema/raw/master/csl-citation.json"}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007E3CAF" w:rsidRPr="00B91E94">
        <w:rPr>
          <w:rFonts w:asciiTheme="majorBidi" w:eastAsiaTheme="minorEastAsia" w:hAnsiTheme="majorBidi" w:cstheme="majorBidi"/>
          <w:iCs/>
          <w:noProof/>
          <w:szCs w:val="18"/>
          <w:lang w:val="es-MX"/>
        </w:rPr>
        <w:t>Bhatnagar &amp; Kumari, 2015)</w:t>
      </w:r>
      <w:r w:rsidRPr="005244BD">
        <w:rPr>
          <w:rFonts w:asciiTheme="majorBidi" w:eastAsiaTheme="minorEastAsia" w:hAnsiTheme="majorBidi" w:cstheme="majorBidi"/>
          <w:iCs/>
          <w:szCs w:val="18"/>
        </w:rPr>
        <w:fldChar w:fldCharType="end"/>
      </w:r>
      <w:r w:rsidRPr="00B91E94">
        <w:rPr>
          <w:rFonts w:asciiTheme="majorBidi" w:eastAsiaTheme="minorEastAsia" w:hAnsiTheme="majorBidi" w:cstheme="majorBidi"/>
          <w:iCs/>
          <w:szCs w:val="18"/>
          <w:lang w:val="es-MX"/>
        </w:rPr>
        <w:t xml:space="preserve">. </w:t>
      </w:r>
      <w:r w:rsidR="009A2FFC" w:rsidRPr="00FF05F4">
        <w:rPr>
          <w:rFonts w:asciiTheme="majorBidi" w:eastAsiaTheme="minorEastAsia" w:hAnsiTheme="majorBidi" w:cstheme="majorBidi"/>
          <w:iCs/>
          <w:szCs w:val="18"/>
          <w:lang w:val="es-MX"/>
        </w:rPr>
        <w:t>I</w:t>
      </w:r>
      <w:r w:rsidRPr="00FF05F4">
        <w:rPr>
          <w:rFonts w:asciiTheme="majorBidi" w:eastAsiaTheme="minorEastAsia" w:hAnsiTheme="majorBidi" w:cstheme="majorBidi"/>
          <w:iCs/>
          <w:szCs w:val="18"/>
          <w:lang w:val="es-MX"/>
        </w:rPr>
        <w:t>n the natural biodegradation process in aquifer, microorganism</w:t>
      </w:r>
      <w:r w:rsidR="000D3C6D" w:rsidRPr="00FF05F4">
        <w:rPr>
          <w:rFonts w:asciiTheme="majorBidi" w:eastAsiaTheme="minorEastAsia" w:hAnsiTheme="majorBidi" w:cstheme="majorBidi"/>
          <w:iCs/>
          <w:szCs w:val="18"/>
          <w:lang w:val="es-MX"/>
        </w:rPr>
        <w:t>s</w:t>
      </w:r>
      <w:r w:rsidRPr="00FF05F4">
        <w:rPr>
          <w:rFonts w:asciiTheme="majorBidi" w:eastAsiaTheme="minorEastAsia" w:hAnsiTheme="majorBidi" w:cstheme="majorBidi"/>
          <w:iCs/>
          <w:szCs w:val="18"/>
          <w:lang w:val="es-MX"/>
        </w:rPr>
        <w:t xml:space="preserve"> are naturally present as a biofilm at the surface of the grains </w:t>
      </w:r>
      <w:r w:rsidRPr="005244BD">
        <w:rPr>
          <w:rFonts w:asciiTheme="majorBidi" w:eastAsiaTheme="minorEastAsia" w:hAnsiTheme="majorBidi" w:cstheme="majorBidi"/>
          <w:iCs/>
          <w:szCs w:val="18"/>
        </w:rPr>
        <w:fldChar w:fldCharType="begin" w:fldLock="1"/>
      </w:r>
      <w:r w:rsidR="00BF6D87" w:rsidRPr="00FF05F4">
        <w:rPr>
          <w:rFonts w:asciiTheme="majorBidi" w:eastAsiaTheme="minorEastAsia" w:hAnsiTheme="majorBidi" w:cstheme="majorBidi"/>
          <w:iCs/>
          <w:szCs w:val="18"/>
          <w:lang w:val="es-MX"/>
        </w:rPr>
        <w:instrText xml:space="preserve">ADDIN CSL_CITATION {"citationItems":[{"id":"ITEM-1","itemData":{"DOI":"10.1016/j.advwatres.2013.09.011","ISSN":"03091708","abstract":"In this work, we derive a Darcy-scale model for solute transport in porous media colonized by biofilms. Biofilms refer to structured communities of microbial cells that grow attached to an aqueous interface, e.g., the pore walls of a water-saturated porous medium. First, we present the pore-scale description of mass transport within and between the phases (water phase and biofilm phase) including the biologically-mediated reactions. Then, a two-equation Darcy-scale mass balance model (classically referred to as dual-porosity model), suitable both for local equilibrium and non-equilibrium conditions, is obtained from the method of volume averaging. Application of this macroscopic model to complex pore geometry of a two-dimensional porous medium supporting biofilms is presented. Comparisons with direct numerical simulation results confirm the large range of validity of the model. Finally, an illustrative example based </w:instrText>
      </w:r>
      <w:r w:rsidR="00BF6D87" w:rsidRPr="00EE0F85">
        <w:rPr>
          <w:rFonts w:asciiTheme="majorBidi" w:eastAsiaTheme="minorEastAsia" w:hAnsiTheme="majorBidi" w:cstheme="majorBidi"/>
          <w:iCs/>
          <w:szCs w:val="18"/>
        </w:rPr>
        <w:instrText>on a scenario of reactive transport experimental tests is used to point out conditions for when the use of the proposed model is required. © 2013 Elsevier Ltd.","author":[{"dropping-particle":"","family":"Orgogozo","given":"Laurent","non-dropping-particle":"","parse-names":false,"suffix":""},{"dropping-pa</w:instrText>
      </w:r>
      <w:r w:rsidR="00BF6D87" w:rsidRPr="005244BD">
        <w:rPr>
          <w:rFonts w:asciiTheme="majorBidi" w:eastAsiaTheme="minorEastAsia" w:hAnsiTheme="majorBidi" w:cstheme="majorBidi"/>
          <w:iCs/>
          <w:szCs w:val="18"/>
        </w:rPr>
        <w:instrText>rticle":"","family":"Golfier","given":"Fabrice","non-dropping-particle":"","parse-names":false,"suffix":""},{"dropping-particle":"","family":"Buès","given":"Michel A.","non-dropping-particle":"","parse-names":false,"suffix":""},{"dropping-particle":"","family":"Quintard","given":"Michel","non-dropping-particle":"","parse-names":false,"suffix":""},{"dropping-particle":"","family":"Koné","given":"Tiangoua","non-dropping-particle":"","parse-names":false,"suffix":""}],"container-title":"Advances in Water Resources","id":"ITEM-1","issued":{"date-parts":[["2013"]]},"page":"266-279","publisher":"Elsevier Ltd","title":"A dual-porosity theory for solute transport in biofilm-coated porous media","type":"article-journal","volume":"62"},"uris":["http://www.mendeley.com/documents/?uuid=9b352ed7-6e5c-4e91-954c-cd5ea2058916","http://www.mendeley.com/documents/?uuid=29ec01a3-cf8c-45f6-bd3f-c0f7082a7d13"]}],"mendeley":{"formattedCitation":"(Orgogozo et al., 2013)","plainTextFormattedCitation":"(Orgogozo et al., 2013)","previouslyFormattedCitation":"(Orgogozo et al., 2013)"},"properties":{"noteIndex":0},"schema":"https://github.com/citation-style-language/schema/raw/master/csl-citation.json"}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(Orgogozo et al., 2013)</w:t>
      </w:r>
      <w:r w:rsidRPr="005244BD">
        <w:rPr>
          <w:rFonts w:asciiTheme="majorBidi" w:eastAsiaTheme="minorEastAsia" w:hAnsiTheme="majorBidi" w:cstheme="majorBidi"/>
          <w:iCs/>
          <w:szCs w:val="18"/>
        </w:rPr>
        <w:fldChar w:fldCharType="end"/>
      </w:r>
      <w:r w:rsidR="00726BA9" w:rsidRPr="005244BD">
        <w:rPr>
          <w:rFonts w:asciiTheme="majorBidi" w:eastAsiaTheme="minorEastAsia" w:hAnsiTheme="majorBidi" w:cstheme="majorBidi"/>
          <w:iCs/>
          <w:szCs w:val="18"/>
        </w:rPr>
        <w:t>. I</w:t>
      </w:r>
      <w:r w:rsidRPr="005244BD">
        <w:rPr>
          <w:rFonts w:asciiTheme="majorBidi" w:eastAsiaTheme="minorEastAsia" w:hAnsiTheme="majorBidi" w:cstheme="majorBidi"/>
          <w:iCs/>
          <w:szCs w:val="18"/>
        </w:rPr>
        <w:t>n some applications bio-surfactant or nutrients are injected to the porous media to produce microorganism for NAPL bioremediation or</w:t>
      </w:r>
      <w:r w:rsidR="00726BA9" w:rsidRPr="005244BD">
        <w:rPr>
          <w:rFonts w:asciiTheme="majorBidi" w:eastAsiaTheme="minorEastAsia" w:hAnsiTheme="majorBidi" w:cstheme="majorBidi"/>
          <w:iCs/>
          <w:szCs w:val="18"/>
        </w:rPr>
        <w:t xml:space="preserve"> oil mobilisation in reservoir similar to processes involved in </w:t>
      </w:r>
      <w:r w:rsidRPr="005244BD">
        <w:rPr>
          <w:rFonts w:asciiTheme="majorBidi" w:eastAsiaTheme="minorEastAsia" w:hAnsiTheme="majorBidi" w:cstheme="majorBidi"/>
          <w:iCs/>
          <w:szCs w:val="18"/>
        </w:rPr>
        <w:t>microbial</w:t>
      </w:r>
      <w:r w:rsidR="00726BA9" w:rsidRPr="005244BD">
        <w:rPr>
          <w:rFonts w:asciiTheme="majorBidi" w:eastAsiaTheme="minorEastAsia" w:hAnsiTheme="majorBidi" w:cstheme="majorBidi"/>
          <w:iCs/>
          <w:szCs w:val="18"/>
        </w:rPr>
        <w:t xml:space="preserve">-enhanced oil recovery or MEOR </w:t>
      </w:r>
      <w:r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{"citationItems":[{"id":"ITEM-1","itemData":{"author":[{"dropping-particle":"","family":"Banat","given":"IBRAHIM M","non-dropping-particle":"","parse-names":false,"suffix":""}],"container-title":"Bioresource technology","id":"ITEM-1","issue":"1","issued":{"date-parts":[["1995"]]},"page":"1-12","publisher":"Elsevier","title":"Biosurfactants production and possible uses in microbial enhanced oil recovery and oil pollution remediation: a review","type":"article-journal","volume":"51"},"uris":["http://www.mendeley.com/documents/?uuid=41c82098-9157-4832-b3fb-32e4b288442a","http://www.mendeley.com/documents/?uuid=9f6689c5-10f0-4397-a16d-ff17e9cf7787"]}],"mendeley":{"formattedCitation":"(Banat, 1995)","manualFormatting":"(Banat, 1995, ","plainTextFormattedCitation":"(Banat, 1995)","previouslyFormattedCitation":"(Banat, 1995)"},"properties":{"noteIndex":0},"schema":"https://github.com/citation-style-language/schema/raw/master/csl-citation.json"}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(Banat, 1995</w:t>
      </w:r>
      <w:r w:rsidR="004E651B" w:rsidRPr="005244BD">
        <w:rPr>
          <w:rFonts w:asciiTheme="majorBidi" w:eastAsiaTheme="minorEastAsia" w:hAnsiTheme="majorBidi" w:cstheme="majorBidi"/>
          <w:iCs/>
          <w:noProof/>
          <w:szCs w:val="18"/>
        </w:rPr>
        <w:t>,</w:t>
      </w:r>
      <w:r w:rsidR="004E651B" w:rsidRPr="005244BD" w:rsidDel="004E651B">
        <w:rPr>
          <w:rFonts w:asciiTheme="majorBidi" w:eastAsiaTheme="minorEastAsia" w:hAnsiTheme="majorBidi" w:cstheme="majorBidi"/>
          <w:iCs/>
          <w:noProof/>
          <w:szCs w:val="18"/>
        </w:rPr>
        <w:t xml:space="preserve"> </w:t>
      </w:r>
      <w:r w:rsidRPr="005244BD">
        <w:rPr>
          <w:rFonts w:asciiTheme="majorBidi" w:eastAsiaTheme="minorEastAsia" w:hAnsiTheme="majorBidi" w:cstheme="majorBidi"/>
          <w:iCs/>
          <w:szCs w:val="18"/>
        </w:rPr>
        <w:fldChar w:fldCharType="end"/>
      </w:r>
      <w:r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{"citationItems":[{"id":"ITEM-1","itemData":{"DOI":"10.1016/j.petrol.2014.10.008","ISSN":"09204105","abstract":"In the present paper an attempt has been made to develop an improved numerical model in order to simulate the oil recovery by microbial flooding under non-isothermal conditions. The proposed model simulates the coupled heat and mass transfer resulting from the mobility of microbes along with its nutrients in a typical petroleum reservoir against the conventional isothermal conditions. The model results have been verified with the existing analytical and experimental results. The present model evaluates the optimum mean fluid velocity in order to achieve the maximum oil displacement under different reservoir temperature conditions. The model also investigates the change in relative permeability of oil and water during microbial flooding within the reservoir under non-isothermal conditions and subsequently estimates the residual oil recovery. The model results suggest that the microscop</w:instrText>
      </w:r>
      <w:r w:rsidR="00BF6D87" w:rsidRPr="00B91E94">
        <w:rPr>
          <w:rFonts w:asciiTheme="majorBidi" w:eastAsiaTheme="minorEastAsia" w:hAnsiTheme="majorBidi" w:cstheme="majorBidi"/>
          <w:iCs/>
          <w:szCs w:val="18"/>
          <w:lang w:val="es-MX"/>
        </w:rPr>
        <w:instrText>ic oil displacement efficiency increases with the increase in mean fluid velocity and reaches a threshold maximum oil displacement just before the water breakthrough at a relatively lower temperature. In addition, it is observed that the maximum oil displacement efficiency of 82.75% is achieved at a reservoir temperature of 60. °C and at an optimum mean fluid velocity of 1.68. m/day in a sandstone reservoir of length 50. m.","author":[{"dropping-particle":"","family":"Sivasankar","given":"P.","non-dropping-particle":"","parse-names":false,"suffix":""},{"dropping-particle":"","family":"Kumar","given":"G. Suresh","non-dropping-particle":"","parse-names":false,"suffix":""}],"container-title":"Journal of Petroleum Science and Engineering","id":"ITEM-1","issued":{"date-parts":[["2014"]]},"page":"161-172","publisher":"Elsevier","title":"Numerical modelling of enhanced oil recovery by microbial flooding under non-isothermal conditions","type":"article-journal","volume":"124"},"uris":["http://www.mendeley.com/documents/?uuid=0ae3a93b-a2c2-4b82-a316-a162fe5c02a5","http://www.mendeley.com/documents/?uuid=3613faf0-7854-488a-b0c8-a2b54058121c"]}],"mendeley":{"formattedCitation":"(Sivasankar &amp; Kumar, 2014)","manualFormatting":"Sivasankar &amp; Kumar, 2014, ","plainTextFormattedCitation":"(Sivasankar &amp; Kumar, 2014)","previouslyFormattedCitation":"(Sivasankar &amp; Kumar, 2014)"},"properties":{"noteIndex":0},"schema":"https://github.com/citation-style-language/schema/raw/master/csl-citation.json"}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007E3CAF" w:rsidRPr="00B91E94">
        <w:rPr>
          <w:rFonts w:asciiTheme="majorBidi" w:eastAsiaTheme="minorEastAsia" w:hAnsiTheme="majorBidi" w:cstheme="majorBidi"/>
          <w:iCs/>
          <w:noProof/>
          <w:szCs w:val="18"/>
          <w:lang w:val="es-MX"/>
        </w:rPr>
        <w:t>Sivasankar &amp; Kumar, 2014</w:t>
      </w:r>
      <w:r w:rsidR="004E651B" w:rsidRPr="00B91E94">
        <w:rPr>
          <w:rFonts w:asciiTheme="majorBidi" w:eastAsiaTheme="minorEastAsia" w:hAnsiTheme="majorBidi" w:cstheme="majorBidi"/>
          <w:iCs/>
          <w:noProof/>
          <w:szCs w:val="18"/>
          <w:lang w:val="es-MX"/>
        </w:rPr>
        <w:t>,</w:t>
      </w:r>
      <w:r w:rsidR="004E651B" w:rsidRPr="00B91E94" w:rsidDel="004E651B">
        <w:rPr>
          <w:rFonts w:asciiTheme="majorBidi" w:eastAsiaTheme="minorEastAsia" w:hAnsiTheme="majorBidi" w:cstheme="majorBidi"/>
          <w:iCs/>
          <w:noProof/>
          <w:szCs w:val="18"/>
          <w:lang w:val="es-MX"/>
        </w:rPr>
        <w:t xml:space="preserve"> </w:t>
      </w:r>
      <w:r w:rsidRPr="005244BD">
        <w:rPr>
          <w:rFonts w:asciiTheme="majorBidi" w:eastAsiaTheme="minorEastAsia" w:hAnsiTheme="majorBidi" w:cstheme="majorBidi"/>
          <w:iCs/>
          <w:szCs w:val="18"/>
        </w:rPr>
        <w:fldChar w:fldCharType="end"/>
      </w:r>
      <w:r w:rsidRPr="005244BD">
        <w:rPr>
          <w:rFonts w:asciiTheme="majorBidi" w:eastAsiaTheme="minorEastAsia" w:hAnsiTheme="majorBidi" w:cstheme="majorBidi"/>
          <w:iCs/>
          <w:szCs w:val="18"/>
        </w:rPr>
        <w:fldChar w:fldCharType="begin" w:fldLock="1"/>
      </w:r>
      <w:r w:rsidR="00BF6D87" w:rsidRPr="00B91E94">
        <w:rPr>
          <w:rFonts w:asciiTheme="majorBidi" w:eastAsiaTheme="minorEastAsia" w:hAnsiTheme="majorBidi" w:cstheme="majorBidi"/>
          <w:iCs/>
          <w:szCs w:val="18"/>
          <w:lang w:val="es-MX"/>
        </w:rPr>
        <w:instrText>ADDIN CSL_CITATION {"citationItems":[{"id":"ITEM-1","itemData":{"DOI":"10.1016/j.petrol.2006.12.004","ISSN":"09204105","abstract":"These experiments aim to investigate the microbial enhanced oil recovery (MEOR) technique in fractured porous media using etched-glass micromodels. Three identically patterned micromodels with different fracture angle orientation of inclined, vertical and horizontal with respect to the flow direction were utilized. A non-fractured model was also used to compare the efficiency of MEOR in fractured and non-fractured porous media. Two types of bacteria were employed: Bacillus subtilis (a biosurfactant-producing bacterium) and Leuconostoc mesenteroides (an exopolymer-producing bacterium). The results show that higher oil recovery efficiency can be achieved by using biosurfactant-producing bacterium in fractured porous media. Further investigation on the effect of the mentioned bacteria on oil viscosity, porous media permeability and wettability suggests that the plugging of matrix-fracture interfaces by an exopolymer is the main reason for the low performance of the exopolymer-producing bacterium. Oil viscosity reduction as well as the reduction of IFT was also found to be the reason for better microbial recovery efficiencies of biosurfactant-producing bacterium in the fractured models. © 2007 Elsevier B.V. All rights reserved.","author":[{"dropping-particle":"","family":"Soudmand-asli","given":"Alireza","non-dropping-particle":"","parse-names":false,"suffix":""},{"dropping-particle":"","family":"Ayatollahi","given":"S. Shahab","non-dropping-particle":"","parse-names":false,"suffix":""},{"dropping-particle":"","family":"Mohabatkar","given":"Hassan","non-dropping-particle":"","parse-names":false,"suffix":""},{"dropping-particle":"","family":"Zareie","given":"Maryam","non-dropping-particle":"","parse-names":false,"suffix":""},{"dropping-particle":"","family":"Shariatpanahi","given":"S. Farzad","non-dropping-particle":"","parse-names":false,"suffix":""}],"container-title":"Journal of Petroleum Science and Engineering","id":"ITEM-1","issue":"1-2","issued":{"date-parts":[["2007"]]},"page":"161-172","title":"The in situ microbial enhanced oil recovery in fractured porous media","type":"article-journal","volume":"58"},"uris":["http://www.mendeley.com/documents/?uuid=74e571f0-5528-47a0-b5e5-320a3bfd13d4","http://www.mendeley.com/documents/?uuid=d199365f-925b-4d6f-a928-7a74f59ab13e"]}],"mendeley":{"formattedCitation":"(Soudmand-asli et al., 2007)","manualFormatting":"Soudmand-asli et al., 2007, ","plainTextFormattedCitation":"(Soudmand-asli et al., 2007)","previouslyFormattedCitation":"(Soudmand-asli et al., 2007)"},"properties":{"noteIndex":0},"schema":"https://github.com/citation-style-language/schema/raw/master/csl-citation.json"}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007E3CAF" w:rsidRPr="00B91E94">
        <w:rPr>
          <w:rFonts w:asciiTheme="majorBidi" w:eastAsiaTheme="minorEastAsia" w:hAnsiTheme="majorBidi" w:cstheme="majorBidi"/>
          <w:iCs/>
          <w:noProof/>
          <w:szCs w:val="18"/>
          <w:lang w:val="es-MX"/>
        </w:rPr>
        <w:t>Soudmand-asli et al., 2007</w:t>
      </w:r>
      <w:r w:rsidR="004E651B" w:rsidRPr="00B91E94">
        <w:rPr>
          <w:rFonts w:asciiTheme="majorBidi" w:eastAsiaTheme="minorEastAsia" w:hAnsiTheme="majorBidi" w:cstheme="majorBidi"/>
          <w:iCs/>
          <w:noProof/>
          <w:szCs w:val="18"/>
          <w:lang w:val="es-MX"/>
        </w:rPr>
        <w:t>,</w:t>
      </w:r>
      <w:r w:rsidR="004E651B" w:rsidRPr="00B91E94" w:rsidDel="004E651B">
        <w:rPr>
          <w:rFonts w:asciiTheme="majorBidi" w:eastAsiaTheme="minorEastAsia" w:hAnsiTheme="majorBidi" w:cstheme="majorBidi"/>
          <w:iCs/>
          <w:noProof/>
          <w:szCs w:val="18"/>
          <w:lang w:val="es-MX"/>
        </w:rPr>
        <w:t xml:space="preserve"> </w:t>
      </w:r>
      <w:r w:rsidRPr="005244BD">
        <w:rPr>
          <w:rFonts w:asciiTheme="majorBidi" w:eastAsiaTheme="minorEastAsia" w:hAnsiTheme="majorBidi" w:cstheme="majorBidi"/>
          <w:iCs/>
          <w:szCs w:val="18"/>
        </w:rPr>
        <w:fldChar w:fldCharType="end"/>
      </w:r>
      <w:r w:rsidRPr="005244BD">
        <w:rPr>
          <w:rFonts w:asciiTheme="majorBidi" w:eastAsiaTheme="minorEastAsia" w:hAnsiTheme="majorBidi" w:cstheme="majorBidi"/>
          <w:iCs/>
          <w:szCs w:val="18"/>
        </w:rPr>
        <w:fldChar w:fldCharType="begin" w:fldLock="1"/>
      </w:r>
      <w:r w:rsidR="00BF6D87" w:rsidRPr="00B91E94">
        <w:rPr>
          <w:rFonts w:asciiTheme="majorBidi" w:eastAsiaTheme="minorEastAsia" w:hAnsiTheme="majorBidi" w:cstheme="majorBidi"/>
          <w:iCs/>
          <w:szCs w:val="18"/>
          <w:lang w:val="es-MX"/>
        </w:rPr>
        <w:instrText>ADDIN CSL_CITATION {"citationItems":[{"id":"ITEM-1","itemData":{"DOI":"10.1080/10916460701287714","ISSN":"10916466","abstract":"Abstract Microbial enhanced oil recovery (MEOR) represents the use of microorganisms to extract the remaining oil from reservoirs. This technique has the potential to be cost-efficient in the extraction of oil remained trapped in capillary pores of the formation rock or in areas not swept by the classical or modern enhanced oil recovery (EOR) methods, such as combustion, steams, miscible displacement, caustic surfactant-polymers flooding, etc. Thus, MEOR was developed as an alternative method for the secondary and tertiary extraction of oil from reservoirs, since after the petroleum crises in 1973, the EOR methods became less profitable. Starting even from the pioneering stage of MEOR (1950s) studies were run on three broad areas, namely, injection, dispersion, and propagation of microorganisms in petroleum reservoirs; selective degradation of oil components to improve flow characteristics; and metabolites production by microorganisms and their effects.","author":[{"dropping-particle":"","family":"Lazar","given":"I.","non-dropping-particle":"","parse-names":false,"suffix":""},{"dropping-particle":"","family":"Petrisor","given":"I. G.","non-dropping-particle":"","parse-names":false,"suffix":""},{"dropping-particle":"","family":"Yen","given":"T. F.","non-dropping-particle":"","parse-names":false,"suffix":""}],"container-title":"Petroleum Science and Technology","id":"ITEM-1","issue":"11","issued":{"date-parts":[["2007"]]},"page":"1353-1366","title":"Microbial enhanced oil recovery (MEOR)","type":"article-journal","volume":"25"},"uris":["http://www.mendeley.com/documents/?uuid=3cb0067c-7edc-4128-a050-d73ea244da0b","http://www.mendeley.com/documents/?uuid=e39b7a46-fae9-4c95-b840-22923cd74df2"]}],"mendeley":{"formattedCitation":"(Lazar et al., 2007)","manualFormatting":"Lazar et al., 2007, ","plainTextFormattedCitation":"(Lazar et al., 2007)","previouslyFormattedCitation":"(Lazar et al., 2007)"},"properties":{"noteIndex":0},"schema":"https://github.com/citation-style-language/schema/raw/master/csl-citation.json"}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007E3CAF" w:rsidRPr="00B91E94">
        <w:rPr>
          <w:rFonts w:asciiTheme="majorBidi" w:eastAsiaTheme="minorEastAsia" w:hAnsiTheme="majorBidi" w:cstheme="majorBidi"/>
          <w:iCs/>
          <w:noProof/>
          <w:szCs w:val="18"/>
          <w:lang w:val="es-MX"/>
        </w:rPr>
        <w:t>Lazar et al., 2007</w:t>
      </w:r>
      <w:r w:rsidR="004E651B" w:rsidRPr="00B91E94">
        <w:rPr>
          <w:rFonts w:asciiTheme="majorBidi" w:eastAsiaTheme="minorEastAsia" w:hAnsiTheme="majorBidi" w:cstheme="majorBidi"/>
          <w:iCs/>
          <w:noProof/>
          <w:szCs w:val="18"/>
          <w:lang w:val="es-MX"/>
        </w:rPr>
        <w:t>,</w:t>
      </w:r>
      <w:r w:rsidR="004E651B" w:rsidRPr="00B91E94" w:rsidDel="004E651B">
        <w:rPr>
          <w:rFonts w:asciiTheme="majorBidi" w:eastAsiaTheme="minorEastAsia" w:hAnsiTheme="majorBidi" w:cstheme="majorBidi"/>
          <w:iCs/>
          <w:noProof/>
          <w:szCs w:val="18"/>
          <w:lang w:val="es-MX"/>
        </w:rPr>
        <w:t xml:space="preserve"> </w:t>
      </w:r>
      <w:r w:rsidRPr="005244BD">
        <w:rPr>
          <w:rFonts w:asciiTheme="majorBidi" w:eastAsiaTheme="minorEastAsia" w:hAnsiTheme="majorBidi" w:cstheme="majorBidi"/>
          <w:iCs/>
          <w:szCs w:val="18"/>
        </w:rPr>
        <w:fldChar w:fldCharType="end"/>
      </w:r>
      <w:r w:rsidRPr="005244BD">
        <w:rPr>
          <w:rFonts w:asciiTheme="majorBidi" w:eastAsiaTheme="minorEastAsia" w:hAnsiTheme="majorBidi" w:cstheme="majorBidi"/>
          <w:iCs/>
          <w:szCs w:val="18"/>
        </w:rPr>
        <w:fldChar w:fldCharType="begin" w:fldLock="1"/>
      </w:r>
      <w:r w:rsidR="00BF6D87" w:rsidRPr="00B91E94">
        <w:rPr>
          <w:rFonts w:asciiTheme="majorBidi" w:eastAsiaTheme="minorEastAsia" w:hAnsiTheme="majorBidi" w:cstheme="majorBidi"/>
          <w:iCs/>
          <w:szCs w:val="18"/>
          <w:lang w:val="es-MX"/>
        </w:rPr>
        <w:instrText>ADDIN CSL_CITATION {"citationItems":[{"id":"ITEM-1","itemData":{"author":[{"dropping-particle":"","family":"Brown","given":"Lewis R","non-dropping-particle":"","parse-names":false,"suffix":""}],"container-title":"Current opinion in Microbiology","id":"ITEM-1","issue":"3","issued":{"date-parts":[["2010"]]},"page":"316-320","publisher":"Elsevier","title":"Microbial enhanced oil recovery (MEOR)","type":"article-journal","volume":"13"},"uris":["http://www.mendeley.com/documents/?uuid=42124b45-ed47-42eb-a423-57f089878dc4","http://www.mendeley.com/documents/?uuid=caaf5222-aa6d-448b-b65d-00141071435e"]}],"mendeley":{"formattedCitation":"(Brown, 2010)","manualFormatting":"Brown, 2010)","plainTextFormattedCitation":"(Brown, 2010)","previouslyFormattedCitation":"(Brown, 2010)"},"properties":{"noteIndex":0},"schema":"https://github.com/citation-style-language/schema/raw/master/csl-citation.json"}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007E3CAF" w:rsidRPr="00B91E94">
        <w:rPr>
          <w:rFonts w:asciiTheme="majorBidi" w:eastAsiaTheme="minorEastAsia" w:hAnsiTheme="majorBidi" w:cstheme="majorBidi"/>
          <w:iCs/>
          <w:noProof/>
          <w:szCs w:val="18"/>
          <w:lang w:val="es-MX"/>
        </w:rPr>
        <w:t>Brown, 2010)</w:t>
      </w:r>
      <w:r w:rsidRPr="005244BD">
        <w:rPr>
          <w:rFonts w:asciiTheme="majorBidi" w:eastAsiaTheme="minorEastAsia" w:hAnsiTheme="majorBidi" w:cstheme="majorBidi"/>
          <w:iCs/>
          <w:szCs w:val="18"/>
        </w:rPr>
        <w:fldChar w:fldCharType="end"/>
      </w:r>
      <w:r w:rsidRPr="00B91E94">
        <w:rPr>
          <w:rFonts w:asciiTheme="majorBidi" w:eastAsiaTheme="minorEastAsia" w:hAnsiTheme="majorBidi" w:cstheme="majorBidi"/>
          <w:iCs/>
          <w:szCs w:val="18"/>
          <w:lang w:val="es-MX"/>
        </w:rPr>
        <w:t>.</w:t>
      </w:r>
    </w:p>
    <w:p w14:paraId="18088439" w14:textId="6D1AA07F" w:rsidR="00D4377B" w:rsidRPr="001D64C3" w:rsidRDefault="004C28B8" w:rsidP="007167AF">
      <w:pPr>
        <w:spacing w:line="480" w:lineRule="auto"/>
        <w:jc w:val="both"/>
        <w:rPr>
          <w:rFonts w:asciiTheme="majorBidi" w:eastAsiaTheme="minorEastAsia" w:hAnsiTheme="majorBidi" w:cstheme="majorBidi"/>
          <w:iCs/>
          <w:szCs w:val="18"/>
          <w:lang w:val="es-MX"/>
        </w:rPr>
      </w:pPr>
      <w:r w:rsidRPr="005244BD">
        <w:rPr>
          <w:rFonts w:asciiTheme="majorBidi" w:eastAsiaTheme="minorEastAsia" w:hAnsiTheme="majorBidi" w:cstheme="majorBidi"/>
          <w:iCs/>
          <w:szCs w:val="18"/>
        </w:rPr>
        <w:t xml:space="preserve">The biofilm growth in the porous media </w:t>
      </w:r>
      <w:r w:rsidR="006A0CAA">
        <w:rPr>
          <w:rFonts w:asciiTheme="majorBidi" w:eastAsiaTheme="minorEastAsia" w:hAnsiTheme="majorBidi" w:cstheme="majorBidi"/>
          <w:iCs/>
          <w:szCs w:val="18"/>
        </w:rPr>
        <w:t xml:space="preserve">(mostly without NAPL phase) </w:t>
      </w:r>
      <w:r w:rsidRPr="005244BD">
        <w:rPr>
          <w:rFonts w:asciiTheme="majorBidi" w:eastAsiaTheme="minorEastAsia" w:hAnsiTheme="majorBidi" w:cstheme="majorBidi"/>
          <w:iCs/>
          <w:szCs w:val="18"/>
        </w:rPr>
        <w:t xml:space="preserve">has been explored visually using </w:t>
      </w:r>
      <w:r w:rsidR="00660D68" w:rsidRPr="005244BD">
        <w:rPr>
          <w:rFonts w:asciiTheme="majorBidi" w:eastAsiaTheme="minorEastAsia" w:hAnsiTheme="majorBidi" w:cstheme="majorBidi"/>
          <w:iCs/>
          <w:szCs w:val="18"/>
        </w:rPr>
        <w:t>x</w:t>
      </w:r>
      <w:r w:rsidRPr="005244BD">
        <w:rPr>
          <w:rFonts w:asciiTheme="majorBidi" w:eastAsiaTheme="minorEastAsia" w:hAnsiTheme="majorBidi" w:cstheme="majorBidi"/>
          <w:iCs/>
          <w:szCs w:val="18"/>
        </w:rPr>
        <w:t xml:space="preserve">-ray micro-tomography </w:t>
      </w:r>
      <w:r w:rsidR="00560FCC">
        <w:rPr>
          <w:rFonts w:asciiTheme="majorBidi" w:eastAsiaTheme="minorEastAsia" w:hAnsiTheme="majorBidi" w:cstheme="majorBidi"/>
          <w:iCs/>
          <w:szCs w:val="18"/>
        </w:rPr>
        <w:t xml:space="preserve">or </w:t>
      </w:r>
      <w:r w:rsidRPr="005244BD">
        <w:rPr>
          <w:rFonts w:asciiTheme="majorBidi" w:eastAsiaTheme="minorEastAsia" w:hAnsiTheme="majorBidi" w:cstheme="majorBidi"/>
          <w:iCs/>
          <w:szCs w:val="18"/>
        </w:rPr>
        <w:t xml:space="preserve">X-ray CMT </w:t>
      </w:r>
      <w:r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Davit","given":"Yohan","non-dropping-particle":"","parse-names":false,"suffix":""},{"dropping-particle":"","family":"Iltis","given":"Gabriel","non-dropping-particle":"","parse-names":false,"suffix":""},{"dropping-particle":"","family":"Debenest","given":"Gérald","non-dropping-particle":"","parse-names":false,"suffix":""},{"dropping-particle":"","family":"VERAN-TISSOIRES","given":"Stéphanie","non-dropping-particle":"","parse-names":false,"suffix":""},{"dropping-particle":"","family":"Wildenschild","given":"Dorthe","non-dropping-particle":"","parse-names":false,"suffix":""},{"dropping-particle":"","family":"Gérino","given":"Magali","non-dropping-particle":"","parse-names":false,"suffix":""},{"dropping-particle":"","family":"Quintard","given":"Michel","non-dropping-particle":"","parse-names":false,"suffix":""}],"container-title":"Journal of Microscopy","id":"ITEM-1","issue":"1","issued":{"date-parts":[["2011"]]},"page":"15-25","publisher":"Wiley Online Library","title":"Imaging biofilm in porous media using X-ray computed microtomography","type":"article-journal","volume":"242"},"uris":["http://www.mendeley.com/documents/?uuid=275a4d06-c0cf-452e-89d0-4bde0d0a053b","http://www.mendeley.com/documents/?uuid=37dd3b03-d414-4430-b7ad-b5839a1e30e1"]}],"mendeley":{"formattedCitation":"(Davit et al., 2011)","manualFormatting":"(Davit et al., 2011, ","plainTextFormattedCitation":"(Davit et al., 2011)","previouslyFormattedCitation":"(Davit et al., 2011)"},"properties":{"noteIndex":0},"schema":"https://github.com/citation-style-language/schema/raw/master/csl-citation.json"}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Pr="005244BD">
        <w:rPr>
          <w:rFonts w:asciiTheme="majorBidi" w:eastAsiaTheme="minorEastAsia" w:hAnsiTheme="majorBidi" w:cstheme="majorBidi"/>
          <w:iCs/>
          <w:noProof/>
          <w:szCs w:val="18"/>
        </w:rPr>
        <w:t>(Davit et al., 2011</w:t>
      </w:r>
      <w:r w:rsidR="004E651B" w:rsidRPr="005244BD">
        <w:rPr>
          <w:rFonts w:asciiTheme="majorBidi" w:eastAsiaTheme="minorEastAsia" w:hAnsiTheme="majorBidi" w:cstheme="majorBidi"/>
          <w:iCs/>
          <w:noProof/>
          <w:szCs w:val="18"/>
        </w:rPr>
        <w:t>,</w:t>
      </w:r>
      <w:r w:rsidR="004E651B" w:rsidRPr="005244BD" w:rsidDel="004E651B">
        <w:rPr>
          <w:rFonts w:asciiTheme="majorBidi" w:eastAsiaTheme="minorEastAsia" w:hAnsiTheme="majorBidi" w:cstheme="majorBidi"/>
          <w:iCs/>
          <w:noProof/>
          <w:szCs w:val="18"/>
        </w:rPr>
        <w:t xml:space="preserve"> </w:t>
      </w:r>
      <w:r w:rsidRPr="005244BD">
        <w:rPr>
          <w:rFonts w:asciiTheme="majorBidi" w:eastAsiaTheme="minorEastAsia" w:hAnsiTheme="majorBidi" w:cstheme="majorBidi"/>
          <w:iCs/>
          <w:szCs w:val="18"/>
        </w:rPr>
        <w:fldChar w:fldCharType="end"/>
      </w:r>
      <w:r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w:instrText>
      </w:r>
      <w:r w:rsidR="00BF6D87" w:rsidRPr="00EE0F85">
        <w:rPr>
          <w:rFonts w:asciiTheme="majorBidi" w:eastAsiaTheme="minorEastAsia" w:hAnsiTheme="majorBidi" w:cstheme="majorBidi"/>
          <w:iCs/>
          <w:szCs w:val="18"/>
          <w:lang w:val="es-MX"/>
        </w:rPr>
        <w:instrText>":"","family":"Larue","given":"A E","non-dropping-particle":"","parse-names":false,"suffix":""},{"dropping-particle":"","family":"Swider","given":"Pascal","non-dropping-particle":"","parse-names":false,"suffix":""},{"dropping-particle":"","family":"Duru","given":"Paul","non-dropping-particle":"","parse-names":false,"suffix":""},{"dropping-particle":"","family":"Daviaud","given":"Danièle","non-dropping-particle":"","parse-names":false,"suffix":""},{"dropping-particle":"","family":"Quintard","given":"Michel","non-dropping-particle":"","parse-names":false,"suffix":""},{"dropping-particle":"","family":"Davit","given":"Yohan","non-dropping-particle":"","parse-names":false,"suffix":""}],"container-title":"Journal of microscopy","id":"ITEM-1","issue":"3","issued":{"date-parts":[["2018"]]},"page":"302-314","publisher":"Wiley Online Library","title":"Quantitative 3D comparison of biofilm imaged by X-ray micro-tomography and two-photon laser scanning microscopy","type":"article-journal","volume":"271"},"uris":["http://www.mendeley.com/documents/?u</w:instrText>
      </w:r>
      <w:r w:rsidR="00BF6D87" w:rsidRPr="007167AF">
        <w:rPr>
          <w:rFonts w:asciiTheme="majorBidi" w:eastAsiaTheme="minorEastAsia" w:hAnsiTheme="majorBidi" w:cstheme="majorBidi"/>
          <w:iCs/>
          <w:szCs w:val="18"/>
          <w:lang w:val="es-MX"/>
        </w:rPr>
        <w:instrText>uid=8f3b7761-6e25-45a8-8847-63e6de43bc5e","http://www.mendeley.com/documents/?uuid=f09d9b4a-c561-4910-8236-1666d9d8917c"]}],"mendeley":{"formattedCitation":"(Larue et al., 2018)","manualFormatting":"Larue et al., 2018, ","plainTextFormattedCitation":"(Larue et al., 2018)","previouslyFormattedCitation":"(Larue et al., 2018)"},"properties":{"noteIndex":0},"schema":"https://github.com/citation-style-language/schema/raw/master/csl-citation.json"}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Pr="007167AF">
        <w:rPr>
          <w:rFonts w:asciiTheme="majorBidi" w:eastAsiaTheme="minorEastAsia" w:hAnsiTheme="majorBidi" w:cstheme="majorBidi"/>
          <w:iCs/>
          <w:noProof/>
          <w:szCs w:val="18"/>
          <w:lang w:val="es-MX"/>
        </w:rPr>
        <w:t>Larue et al., 2018</w:t>
      </w:r>
      <w:r w:rsidR="004E651B" w:rsidRPr="007167AF">
        <w:rPr>
          <w:rFonts w:asciiTheme="majorBidi" w:eastAsiaTheme="minorEastAsia" w:hAnsiTheme="majorBidi" w:cstheme="majorBidi"/>
          <w:iCs/>
          <w:noProof/>
          <w:szCs w:val="18"/>
          <w:lang w:val="es-MX"/>
        </w:rPr>
        <w:t>,</w:t>
      </w:r>
      <w:r w:rsidR="004E651B" w:rsidRPr="007167AF" w:rsidDel="004E651B">
        <w:rPr>
          <w:rFonts w:asciiTheme="majorBidi" w:eastAsiaTheme="minorEastAsia" w:hAnsiTheme="majorBidi" w:cstheme="majorBidi"/>
          <w:iCs/>
          <w:noProof/>
          <w:szCs w:val="18"/>
          <w:lang w:val="es-MX"/>
        </w:rPr>
        <w:t xml:space="preserve"> </w:t>
      </w:r>
      <w:r w:rsidRPr="005244BD">
        <w:rPr>
          <w:rFonts w:asciiTheme="majorBidi" w:eastAsiaTheme="minorEastAsia" w:hAnsiTheme="majorBidi" w:cstheme="majorBidi"/>
          <w:iCs/>
          <w:szCs w:val="18"/>
        </w:rPr>
        <w:fldChar w:fldCharType="end"/>
      </w:r>
      <w:r w:rsidRPr="005244BD">
        <w:rPr>
          <w:rFonts w:asciiTheme="majorBidi" w:eastAsiaTheme="minorEastAsia" w:hAnsiTheme="majorBidi" w:cstheme="majorBidi"/>
          <w:iCs/>
          <w:szCs w:val="18"/>
        </w:rPr>
        <w:fldChar w:fldCharType="begin" w:fldLock="1"/>
      </w:r>
      <w:r w:rsidR="00BF6D87" w:rsidRPr="007167AF">
        <w:rPr>
          <w:rFonts w:asciiTheme="majorBidi" w:eastAsiaTheme="minorEastAsia" w:hAnsiTheme="majorBidi" w:cstheme="majorBidi"/>
          <w:iCs/>
          <w:szCs w:val="18"/>
          <w:lang w:val="es-MX"/>
        </w:rPr>
        <w:instrText>ADDIN CSL_CITATION {"citationItems":[{"id":"ITEM-1","itemData":{"author":[{"dropping-particle":"","family":"Ostvar","given":"Sassan","non-dropping-particle":"","parse-names":false,"suffix":""},{"dropping-particle":"","family":"Iltis","given":"Gabriel","non-dropping-particle":"","parse-names":false,"suffix":""},{"dropping-particle":"","family":"Davit","given":"Yohan","non-dropping-particle":"","parse-names":false,"suffix":""},{"dropping-particle":"","family":"Schlüter","given":"Steffen","non-dropping-particle":"","parse-names":false,"suffix":""},{"dropping-particle":"","family":"Andersson","given":"Linnéa","non-dropping-particle":"","parse-names":false,"suffix":""},{"dropping-particle":"","family":"Wood","given":"Brian D","non-dropping-particle":"","parse-names":false,"suffix":""},{"dropping-particle":"","family":"Wildenschild","given":"Dorthe","non-dropping-particle":"","parse-names":false,"suffix":""}],"container-title":"Advances in water resources","id":"ITEM-1","issued":{"date-parts":[["2018"]]},"page":"1-13","publisher":"Elsevier","title":"Investigating the influence of flow rate on biofilm growth in three dimensions using microimaging","type":"article-journal","volume":"117"},"uris":["http://www.mendeley.com/documents/?uuid=4fb8a577-376d-44e1-b8ac-b5f35f92efd4","http://www.mendeley.com/documents/?uuid=798950ea-b919-4ce7-a1ee-d39a0dae5b6c"]}],"mendeley":{"formattedCitation":"(Ostvar et al., 2018)","manualFormatting":"Ostvar et al., 2018)","plainTextFormattedCitation":"(Ostvar et al., 2018)","previouslyFormattedCitation":"(Ostvar et al., 2018)"},"properties":{"noteIndex":0},"schema":"https://github.com/citation-style-language/schema/raw/master/csl-citation.json"}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Pr="007167AF">
        <w:rPr>
          <w:rFonts w:asciiTheme="majorBidi" w:eastAsiaTheme="minorEastAsia" w:hAnsiTheme="majorBidi" w:cstheme="majorBidi"/>
          <w:iCs/>
          <w:noProof/>
          <w:szCs w:val="18"/>
          <w:lang w:val="es-MX"/>
        </w:rPr>
        <w:t>Ostvar et al., 2018)</w:t>
      </w:r>
      <w:r w:rsidRPr="005244BD">
        <w:rPr>
          <w:rFonts w:asciiTheme="majorBidi" w:eastAsiaTheme="minorEastAsia" w:hAnsiTheme="majorBidi" w:cstheme="majorBidi"/>
          <w:iCs/>
          <w:szCs w:val="18"/>
        </w:rPr>
        <w:fldChar w:fldCharType="end"/>
      </w:r>
      <w:r w:rsidRPr="007167AF">
        <w:rPr>
          <w:rFonts w:asciiTheme="majorBidi" w:eastAsiaTheme="minorEastAsia" w:hAnsiTheme="majorBidi" w:cstheme="majorBidi"/>
          <w:iCs/>
          <w:szCs w:val="18"/>
          <w:lang w:val="es-MX"/>
        </w:rPr>
        <w:t xml:space="preserve">. </w:t>
      </w:r>
      <w:r w:rsidR="005077E6" w:rsidRPr="005244BD">
        <w:rPr>
          <w:rFonts w:asciiTheme="majorBidi" w:eastAsiaTheme="minorEastAsia" w:hAnsiTheme="majorBidi" w:cstheme="majorBidi"/>
          <w:iCs/>
          <w:szCs w:val="18"/>
        </w:rPr>
        <w:fldChar w:fldCharType="begin" w:fldLock="1"/>
      </w:r>
      <w:r w:rsidR="00BF6D87" w:rsidRPr="007167AF">
        <w:rPr>
          <w:rFonts w:asciiTheme="majorBidi" w:eastAsiaTheme="minorEastAsia" w:hAnsiTheme="majorBidi" w:cstheme="majorBidi"/>
          <w:iCs/>
          <w:szCs w:val="18"/>
          <w:lang w:val="es-MX"/>
        </w:rPr>
        <w:instrText>ADDIN CSL_CITATION {"citationItems":[{"id":"ITEM-1","itemData":{"author":[{"dropping-particle":"V","family":"Vayenas","given":"</w:instrText>
      </w:r>
      <w:r w:rsidR="00BF6D87" w:rsidRPr="00CB50FC">
        <w:rPr>
          <w:rFonts w:asciiTheme="majorBidi" w:eastAsiaTheme="minorEastAsia" w:hAnsiTheme="majorBidi" w:cstheme="majorBidi"/>
          <w:iCs/>
          <w:szCs w:val="18"/>
          <w:lang w:val="es-MX"/>
        </w:rPr>
        <w:instrText>D","non-dropping-particle":"","parse-names":false,"suffix":""},{"dropping-particle":"","family":"Michalopoulou","given":"E","non-dropping-particle":"","parse-names":false,"suffix":""},{"dropping-particle":"","family":"Constantinides","given":"G N","non-dropping-particle":"","parse-names":false,"suffix":""},{"dropping-particle":"","family":"Pavlou","given":"S","non-dropping-particle":"","parse-names":false,"suffix":""},{"dropping-particle":"","family":"Payatakes","given":"A C","non-dropping-particle":"","parse-names":false,"suffix":""}],"container-title":"Advances in water resources","id":"ITEM-1","issue":"2","issued":{"date-parts":[["2002"]]},"page":"203-219","publisher":"Elsevier","title":"Visualization experiments of biodegradation in porous media and calculation of the biodegradation rate","type":"article-journal","volume":"25"},"uris":["http://www.mendeley.com/documents/?uuid=1108d4b7-13be-4bbd-84d2-16cbb0a1f845","http://www.mendeley.com/documents/?uuid=bc6fb552-e8c3-41a3-8078-212f452ca4d1"]}],"mendeley":{"formattedCitation":"(Vayenas et al., 2002)","manualFormatting":"Vayenas et al., 2002","plainTextFormattedCitation":"(Vayenas et al., 2002)","previouslyFormattedCitation":"(Vayenas et al., 2002)"},"properties":{"noteIndex":0},"schema":"https://github.com/citation-style-language/schema/raw/master/csl-citation.json"}</w:instrText>
      </w:r>
      <w:r w:rsidR="005077E6" w:rsidRPr="005244BD">
        <w:rPr>
          <w:rFonts w:asciiTheme="majorBidi" w:eastAsiaTheme="minorEastAsia" w:hAnsiTheme="majorBidi" w:cstheme="majorBidi"/>
          <w:iCs/>
          <w:szCs w:val="18"/>
        </w:rPr>
        <w:fldChar w:fldCharType="separate"/>
      </w:r>
      <w:r w:rsidR="005077E6" w:rsidRPr="00CB50FC">
        <w:rPr>
          <w:rFonts w:asciiTheme="majorBidi" w:eastAsiaTheme="minorEastAsia" w:hAnsiTheme="majorBidi" w:cstheme="majorBidi"/>
          <w:iCs/>
          <w:noProof/>
          <w:szCs w:val="18"/>
          <w:lang w:val="es-MX"/>
        </w:rPr>
        <w:t>Vayenas et al., 2002</w:t>
      </w:r>
      <w:r w:rsidR="005077E6" w:rsidRPr="005244BD">
        <w:rPr>
          <w:rFonts w:asciiTheme="majorBidi" w:eastAsiaTheme="minorEastAsia" w:hAnsiTheme="majorBidi" w:cstheme="majorBidi"/>
          <w:iCs/>
          <w:szCs w:val="18"/>
        </w:rPr>
        <w:fldChar w:fldCharType="end"/>
      </w:r>
      <w:r w:rsidR="005077E6" w:rsidRPr="00CB50FC">
        <w:rPr>
          <w:rFonts w:asciiTheme="majorBidi" w:eastAsiaTheme="minorEastAsia" w:hAnsiTheme="majorBidi" w:cstheme="majorBidi"/>
          <w:iCs/>
          <w:szCs w:val="18"/>
          <w:lang w:val="es-MX"/>
        </w:rPr>
        <w:t>, studied NAPL b</w:t>
      </w:r>
      <w:r w:rsidRPr="00CB50FC">
        <w:rPr>
          <w:rFonts w:asciiTheme="majorBidi" w:eastAsiaTheme="minorEastAsia" w:hAnsiTheme="majorBidi" w:cstheme="majorBidi"/>
          <w:iCs/>
          <w:szCs w:val="18"/>
          <w:lang w:val="es-MX"/>
        </w:rPr>
        <w:t xml:space="preserve">iodegradation </w:t>
      </w:r>
      <w:r w:rsidR="007167AF" w:rsidRPr="00CB50FC">
        <w:rPr>
          <w:rFonts w:asciiTheme="majorBidi" w:eastAsiaTheme="minorEastAsia" w:hAnsiTheme="majorBidi" w:cstheme="majorBidi"/>
          <w:iCs/>
          <w:szCs w:val="18"/>
          <w:lang w:val="es-MX"/>
        </w:rPr>
        <w:t xml:space="preserve">through injection of dissolved NAPL into biofilm populated </w:t>
      </w:r>
      <w:r w:rsidR="005077E6" w:rsidRPr="00CB50FC">
        <w:rPr>
          <w:rFonts w:asciiTheme="majorBidi" w:eastAsiaTheme="minorEastAsia" w:hAnsiTheme="majorBidi" w:cstheme="majorBidi"/>
          <w:iCs/>
          <w:szCs w:val="18"/>
          <w:lang w:val="es-MX"/>
        </w:rPr>
        <w:t>porous media constructed of etched glass</w:t>
      </w:r>
      <w:r w:rsidR="007167AF" w:rsidRPr="00CB50FC">
        <w:rPr>
          <w:rFonts w:asciiTheme="majorBidi" w:eastAsiaTheme="minorEastAsia" w:hAnsiTheme="majorBidi" w:cstheme="majorBidi"/>
          <w:iCs/>
          <w:szCs w:val="18"/>
          <w:lang w:val="es-MX"/>
        </w:rPr>
        <w:t xml:space="preserve">. </w:t>
      </w:r>
      <w:r w:rsidR="007167AF">
        <w:rPr>
          <w:rFonts w:asciiTheme="majorBidi" w:eastAsiaTheme="minorEastAsia" w:hAnsiTheme="majorBidi" w:cstheme="majorBidi"/>
          <w:iCs/>
          <w:szCs w:val="18"/>
        </w:rPr>
        <w:t>They</w:t>
      </w:r>
      <w:r w:rsidR="005077E6" w:rsidRPr="007167AF">
        <w:rPr>
          <w:rFonts w:asciiTheme="majorBidi" w:eastAsiaTheme="minorEastAsia" w:hAnsiTheme="majorBidi" w:cstheme="majorBidi"/>
          <w:iCs/>
          <w:szCs w:val="18"/>
        </w:rPr>
        <w:t xml:space="preserve"> used quasi-steady-state theoretical </w:t>
      </w:r>
      <w:r w:rsidR="005077E6" w:rsidRPr="007167AF">
        <w:rPr>
          <w:rFonts w:asciiTheme="majorBidi" w:eastAsiaTheme="minorEastAsia" w:hAnsiTheme="majorBidi" w:cstheme="majorBidi"/>
          <w:iCs/>
          <w:szCs w:val="18"/>
        </w:rPr>
        <w:lastRenderedPageBreak/>
        <w:t xml:space="preserve">model of biodegradation to calculate mesoscopic biochemical rate and thickness of biofilm. </w:t>
      </w:r>
      <w:r w:rsidR="007167AF">
        <w:rPr>
          <w:rFonts w:asciiTheme="majorBidi" w:eastAsiaTheme="minorEastAsia" w:hAnsiTheme="majorBidi" w:cstheme="majorBidi"/>
          <w:iCs/>
          <w:szCs w:val="18"/>
        </w:rPr>
        <w:t xml:space="preserve">However no separate NAPL phase was considered. </w:t>
      </w:r>
      <w:r w:rsidR="00AB37E6" w:rsidRPr="005244BD">
        <w:rPr>
          <w:rFonts w:asciiTheme="majorBidi" w:eastAsiaTheme="minorEastAsia" w:hAnsiTheme="majorBidi" w:cstheme="majorBidi"/>
          <w:iCs/>
          <w:szCs w:val="18"/>
        </w:rPr>
        <w:t>Significant research ha</w:t>
      </w:r>
      <w:r w:rsidR="002D1F61" w:rsidRPr="005244BD">
        <w:rPr>
          <w:rFonts w:asciiTheme="majorBidi" w:eastAsiaTheme="minorEastAsia" w:hAnsiTheme="majorBidi" w:cstheme="majorBidi"/>
          <w:iCs/>
          <w:szCs w:val="18"/>
        </w:rPr>
        <w:t>s</w:t>
      </w:r>
      <w:r w:rsidR="00AB37E6" w:rsidRPr="005244BD">
        <w:rPr>
          <w:rFonts w:asciiTheme="majorBidi" w:eastAsiaTheme="minorEastAsia" w:hAnsiTheme="majorBidi" w:cstheme="majorBidi"/>
          <w:iCs/>
          <w:szCs w:val="18"/>
        </w:rPr>
        <w:t xml:space="preserve"> been d</w:t>
      </w:r>
      <w:r w:rsidR="00726BA9" w:rsidRPr="005244BD">
        <w:rPr>
          <w:rFonts w:asciiTheme="majorBidi" w:eastAsiaTheme="minorEastAsia" w:hAnsiTheme="majorBidi" w:cstheme="majorBidi"/>
          <w:iCs/>
          <w:szCs w:val="18"/>
        </w:rPr>
        <w:t>edicated</w:t>
      </w:r>
      <w:r w:rsidR="00AB37E6" w:rsidRPr="005244BD">
        <w:rPr>
          <w:rFonts w:asciiTheme="majorBidi" w:eastAsiaTheme="minorEastAsia" w:hAnsiTheme="majorBidi" w:cstheme="majorBidi"/>
          <w:iCs/>
          <w:szCs w:val="18"/>
        </w:rPr>
        <w:t xml:space="preserve"> t</w:t>
      </w:r>
      <w:r w:rsidR="00726BA9" w:rsidRPr="005244BD">
        <w:rPr>
          <w:rFonts w:asciiTheme="majorBidi" w:eastAsiaTheme="minorEastAsia" w:hAnsiTheme="majorBidi" w:cstheme="majorBidi"/>
          <w:iCs/>
          <w:szCs w:val="18"/>
        </w:rPr>
        <w:t xml:space="preserve">o model </w:t>
      </w:r>
      <w:r w:rsidR="002D1F61" w:rsidRPr="005244BD">
        <w:rPr>
          <w:rFonts w:asciiTheme="majorBidi" w:eastAsiaTheme="minorEastAsia" w:hAnsiTheme="majorBidi" w:cstheme="majorBidi"/>
          <w:iCs/>
          <w:szCs w:val="18"/>
        </w:rPr>
        <w:t>in</w:t>
      </w:r>
      <w:r w:rsidR="000842C2" w:rsidRPr="005244BD">
        <w:rPr>
          <w:rFonts w:asciiTheme="majorBidi" w:eastAsiaTheme="minorEastAsia" w:hAnsiTheme="majorBidi" w:cstheme="majorBidi"/>
          <w:iCs/>
          <w:szCs w:val="18"/>
        </w:rPr>
        <w:t>-</w:t>
      </w:r>
      <w:r w:rsidR="002D1F61" w:rsidRPr="005244BD">
        <w:rPr>
          <w:rFonts w:asciiTheme="majorBidi" w:eastAsiaTheme="minorEastAsia" w:hAnsiTheme="majorBidi" w:cstheme="majorBidi"/>
          <w:iCs/>
          <w:szCs w:val="18"/>
        </w:rPr>
        <w:t xml:space="preserve">situ </w:t>
      </w:r>
      <w:r w:rsidR="00726BA9" w:rsidRPr="005244BD">
        <w:rPr>
          <w:rFonts w:asciiTheme="majorBidi" w:eastAsiaTheme="minorEastAsia" w:hAnsiTheme="majorBidi" w:cstheme="majorBidi"/>
          <w:iCs/>
          <w:szCs w:val="18"/>
        </w:rPr>
        <w:t>NAPL bioremediation</w:t>
      </w:r>
      <w:r w:rsidR="002D1F61" w:rsidRPr="005244BD">
        <w:rPr>
          <w:rFonts w:asciiTheme="majorBidi" w:eastAsiaTheme="minorEastAsia" w:hAnsiTheme="majorBidi" w:cstheme="majorBidi"/>
          <w:iCs/>
          <w:szCs w:val="18"/>
        </w:rPr>
        <w:t>.</w:t>
      </w:r>
      <w:r w:rsidR="00726BA9" w:rsidRPr="005244BD">
        <w:rPr>
          <w:rFonts w:asciiTheme="majorBidi" w:eastAsiaTheme="minorEastAsia" w:hAnsiTheme="majorBidi" w:cstheme="majorBidi"/>
          <w:iCs/>
          <w:szCs w:val="18"/>
        </w:rPr>
        <w:t xml:space="preserve"> </w:t>
      </w:r>
      <w:r w:rsidR="002D1F61" w:rsidRPr="005244BD">
        <w:rPr>
          <w:rFonts w:asciiTheme="majorBidi" w:eastAsiaTheme="minorEastAsia" w:hAnsiTheme="majorBidi" w:cstheme="majorBidi"/>
          <w:iCs/>
          <w:szCs w:val="18"/>
        </w:rPr>
        <w:t>T</w:t>
      </w:r>
      <w:r w:rsidR="00AB37E6" w:rsidRPr="005244BD">
        <w:rPr>
          <w:rFonts w:asciiTheme="majorBidi" w:eastAsiaTheme="minorEastAsia" w:hAnsiTheme="majorBidi" w:cstheme="majorBidi"/>
          <w:iCs/>
          <w:szCs w:val="18"/>
        </w:rPr>
        <w:t>ransport</w:t>
      </w:r>
      <w:r w:rsidR="002D1F61" w:rsidRPr="005244BD">
        <w:rPr>
          <w:rFonts w:asciiTheme="majorBidi" w:eastAsiaTheme="minorEastAsia" w:hAnsiTheme="majorBidi" w:cstheme="majorBidi"/>
          <w:iCs/>
          <w:szCs w:val="18"/>
        </w:rPr>
        <w:t xml:space="preserve"> and biodegradation of</w:t>
      </w:r>
      <w:r w:rsidR="00AB37E6" w:rsidRPr="005244BD">
        <w:rPr>
          <w:rFonts w:asciiTheme="majorBidi" w:eastAsiaTheme="minorEastAsia" w:hAnsiTheme="majorBidi" w:cstheme="majorBidi"/>
          <w:iCs/>
          <w:szCs w:val="18"/>
        </w:rPr>
        <w:t xml:space="preserve"> dissolved NAPL </w:t>
      </w:r>
      <w:r w:rsidR="002D1F61" w:rsidRPr="005244BD">
        <w:rPr>
          <w:rFonts w:asciiTheme="majorBidi" w:eastAsiaTheme="minorEastAsia" w:hAnsiTheme="majorBidi" w:cstheme="majorBidi"/>
          <w:iCs/>
          <w:szCs w:val="18"/>
        </w:rPr>
        <w:t>plume are</w:t>
      </w:r>
      <w:r w:rsidR="00726BA9" w:rsidRPr="005244BD">
        <w:rPr>
          <w:rFonts w:asciiTheme="majorBidi" w:eastAsiaTheme="minorEastAsia" w:hAnsiTheme="majorBidi" w:cstheme="majorBidi"/>
          <w:iCs/>
          <w:szCs w:val="18"/>
        </w:rPr>
        <w:t xml:space="preserve"> coupled</w:t>
      </w:r>
      <w:r w:rsidR="00AB37E6" w:rsidRPr="005244BD">
        <w:rPr>
          <w:rFonts w:asciiTheme="majorBidi" w:eastAsiaTheme="minorEastAsia" w:hAnsiTheme="majorBidi" w:cstheme="majorBidi"/>
          <w:iCs/>
          <w:szCs w:val="18"/>
        </w:rPr>
        <w:t xml:space="preserve"> </w:t>
      </w:r>
      <w:r w:rsidR="002C18A3" w:rsidRPr="005244BD">
        <w:rPr>
          <w:rFonts w:asciiTheme="majorBidi" w:eastAsiaTheme="minorEastAsia" w:hAnsiTheme="majorBidi" w:cstheme="majorBidi"/>
          <w:iCs/>
          <w:szCs w:val="18"/>
        </w:rPr>
        <w:t>together</w:t>
      </w:r>
      <w:r w:rsidR="002D1F61" w:rsidRPr="005244BD">
        <w:rPr>
          <w:rFonts w:asciiTheme="majorBidi" w:eastAsiaTheme="minorEastAsia" w:hAnsiTheme="majorBidi" w:cstheme="majorBidi"/>
          <w:iCs/>
          <w:szCs w:val="18"/>
        </w:rPr>
        <w:t xml:space="preserve"> with microbial growth</w:t>
      </w:r>
      <w:r w:rsidR="002C18A3" w:rsidRPr="005244BD">
        <w:rPr>
          <w:rFonts w:asciiTheme="majorBidi" w:eastAsiaTheme="minorEastAsia" w:hAnsiTheme="majorBidi" w:cstheme="majorBidi"/>
          <w:iCs/>
          <w:szCs w:val="18"/>
        </w:rPr>
        <w:t xml:space="preserve"> </w:t>
      </w:r>
      <w:r w:rsidR="00726BA9" w:rsidRPr="005244BD">
        <w:rPr>
          <w:rFonts w:asciiTheme="majorBidi" w:eastAsiaTheme="minorEastAsia" w:hAnsiTheme="majorBidi" w:cstheme="majorBidi"/>
          <w:iCs/>
          <w:szCs w:val="18"/>
        </w:rPr>
        <w:t xml:space="preserve">and described by </w:t>
      </w:r>
      <w:r w:rsidR="00AB37E6" w:rsidRPr="005244BD">
        <w:rPr>
          <w:rFonts w:asciiTheme="majorBidi" w:eastAsiaTheme="minorEastAsia" w:hAnsiTheme="majorBidi" w:cstheme="majorBidi"/>
          <w:iCs/>
          <w:szCs w:val="18"/>
        </w:rPr>
        <w:t>advection-dispersion-reaction equation</w:t>
      </w:r>
      <w:r w:rsidR="002D1F61" w:rsidRPr="005244BD">
        <w:rPr>
          <w:rFonts w:asciiTheme="majorBidi" w:eastAsiaTheme="minorEastAsia" w:hAnsiTheme="majorBidi" w:cstheme="majorBidi"/>
          <w:iCs/>
          <w:szCs w:val="18"/>
        </w:rPr>
        <w:t>s</w:t>
      </w:r>
      <w:r w:rsidR="00AB37E6" w:rsidRPr="005244BD">
        <w:rPr>
          <w:rFonts w:asciiTheme="majorBidi" w:eastAsiaTheme="minorEastAsia" w:hAnsiTheme="majorBidi" w:cstheme="majorBidi"/>
          <w:iCs/>
          <w:szCs w:val="18"/>
        </w:rPr>
        <w:t xml:space="preserve"> at </w:t>
      </w:r>
      <w:r w:rsidR="00726BA9" w:rsidRPr="005244BD">
        <w:rPr>
          <w:rFonts w:asciiTheme="majorBidi" w:eastAsiaTheme="minorEastAsia" w:hAnsiTheme="majorBidi" w:cstheme="majorBidi"/>
          <w:iCs/>
          <w:szCs w:val="18"/>
        </w:rPr>
        <w:t xml:space="preserve">the </w:t>
      </w:r>
      <w:r w:rsidR="00AB37E6" w:rsidRPr="005244BD">
        <w:rPr>
          <w:rFonts w:asciiTheme="majorBidi" w:eastAsiaTheme="minorEastAsia" w:hAnsiTheme="majorBidi" w:cstheme="majorBidi"/>
          <w:iCs/>
          <w:szCs w:val="18"/>
        </w:rPr>
        <w:t>continuum scale</w:t>
      </w:r>
      <w:r w:rsidR="00726BA9" w:rsidRPr="005244BD">
        <w:rPr>
          <w:rFonts w:asciiTheme="majorBidi" w:eastAsiaTheme="minorEastAsia" w:hAnsiTheme="majorBidi" w:cstheme="majorBidi"/>
          <w:iCs/>
          <w:szCs w:val="18"/>
        </w:rPr>
        <w:t xml:space="preserve"> where Darcy</w:t>
      </w:r>
      <w:r w:rsidR="00351AEF" w:rsidRPr="005244BD">
        <w:rPr>
          <w:rFonts w:asciiTheme="majorBidi" w:eastAsiaTheme="minorEastAsia" w:hAnsiTheme="majorBidi" w:cstheme="majorBidi"/>
          <w:iCs/>
          <w:szCs w:val="18"/>
        </w:rPr>
        <w:t>’s law</w:t>
      </w:r>
      <w:r w:rsidR="00726BA9" w:rsidRPr="005244BD">
        <w:rPr>
          <w:rFonts w:asciiTheme="majorBidi" w:eastAsiaTheme="minorEastAsia" w:hAnsiTheme="majorBidi" w:cstheme="majorBidi"/>
          <w:iCs/>
          <w:szCs w:val="18"/>
        </w:rPr>
        <w:t xml:space="preserve"> is valid</w:t>
      </w:r>
      <w:r w:rsidR="00AB37E6" w:rsidRPr="005244BD">
        <w:rPr>
          <w:rFonts w:asciiTheme="majorBidi" w:eastAsiaTheme="minorEastAsia" w:hAnsiTheme="majorBidi" w:cstheme="majorBidi"/>
          <w:iCs/>
          <w:szCs w:val="18"/>
        </w:rPr>
        <w:t xml:space="preserve"> </w:t>
      </w:r>
      <w:r w:rsidR="00AB37E6"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{"citationItems":[{"id":"ITEM-1","itemData":{"author":[{"dropping-particle":"","family":"Yang","given":"Xiaoqing","non-dropping-particle":"","parse-names":false,"suffix":""},{"dropping-particle":"","family":"Erickson","given":"L E","non-dropping-particle":"","parse-names":false,"suffix":""},{"dropping-particle":"","family":"Fan","given":"L T","non-dropping-particle":"","parse-names":false,"suffix":""}],"container-title":"Journal of Hazardous Materials","id":"ITEM-1","issue":"2-3","issued":{"date-parts":[["1995"]]},"page":"299-313","publisher":"Elsevier","title":"A study of the dissolution rate-limited bioremediation of soils contaminated by residual hydrocarbons","type":"article-journal","volume":"41"},"uris":["http://www.mendeley.com/documents/?uuid=d7183ff5-31f4-41d3-8a69-1a40b659ac50","http://www.mendeley.com/documents/?uuid=0b03c2d5-71db-4351-acfa-9979728e3455"]}],"mendeley":{"formattedCitation":"(Yang et al., 1995)","manualFormatting":"(Yang et al., 1995, ","plainTextFormattedCitation":"(Yang et al., 1995)","previouslyFormattedCitation":"(Yang et al., 1995)"},"properties":{"noteIndex":0},"schema":"https://github.com/citation-style-language/schema/raw/master/csl-citation.json"}</w:instrText>
      </w:r>
      <w:r w:rsidR="00AB37E6"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(Yang et al., 1995</w:t>
      </w:r>
      <w:r w:rsidR="004E651B" w:rsidRPr="005244BD">
        <w:rPr>
          <w:rFonts w:asciiTheme="majorBidi" w:eastAsiaTheme="minorEastAsia" w:hAnsiTheme="majorBidi" w:cstheme="majorBidi"/>
          <w:iCs/>
          <w:noProof/>
          <w:szCs w:val="18"/>
        </w:rPr>
        <w:t>,</w:t>
      </w:r>
      <w:r w:rsidR="004E651B" w:rsidRPr="005244BD" w:rsidDel="004E651B">
        <w:rPr>
          <w:rFonts w:asciiTheme="majorBidi" w:eastAsiaTheme="minorEastAsia" w:hAnsiTheme="majorBidi" w:cstheme="majorBidi"/>
          <w:iCs/>
          <w:noProof/>
          <w:szCs w:val="18"/>
        </w:rPr>
        <w:t xml:space="preserve"> </w:t>
      </w:r>
      <w:r w:rsidR="00AB37E6" w:rsidRPr="005244BD">
        <w:rPr>
          <w:rFonts w:asciiTheme="majorBidi" w:eastAsiaTheme="minorEastAsia" w:hAnsiTheme="majorBidi" w:cstheme="majorBidi"/>
          <w:iCs/>
          <w:szCs w:val="18"/>
        </w:rPr>
        <w:fldChar w:fldCharType="end"/>
      </w:r>
      <w:r w:rsidR="00AB37E6"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{"citationItems":[{"id":"ITEM-1","itemData":{"author":[{"dropping-particle":"","family":"Brauner","given":"J Steven","non-dropping-particle":"","parse-names":false,"suffix":""},{"dropping-particle":"","family":"Widdowson","given":"Mark A","non-dropping-particle":"","parse-names":false,"suffix":""}],"container-title":"Groundwater","id":"ITEM-1","issue":"6","issued":{"date-parts":[["2001"]]},"page":"939-952","publisher":"Wiley Online Library","title":"Numerical simulation of a natural attenuation experiment with a petroleum hydrocarbon NAPL source","type":"article-journal","volume":"39"},"uris":["http://www.mendeley.com/documents/?uuid=2e150734-8820-46d8-a605-533e1ea84676","http://www.mendeley.com/documents/?uuid=c903db3b-9025-47de-96fe-d6a5c85bbc97"]}],"mendeley":{"formattedCitation":"(Brauner &amp; Widdowson, 2001)","manualFormatting":"Brauner &amp; Widdowson, 2001, ","plainTextFormattedCitation":"(Brauner &amp; Widdowson, 2001)","previouslyFormattedCitation":"(Brauner &amp; Widdowson, 2001)"},"properties":{"noteIndex":0},"schema":"https://github.com/citation-style-language/schema/raw/master/csl-citation.json"}</w:instrText>
      </w:r>
      <w:r w:rsidR="00AB37E6"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Brauner &amp; Widdowson, 2001</w:t>
      </w:r>
      <w:r w:rsidR="004E651B" w:rsidRPr="005244BD">
        <w:rPr>
          <w:rFonts w:asciiTheme="majorBidi" w:eastAsiaTheme="minorEastAsia" w:hAnsiTheme="majorBidi" w:cstheme="majorBidi"/>
          <w:iCs/>
          <w:noProof/>
          <w:szCs w:val="18"/>
        </w:rPr>
        <w:t>,</w:t>
      </w:r>
      <w:r w:rsidR="004E651B" w:rsidRPr="005244BD" w:rsidDel="004E651B">
        <w:rPr>
          <w:rFonts w:asciiTheme="majorBidi" w:eastAsiaTheme="minorEastAsia" w:hAnsiTheme="majorBidi" w:cstheme="majorBidi"/>
          <w:iCs/>
          <w:noProof/>
          <w:szCs w:val="18"/>
        </w:rPr>
        <w:t xml:space="preserve"> </w:t>
      </w:r>
      <w:r w:rsidR="00AB37E6" w:rsidRPr="005244BD">
        <w:rPr>
          <w:rFonts w:asciiTheme="majorBidi" w:eastAsiaTheme="minorEastAsia" w:hAnsiTheme="majorBidi" w:cstheme="majorBidi"/>
          <w:iCs/>
          <w:szCs w:val="18"/>
        </w:rPr>
        <w:fldChar w:fldCharType="end"/>
      </w:r>
      <w:r w:rsidR="00AB37E6"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Clement","given":"T","non-dropping-particle":"","parse-names":false,"suffix":""},{"dropping-particle":"","family":"Gautam","given":"Tirtha","non-dropping-particle":"","parse-names":false,"suffix":""},{"dropping-particle":"","family":"Lee","given":"Kang","non-dropping-particle":"","parse-names":false,"suffix":""},{"dropping-particle":"","family":"Truex","given":"Michael","non-dropping-particle":"","parse-names":false,"suffix":""},{"dropping-particle":"","family":"Davis","given":"Greg","non-dropping-particle":"","parse-names":false,"suffix":""}],"container-title":"Bioremediation journal","id":"ITEM-1","issue":"1-2","issued":{"date-parts":[["2004"]]},"page":"47-64","publisher":"Taylor &amp; Francis","title":"Modeling of DNAPL-dissolution, rate-limited sorption and biodegradation reactions in groundwater systems","type":"article-journal","volume":"8"},"uris":["http://www.mendeley.com/documents/?uuid=86935ecf-0052-44e2-8600-6b55f634e4f7","http://www.mendeley.com/documents/?uuid=7f9b69d2-3049-4ebe-9ef1-8e8844faad3e"]}],"mendeley":{"formattedCitation":"(Clement et al., 2004)","manualFormatting":"Clement et al., 2004, ","plainTextFormattedCitation":"(Clement et al., 2004)","previouslyFormattedCitation":"(Clement et al., 2004)"},"properties":{"noteIndex":0},"schema":"https://github.com/citation-style-language/schema/raw/master/csl-citation.json"}</w:instrText>
      </w:r>
      <w:r w:rsidR="00AB37E6"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Clement et al., 2004</w:t>
      </w:r>
      <w:r w:rsidR="004E651B" w:rsidRPr="005244BD">
        <w:rPr>
          <w:rFonts w:asciiTheme="majorBidi" w:eastAsiaTheme="minorEastAsia" w:hAnsiTheme="majorBidi" w:cstheme="majorBidi"/>
          <w:iCs/>
          <w:noProof/>
          <w:szCs w:val="18"/>
        </w:rPr>
        <w:t>,</w:t>
      </w:r>
      <w:r w:rsidR="004E651B" w:rsidRPr="005244BD" w:rsidDel="004E651B">
        <w:rPr>
          <w:rFonts w:asciiTheme="majorBidi" w:eastAsiaTheme="minorEastAsia" w:hAnsiTheme="majorBidi" w:cstheme="majorBidi"/>
          <w:iCs/>
          <w:noProof/>
          <w:szCs w:val="18"/>
        </w:rPr>
        <w:t xml:space="preserve"> </w:t>
      </w:r>
      <w:r w:rsidR="00AB37E6" w:rsidRPr="005244BD">
        <w:rPr>
          <w:rFonts w:asciiTheme="majorBidi" w:eastAsiaTheme="minorEastAsia" w:hAnsiTheme="majorBidi" w:cstheme="majorBidi"/>
          <w:iCs/>
          <w:szCs w:val="18"/>
        </w:rPr>
        <w:fldChar w:fldCharType="end"/>
      </w:r>
      <w:r w:rsidR="00AB37E6"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{"citationItems":[{"id":"ITEM-1","itemData":{"author":[{"dropping-particle":"","family":"Becker","given":"Jennifer G","non-dropping-particle":"","parse-names":false,"suffix":""},{"dropping-particle":"","family":"Seagren","given":"Eric A","non-dropping-particle":"","parse-names":false,"suffix":""}],"container-title":"Environmental science &amp; technology","id":"ITEM-1","issue":"3","issued":{"date-parts":[["2009"]]},"page":"870-877","publisher":"ACS Publications","title":"Modeling the effects of microbial competition and hydrodynamics on the dissolution and detoxification of dense nonaqueous phase liquid contaminants","type":"article-journal","volume":"43"},"uris":["http://www.mendeley.com/documents/?uuid=f47b53c9-1d8c-42ba-9865-42ed14dcd649","http://www.mendeley.com/documents/?uuid=6fb95c76-4276-4303-959e-6147716ee397"]}],"mendeley":{"formattedCitation":"(Becker &amp; Seagren, 2009)","manualFormatting":"Becker &amp; Seagren, 2009, ","plainTextFormattedCitation":"(Becker &amp; Seagren, 2009)","previouslyFormattedCitation":"(Becker &amp; Seagren, 2009)"},"properties":{"noteIndex":0},"schema":"https://github.com/citation-style-language/schema/raw/master/csl-citation.json"}</w:instrText>
      </w:r>
      <w:r w:rsidR="00AB37E6"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Becker &amp; Seagren, 2009</w:t>
      </w:r>
      <w:r w:rsidR="004E651B" w:rsidRPr="005244BD">
        <w:rPr>
          <w:rFonts w:asciiTheme="majorBidi" w:eastAsiaTheme="minorEastAsia" w:hAnsiTheme="majorBidi" w:cstheme="majorBidi"/>
          <w:iCs/>
          <w:noProof/>
          <w:szCs w:val="18"/>
        </w:rPr>
        <w:t>,</w:t>
      </w:r>
      <w:r w:rsidR="004E651B" w:rsidRPr="005244BD" w:rsidDel="004E651B">
        <w:rPr>
          <w:rFonts w:asciiTheme="majorBidi" w:eastAsiaTheme="minorEastAsia" w:hAnsiTheme="majorBidi" w:cstheme="majorBidi"/>
          <w:iCs/>
          <w:noProof/>
          <w:szCs w:val="18"/>
        </w:rPr>
        <w:t xml:space="preserve"> </w:t>
      </w:r>
      <w:r w:rsidR="00AB37E6" w:rsidRPr="005244BD">
        <w:rPr>
          <w:rFonts w:asciiTheme="majorBidi" w:eastAsiaTheme="minorEastAsia" w:hAnsiTheme="majorBidi" w:cstheme="majorBidi"/>
          <w:iCs/>
          <w:szCs w:val="18"/>
        </w:rPr>
        <w:fldChar w:fldCharType="end"/>
      </w:r>
      <w:r w:rsidR="00AB37E6"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Davit","given":"Yohan","non-dropping-particle":"","parse-names":false,"suffix":""},{"dropping-particle":"","family":"Debenest","given":"Gérald","non-dropping-particle":"","parse-names":false,"suffix":""},{"dropping-particle":"","family":"Wood","given":"Brian D","non-dropping-particle":"","parse-names":false,"suffix":""},{"dropping-particle":"","family":"Quintard","given":"Michel","non-dropping-particle":"","parse-names":false,"suffix":""}],"container-title":"Advances in Water Resources","id":"ITEM-1","issue":"9","issued":{"date-parts":[["2010"]]},"page":"1075-1093","publisher":"Elsevier","title":"Modeling non-equilibrium mass transport in biologically reactive porous media","type":"article-journal","volume":"33"},"uris":["http://www.mendeley.com/documents/?uuid=0dce9b8e-8b21-4ad0-b9f1-7e2182205e9b","http://www.mendeley.com/documents/?uuid=6e727dbb-6c27-4708-be83-0fe32b5e25f1"]}],"mendeley":{"formattedCitation":"(Davit et al., 2010)","manualFormatting":"Davit et al., 2010, ","plainTextFormattedCitation":"(Davit et al., 2010)","previouslyFormattedCitation":"(Davit et al., 2010)"},"properties":{"noteIndex":0},"schema":"https://github.com/citation-style-language/schema/raw/master/csl-citation.json"}</w:instrText>
      </w:r>
      <w:r w:rsidR="00AB37E6"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Davit et al., 2010</w:t>
      </w:r>
      <w:r w:rsidR="004E651B" w:rsidRPr="005244BD">
        <w:rPr>
          <w:rFonts w:asciiTheme="majorBidi" w:eastAsiaTheme="minorEastAsia" w:hAnsiTheme="majorBidi" w:cstheme="majorBidi"/>
          <w:iCs/>
          <w:noProof/>
          <w:szCs w:val="18"/>
        </w:rPr>
        <w:t>,</w:t>
      </w:r>
      <w:r w:rsidR="004E651B" w:rsidRPr="005244BD" w:rsidDel="004E651B">
        <w:rPr>
          <w:rFonts w:asciiTheme="majorBidi" w:eastAsiaTheme="minorEastAsia" w:hAnsiTheme="majorBidi" w:cstheme="majorBidi"/>
          <w:iCs/>
          <w:noProof/>
          <w:szCs w:val="18"/>
        </w:rPr>
        <w:t xml:space="preserve"> </w:t>
      </w:r>
      <w:r w:rsidR="00AB37E6" w:rsidRPr="005244BD">
        <w:rPr>
          <w:rFonts w:asciiTheme="majorBidi" w:eastAsiaTheme="minorEastAsia" w:hAnsiTheme="majorBidi" w:cstheme="majorBidi"/>
          <w:iCs/>
          <w:szCs w:val="18"/>
        </w:rPr>
        <w:fldChar w:fldCharType="end"/>
      </w:r>
      <w:r w:rsidR="00AB37E6"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{"citationItems":[{"id":"ITEM-1","itemData":{"author":[{"dropping-particle":"","family":"Chambon","given":"Julie C","non-dropping-particle":"","parse-names":false,"suffix":""},{"dropping-particle":"","family":"Broholm","given":"Mette M","non-dropping-particle":"","parse-names":false,"suffix":""},{"dropping-particle":"","family":"Binning","given":"Philip J","non-dropping-particle":"","parse-names":false,"suffix":""},{"dropping-particle":"","family":"Bjerg","given":"Poul L","non-dropping-particle":"","parse-names":false,"suffix":""}],"container-title":"Journal of Contaminant Hydrology","id":"ITEM-1","issue":"1-4","issued":{"date-parts":[["2010"]]},"page":"77-90","publisher":"Elsevier","title":"Modeling multi-component transport and enhanced anaerobic dechlorination processes in a single fracture--clay matrix system","type":"article-journal","volume":"112"},"uris":["http://www.mendeley.com/documents/?uuid=e23e117c-e38a-4fc0-9792-3227e7f03f9e","http://www.mendeley.com/documents/?uuid=ab807c9a-abef-4d5c-88eb-63113c58110e"]}],"mendeley":{"formattedCitation":"(Chambon et al., 2010)","manualFormatting":"Chambon et al., 2010, ","plainTextFormattedCitation":"(Chambon et al., 2010)","previouslyFormattedCitation":"(Chambon et al., 2010)"},"properties":{"noteIndex":0},"schema":"https://github.com/citation-style-language/schema/raw/master/csl-citation.json"}</w:instrText>
      </w:r>
      <w:r w:rsidR="00AB37E6"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Chambon et al., 2010</w:t>
      </w:r>
      <w:r w:rsidR="004E651B" w:rsidRPr="005244BD">
        <w:rPr>
          <w:rFonts w:asciiTheme="majorBidi" w:eastAsiaTheme="minorEastAsia" w:hAnsiTheme="majorBidi" w:cstheme="majorBidi"/>
          <w:iCs/>
          <w:noProof/>
          <w:szCs w:val="18"/>
        </w:rPr>
        <w:t>,</w:t>
      </w:r>
      <w:r w:rsidR="004E651B" w:rsidRPr="005244BD" w:rsidDel="004E651B">
        <w:rPr>
          <w:rFonts w:asciiTheme="majorBidi" w:eastAsiaTheme="minorEastAsia" w:hAnsiTheme="majorBidi" w:cstheme="majorBidi"/>
          <w:iCs/>
          <w:noProof/>
          <w:szCs w:val="18"/>
        </w:rPr>
        <w:t xml:space="preserve"> </w:t>
      </w:r>
      <w:r w:rsidR="00AB37E6" w:rsidRPr="005244BD">
        <w:rPr>
          <w:rFonts w:asciiTheme="majorBidi" w:eastAsiaTheme="minorEastAsia" w:hAnsiTheme="majorBidi" w:cstheme="majorBidi"/>
          <w:iCs/>
          <w:szCs w:val="18"/>
        </w:rPr>
        <w:fldChar w:fldCharType="end"/>
      </w:r>
      <w:r w:rsidR="00AB37E6"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Orgogozo","given":"Laurent","non-dropping-particle":"","parse-names":false,"suffix":""},{"dropping-particle":"","family":"Golfier","given":"Fabrice","non-dropping-particle":"","parse-names":false,"suffix":""},{"dropping-particle":"","family":"Buès","given":"Michel","non-dropping-particle":"","parse-names":false,"suffix":""},{"dropping-particle":"","family":"Quintard","given":"Michel","non-dropping-particle":"","parse-names":false,"suffix":""}],"container-title":"Advances in Water Resources","id":"ITEM-1","issue":"5","issued":{"date-parts":[["2010"]]},"page":"585-600","publisher":"Elsevier","title":"Upscaling of transport processes in porous media with biofilms in non-equilibrium conditions","type":"article-journal","volume":"33"},"uris":["http://www.mendeley.com/documents/?uuid=fa7f62d7-0f9f-4c48-9180-4f02ce1f290b","http://www.mendeley.com/documents/?uuid=963c62d5-3fac-43e0-880f-8706c6504f55"]}],"mendeley":{"formattedCitation":"(Orgogozo et al., 2010)","manualFormatting":"Orgogozo et al., 2010, ","plainTextFormattedCitation":"(Orgogozo et al., 2010)","previouslyFormattedCitation":"(Orgogozo et al., 2010)"},"properties":{"noteIndex":0},"schema":"https://github.com/citation-style-language/schema/raw/master/csl-citation.json"}</w:instrText>
      </w:r>
      <w:r w:rsidR="00AB37E6"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Orgogozo et al., 2010</w:t>
      </w:r>
      <w:r w:rsidR="004E651B" w:rsidRPr="005244BD">
        <w:rPr>
          <w:rFonts w:asciiTheme="majorBidi" w:eastAsiaTheme="minorEastAsia" w:hAnsiTheme="majorBidi" w:cstheme="majorBidi"/>
          <w:iCs/>
          <w:noProof/>
          <w:szCs w:val="18"/>
        </w:rPr>
        <w:t>,</w:t>
      </w:r>
      <w:r w:rsidR="004E651B" w:rsidRPr="005244BD" w:rsidDel="004E651B">
        <w:rPr>
          <w:rFonts w:asciiTheme="majorBidi" w:eastAsiaTheme="minorEastAsia" w:hAnsiTheme="majorBidi" w:cstheme="majorBidi"/>
          <w:iCs/>
          <w:noProof/>
          <w:szCs w:val="18"/>
        </w:rPr>
        <w:t xml:space="preserve"> </w:t>
      </w:r>
      <w:r w:rsidR="00AB37E6" w:rsidRPr="005244BD">
        <w:rPr>
          <w:rFonts w:asciiTheme="majorBidi" w:eastAsiaTheme="minorEastAsia" w:hAnsiTheme="majorBidi" w:cstheme="majorBidi"/>
          <w:iCs/>
          <w:szCs w:val="18"/>
        </w:rPr>
        <w:fldChar w:fldCharType="end"/>
      </w:r>
      <w:r w:rsidR="00AB37E6"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{"citationItems":[{"id":"ITEM-1","itemData":{"author":[{"dropping-particle":"","family":"Manoli","given</w:instrText>
      </w:r>
      <w:r w:rsidR="00BF6D87" w:rsidRPr="00EE0F85">
        <w:rPr>
          <w:rFonts w:asciiTheme="majorBidi" w:eastAsiaTheme="minorEastAsia" w:hAnsiTheme="majorBidi" w:cstheme="majorBidi"/>
          <w:iCs/>
          <w:szCs w:val="18"/>
        </w:rPr>
        <w:instrText>":"Gabriele","non-dropping-particle":"","parse-names":false,"suffix":""},{"dropping-particle":"","family":"Chambon","given":"Julie C","non-dropping-particle":"","parse-names":false,"suffix":""},{"dropping-particle":"","family":"Bjerg","given":"Poul L","non-dropping-particle":"","parse-names":false,"suffix":""},{"dropping-particle":"","family":"Scheutz","given":"Charlotte","non-dropping-particle":"","parse-names":false,"suffix":""},{"dropping-particle":"","family":"Binning","given":"Philip J","non-dropping-particle":"","parse-names":false,"suffix":""},{"dropping-particle":"","family":"Broholm","given":"Mette M","non-dropping-particle":"","parse-names":false,"suffix":""}],"container-title":"Journal of contaminant hydrology","id":"ITEM-1","issue":"1-4","issued":{"date-parts":[["2012"]]},"page":"64-78","publisher":"Elsevier","title":"A remediation performance model for enhanced metabolic reductive dechlorination of chloroethenes in fractured clay till","type":"article-journal","volume":"131"},"uris":["http://www.mendeley.com/documents/?uuid=c93e5291-f047-4f87-9a46-f55dd575d6c5","http://www.mendeley.com/documents/?uuid=b48f600b-473c-4627-8dec-f8156fa8477b"]}],"mendeley":{"formattedCitation":"(Manoli et al., 2012)","manualFormatting":"Manoli et al., 2012, ","plainTextFormattedCitation":"(Manoli et al., 2012)","previouslyFormattedCitation</w:instrText>
      </w:r>
      <w:r w:rsidR="00BF6D87" w:rsidRPr="00B91E94">
        <w:rPr>
          <w:rFonts w:asciiTheme="majorBidi" w:eastAsiaTheme="minorEastAsia" w:hAnsiTheme="majorBidi" w:cstheme="majorBidi"/>
          <w:iCs/>
          <w:szCs w:val="18"/>
          <w:lang w:val="es-MX"/>
        </w:rPr>
        <w:instrText>":"(Manoli et al., 2012)"},"properties":{"noteIndex":0},"schema":"https://github.com/citation-style-language/schema/raw/master/csl-citation.json"}</w:instrText>
      </w:r>
      <w:r w:rsidR="00AB37E6" w:rsidRPr="005244BD">
        <w:rPr>
          <w:rFonts w:asciiTheme="majorBidi" w:eastAsiaTheme="minorEastAsia" w:hAnsiTheme="majorBidi" w:cstheme="majorBidi"/>
          <w:iCs/>
          <w:szCs w:val="18"/>
        </w:rPr>
        <w:fldChar w:fldCharType="separate"/>
      </w:r>
      <w:r w:rsidR="007E3CAF" w:rsidRPr="00B91E94">
        <w:rPr>
          <w:rFonts w:asciiTheme="majorBidi" w:eastAsiaTheme="minorEastAsia" w:hAnsiTheme="majorBidi" w:cstheme="majorBidi"/>
          <w:iCs/>
          <w:noProof/>
          <w:szCs w:val="18"/>
          <w:lang w:val="es-MX"/>
        </w:rPr>
        <w:t>Manoli et al., 2012</w:t>
      </w:r>
      <w:r w:rsidR="004E651B" w:rsidRPr="00B91E94">
        <w:rPr>
          <w:rFonts w:asciiTheme="majorBidi" w:eastAsiaTheme="minorEastAsia" w:hAnsiTheme="majorBidi" w:cstheme="majorBidi"/>
          <w:iCs/>
          <w:noProof/>
          <w:szCs w:val="18"/>
          <w:lang w:val="es-MX"/>
        </w:rPr>
        <w:t>,</w:t>
      </w:r>
      <w:r w:rsidR="004E651B" w:rsidRPr="00B91E94" w:rsidDel="004E651B">
        <w:rPr>
          <w:rFonts w:asciiTheme="majorBidi" w:eastAsiaTheme="minorEastAsia" w:hAnsiTheme="majorBidi" w:cstheme="majorBidi"/>
          <w:iCs/>
          <w:noProof/>
          <w:szCs w:val="18"/>
          <w:lang w:val="es-MX"/>
        </w:rPr>
        <w:t xml:space="preserve"> </w:t>
      </w:r>
      <w:r w:rsidR="00AB37E6" w:rsidRPr="005244BD">
        <w:rPr>
          <w:rFonts w:asciiTheme="majorBidi" w:eastAsiaTheme="minorEastAsia" w:hAnsiTheme="majorBidi" w:cstheme="majorBidi"/>
          <w:iCs/>
          <w:szCs w:val="18"/>
        </w:rPr>
        <w:fldChar w:fldCharType="end"/>
      </w:r>
      <w:r w:rsidR="00AB37E6" w:rsidRPr="005244BD">
        <w:rPr>
          <w:rFonts w:asciiTheme="majorBidi" w:eastAsiaTheme="minorEastAsia" w:hAnsiTheme="majorBidi" w:cstheme="majorBidi"/>
          <w:iCs/>
          <w:szCs w:val="18"/>
        </w:rPr>
        <w:fldChar w:fldCharType="begin" w:fldLock="1"/>
      </w:r>
      <w:r w:rsidR="00BF6D87" w:rsidRPr="00B91E94">
        <w:rPr>
          <w:rFonts w:asciiTheme="majorBidi" w:eastAsiaTheme="minorEastAsia" w:hAnsiTheme="majorBidi" w:cstheme="majorBidi"/>
          <w:iCs/>
          <w:szCs w:val="18"/>
          <w:lang w:val="es-MX"/>
        </w:rPr>
        <w:instrText>ADDIN CSL_CITATION {"citationItems":[{"id":"ITEM-1","itemData":{"DOI":"10.1016/j.advwatres.2013.09.011","ISSN":"03091708","abstract":"In this work, we derive a Darcy-scale model for solute transport in porous media colonized by biofilms. Biofilms refer to structured communities of microbial cells that grow attached to an aqueous interface, e.g., the pore walls of a water-saturated porous medium. First, we present the pore-scale description of mass transport within and between the phases (water phase and biofilm phase) including the biologically-mediated reactions. Then, a two-equation Darcy-scale mass balance model (classically referred to as dual-porosity model), suitable both for local equilibrium and non-equilibrium conditions, is obtained from the method of volume averaging. Application of this macroscopic model to complex pore geometry of a two-dimensional porous medium supporting biofilms is presented. Comparisons with direct numerical simulation results confirm the large range of validity of the model. Finally, an illustrative example based on a scenario of reactive transport experimental tests is used to point out conditions for when the use of the proposed model is required. © 2013 Elsevier Ltd.","author":[{"dropping-particle":"","family":"Orgogozo","given":"Laurent","non-dropping-particle":"","parse-names":false,"suffix":""},{"dropping-particle":"","family":"Golfier","given":"Fabrice","non-dropping-particle":"","parse-names":false,"suffix":""},{"dropping-particle":"","family":"Buès","given":"Michel A.","non-dropping-particle":"","parse-names":false,"suffix":""},{"dropping-particle":"","family":"Quintard","given":"Michel","non-dropping-particle":"","parse-names":false,"suffix":""},{"dropping-particle":"","family":"Koné","given":"Tiangoua","non-dropping-particle":"","parse-names":false,"suffix":""}],"container-title":"Advances in Water Resources","id":"ITEM-1","issued":{"date-parts":[["2013"]]},"page":"266-279","publisher":"Elsevier Ltd","title":"A dual-porosity theory for solute transport in biofilm-coated porous media","type":"article-journal","volume":"62"},"uris":["http://www.mendeley.com/documents/?uuid=29ec01a3-cf8c-45f6-bd3f-c0f7082a7d13","http://www.mendeley.com/documents/?uuid=7bae7f77-66a6-4f04-8369-2bfef5241c44"]}],"mendeley":{"formattedCitation":"(Orgogozo et al., 2013)","manualFormatting":"Orgogozo et al., 2013)","plainTextFormattedCitation":"(Orgogozo et al., 2013)","previouslyFormattedCitation":"(Orgogozo et al., 2013)"},"properties":{"noteIndex":0},"schema":"https://github.com/citation-style-language/schema/raw/master/csl-citation.json"}</w:instrText>
      </w:r>
      <w:r w:rsidR="00AB37E6" w:rsidRPr="005244BD">
        <w:rPr>
          <w:rFonts w:asciiTheme="majorBidi" w:eastAsiaTheme="minorEastAsia" w:hAnsiTheme="majorBidi" w:cstheme="majorBidi"/>
          <w:iCs/>
          <w:szCs w:val="18"/>
        </w:rPr>
        <w:fldChar w:fldCharType="separate"/>
      </w:r>
      <w:r w:rsidR="007E3CAF" w:rsidRPr="00B91E94">
        <w:rPr>
          <w:rFonts w:asciiTheme="majorBidi" w:eastAsiaTheme="minorEastAsia" w:hAnsiTheme="majorBidi" w:cstheme="majorBidi"/>
          <w:iCs/>
          <w:noProof/>
          <w:szCs w:val="18"/>
          <w:lang w:val="es-MX"/>
        </w:rPr>
        <w:t>Orgogozo et al., 2013)</w:t>
      </w:r>
      <w:r w:rsidR="00AB37E6" w:rsidRPr="005244BD">
        <w:rPr>
          <w:rFonts w:asciiTheme="majorBidi" w:eastAsiaTheme="minorEastAsia" w:hAnsiTheme="majorBidi" w:cstheme="majorBidi"/>
          <w:iCs/>
          <w:szCs w:val="18"/>
        </w:rPr>
        <w:fldChar w:fldCharType="end"/>
      </w:r>
      <w:r w:rsidR="00AB37E6" w:rsidRPr="00B91E94">
        <w:rPr>
          <w:rFonts w:asciiTheme="majorBidi" w:eastAsiaTheme="minorEastAsia" w:hAnsiTheme="majorBidi" w:cstheme="majorBidi"/>
          <w:iCs/>
          <w:szCs w:val="18"/>
          <w:lang w:val="es-MX"/>
        </w:rPr>
        <w:t>.</w:t>
      </w:r>
      <w:r w:rsidR="00726BA9" w:rsidRPr="00B91E94">
        <w:rPr>
          <w:rFonts w:asciiTheme="majorBidi" w:eastAsiaTheme="minorEastAsia" w:hAnsiTheme="majorBidi" w:cstheme="majorBidi"/>
          <w:iCs/>
          <w:szCs w:val="18"/>
          <w:lang w:val="es-MX"/>
        </w:rPr>
        <w:t xml:space="preserve"> </w:t>
      </w:r>
      <w:r w:rsidR="00726BA9" w:rsidRPr="00FF05F4">
        <w:rPr>
          <w:rFonts w:asciiTheme="majorBidi" w:eastAsiaTheme="minorEastAsia" w:hAnsiTheme="majorBidi" w:cstheme="majorBidi"/>
          <w:iCs/>
          <w:szCs w:val="18"/>
          <w:lang w:val="es-MX"/>
        </w:rPr>
        <w:t>However</w:t>
      </w:r>
      <w:r w:rsidR="00503247" w:rsidRPr="00FF05F4">
        <w:rPr>
          <w:rFonts w:asciiTheme="majorBidi" w:eastAsiaTheme="minorEastAsia" w:hAnsiTheme="majorBidi" w:cstheme="majorBidi"/>
          <w:iCs/>
          <w:szCs w:val="18"/>
          <w:lang w:val="es-MX"/>
        </w:rPr>
        <w:t>,</w:t>
      </w:r>
      <w:r w:rsidR="00726BA9" w:rsidRPr="00FF05F4">
        <w:rPr>
          <w:rFonts w:asciiTheme="majorBidi" w:eastAsiaTheme="minorEastAsia" w:hAnsiTheme="majorBidi" w:cstheme="majorBidi"/>
          <w:iCs/>
          <w:szCs w:val="18"/>
          <w:lang w:val="es-MX"/>
        </w:rPr>
        <w:t xml:space="preserve"> research is lacking and limited </w:t>
      </w:r>
      <w:r w:rsidR="004B1769" w:rsidRPr="00FF05F4">
        <w:rPr>
          <w:rFonts w:asciiTheme="majorBidi" w:eastAsiaTheme="minorEastAsia" w:hAnsiTheme="majorBidi" w:cstheme="majorBidi"/>
          <w:iCs/>
          <w:szCs w:val="18"/>
          <w:lang w:val="es-MX"/>
        </w:rPr>
        <w:t xml:space="preserve">to </w:t>
      </w:r>
      <w:r w:rsidR="000842C2" w:rsidRPr="00FF05F4">
        <w:rPr>
          <w:rFonts w:asciiTheme="majorBidi" w:eastAsiaTheme="minorEastAsia" w:hAnsiTheme="majorBidi" w:cstheme="majorBidi"/>
          <w:iCs/>
          <w:szCs w:val="18"/>
          <w:lang w:val="es-MX"/>
        </w:rPr>
        <w:t xml:space="preserve">the </w:t>
      </w:r>
      <w:r w:rsidR="002D1F61" w:rsidRPr="00FF05F4">
        <w:rPr>
          <w:rFonts w:asciiTheme="majorBidi" w:eastAsiaTheme="minorEastAsia" w:hAnsiTheme="majorBidi" w:cstheme="majorBidi"/>
          <w:iCs/>
          <w:szCs w:val="18"/>
          <w:lang w:val="es-MX"/>
        </w:rPr>
        <w:t xml:space="preserve">mechanisms driving </w:t>
      </w:r>
      <w:r w:rsidR="00726BA9" w:rsidRPr="00FF05F4">
        <w:rPr>
          <w:rFonts w:asciiTheme="majorBidi" w:eastAsiaTheme="minorEastAsia" w:hAnsiTheme="majorBidi" w:cstheme="majorBidi"/>
          <w:iCs/>
          <w:szCs w:val="18"/>
          <w:lang w:val="es-MX"/>
        </w:rPr>
        <w:t xml:space="preserve">NAPL bioremediation at </w:t>
      </w:r>
      <w:r w:rsidR="009A2FFC" w:rsidRPr="00FF05F4">
        <w:rPr>
          <w:rFonts w:asciiTheme="majorBidi" w:eastAsiaTheme="minorEastAsia" w:hAnsiTheme="majorBidi" w:cstheme="majorBidi"/>
          <w:iCs/>
          <w:szCs w:val="18"/>
          <w:lang w:val="es-MX"/>
        </w:rPr>
        <w:t>the pore-</w:t>
      </w:r>
      <w:r w:rsidR="00726BA9" w:rsidRPr="00FF05F4">
        <w:rPr>
          <w:rFonts w:asciiTheme="majorBidi" w:eastAsiaTheme="minorEastAsia" w:hAnsiTheme="majorBidi" w:cstheme="majorBidi"/>
          <w:iCs/>
          <w:szCs w:val="18"/>
          <w:lang w:val="es-MX"/>
        </w:rPr>
        <w:t xml:space="preserve">scale. </w:t>
      </w:r>
      <w:r w:rsidR="00D4377B" w:rsidRPr="005244BD">
        <w:rPr>
          <w:rFonts w:asciiTheme="majorBidi" w:eastAsiaTheme="minorEastAsia" w:hAnsiTheme="majorBidi" w:cstheme="majorBidi"/>
          <w:iCs/>
          <w:szCs w:val="18"/>
        </w:rPr>
        <w:t>That is, a</w:t>
      </w:r>
      <w:r w:rsidR="00AB37E6" w:rsidRPr="005244BD">
        <w:rPr>
          <w:rFonts w:asciiTheme="majorBidi" w:eastAsiaTheme="minorEastAsia" w:hAnsiTheme="majorBidi" w:cstheme="majorBidi"/>
          <w:iCs/>
          <w:szCs w:val="18"/>
        </w:rPr>
        <w:t>lthough pore scale and pore network models have been developed for implementation of biofilm growth by many researche</w:t>
      </w:r>
      <w:r w:rsidR="000D3C6D" w:rsidRPr="005244BD">
        <w:rPr>
          <w:rFonts w:asciiTheme="majorBidi" w:eastAsiaTheme="minorEastAsia" w:hAnsiTheme="majorBidi" w:cstheme="majorBidi"/>
          <w:iCs/>
          <w:szCs w:val="18"/>
        </w:rPr>
        <w:t>r</w:t>
      </w:r>
      <w:r w:rsidR="00AB37E6" w:rsidRPr="005244BD">
        <w:rPr>
          <w:rFonts w:asciiTheme="majorBidi" w:eastAsiaTheme="minorEastAsia" w:hAnsiTheme="majorBidi" w:cstheme="majorBidi"/>
          <w:iCs/>
          <w:szCs w:val="18"/>
        </w:rPr>
        <w:t xml:space="preserve">s </w:t>
      </w:r>
      <w:r w:rsidR="00AB37E6"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{"citationItems":[{"id":"ITEM-1","itemData":{"author":[{"dropping-particle":"","family":"Suchomel","given":"Brian J","non-dropping-particle":"","parse-names":false,"suffix":""},{"dropping-particle":"","family":"Chen","given":"Benito M","non-dropping-particle":"","parse-names":false,"suffix":""},{"dropping-particle":"","family":"Allen","given":"Myron B","non-dropping-particle":"","parse-names":false,"suffix":""}],"container-title":"Transport in Porous Media","id":"ITEM-1","issue":"1","issued":{"date-parts":[["1998"]]},"page":"1-23","publisher":"Springer","title":"Network model of flow, transport and biofilm effects in porous media","type":"article-journal","volume":"30"},"uris":["http://www.mendeley.com/documents/?uuid=dd18cb3b-3b5c-4a9c-90ab-92ceabd2a22b","http://www.mendeley.com/documents/?uuid=1e8037a5-bc0d-4348-88ad-307e7525d307"]}],"mendeley":{"formattedCitation":"(Suchomel et al., 1998)","manualFormatting":"(Suchomel et al., 1998, ","plainTextFormattedCitation":"(Suchomel et al., 1998)","previouslyFormattedCitation":"(Suchomel et al., 1998)"},"properties":{"noteIndex":0},"schema":"https://github.com/citation-style-language/schema/raw/master/csl-citation.json"}</w:instrText>
      </w:r>
      <w:r w:rsidR="00AB37E6"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(Suchomel et al., 1998</w:t>
      </w:r>
      <w:r w:rsidR="004E651B" w:rsidRPr="005244BD">
        <w:rPr>
          <w:rFonts w:asciiTheme="majorBidi" w:eastAsiaTheme="minorEastAsia" w:hAnsiTheme="majorBidi" w:cstheme="majorBidi"/>
          <w:iCs/>
          <w:noProof/>
          <w:szCs w:val="18"/>
        </w:rPr>
        <w:t>,</w:t>
      </w:r>
      <w:r w:rsidR="004E651B" w:rsidRPr="005244BD" w:rsidDel="004E651B">
        <w:rPr>
          <w:rFonts w:asciiTheme="majorBidi" w:eastAsiaTheme="minorEastAsia" w:hAnsiTheme="majorBidi" w:cstheme="majorBidi"/>
          <w:iCs/>
          <w:noProof/>
          <w:szCs w:val="18"/>
        </w:rPr>
        <w:t xml:space="preserve"> </w:t>
      </w:r>
      <w:r w:rsidR="00AB37E6" w:rsidRPr="005244BD">
        <w:rPr>
          <w:rFonts w:asciiTheme="majorBidi" w:eastAsiaTheme="minorEastAsia" w:hAnsiTheme="majorBidi" w:cstheme="majorBidi"/>
          <w:iCs/>
          <w:szCs w:val="18"/>
        </w:rPr>
        <w:fldChar w:fldCharType="end"/>
      </w:r>
      <w:r w:rsidR="00AB37E6"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Thullner","given":"Martin","non-dropping-particle":"","parse-names":false,"suffix":""},{"dropping-particle":"","family":"Zeyer","given":"Josef","non-dropping-particle":"","parse-names":false,"suffix":""},{"dropping-particle":"","family":"Kinzelbach","given":"Wolfgang","non-dropping-particle":"","parse-names":false,"suffix":""}],"container-title":"Transport in porous media","id":"ITEM-1","issue":"1","issued":{"date-parts":[["2002"]]},"page":"99-122","publisher":"Springer","title":"Influence of microbial growth on hydraulic properties of pore networks","type":"article-journal","volume":"49"},"uris":["http://www.mendeley.com/documents/?uuid=91bfdc57-e5b5-4927-98ee-5d9b31809558","http://www.mendeley.com/documents/?uuid=f48ce33a-d5d9-419e-a9ff-79f2350b5d62"]}],"mendeley":{"formattedCitation":"(Thullner et al., 2002)","manualFormatting":"Thullner et al., 2002, ","plainTextFormattedCitation":"(Thullner et al., 2002)","previouslyFormattedCitation":"(Thullner et al., 2002)"},"properties":{"noteIndex":0},"schema":"https://github.com/citation-style-language/schema/raw/master/csl-citation.json"}</w:instrText>
      </w:r>
      <w:r w:rsidR="00AB37E6"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Thullner et al., 2002</w:t>
      </w:r>
      <w:r w:rsidR="004E651B" w:rsidRPr="005244BD">
        <w:rPr>
          <w:rFonts w:asciiTheme="majorBidi" w:eastAsiaTheme="minorEastAsia" w:hAnsiTheme="majorBidi" w:cstheme="majorBidi"/>
          <w:iCs/>
          <w:noProof/>
          <w:szCs w:val="18"/>
        </w:rPr>
        <w:t>,</w:t>
      </w:r>
      <w:r w:rsidR="004E651B" w:rsidRPr="005244BD" w:rsidDel="004E651B">
        <w:rPr>
          <w:rFonts w:asciiTheme="majorBidi" w:eastAsiaTheme="minorEastAsia" w:hAnsiTheme="majorBidi" w:cstheme="majorBidi"/>
          <w:iCs/>
          <w:noProof/>
          <w:szCs w:val="18"/>
        </w:rPr>
        <w:t xml:space="preserve"> </w:t>
      </w:r>
      <w:r w:rsidR="00AB37E6" w:rsidRPr="005244BD">
        <w:rPr>
          <w:rFonts w:asciiTheme="majorBidi" w:eastAsiaTheme="minorEastAsia" w:hAnsiTheme="majorBidi" w:cstheme="majorBidi"/>
          <w:iCs/>
          <w:szCs w:val="18"/>
        </w:rPr>
        <w:fldChar w:fldCharType="end"/>
      </w:r>
      <w:r w:rsidR="00AB37E6"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Thullner","given":"Martin","non-dropping-particle":"","parse-names":false,"suffix":""},{"dropping-particle":"","family":"Baveye","given":"Philippe","non-dropping-particle":"","parse-names":false,"suffix":""}],"container-title":"Biotechnology and Bioengineering","id":"ITEM-1","issue":"6","issued":{"date-parts":[["2008"]]},"page":"1337-1351","publisher":"Wiley Online Library","title":"Computational pore network modeling of the influence of biofilm permeability on bioclogging in porous media","type":"article-journal","volume":"99"},"uris":["http://www.mendeley.com/documents/?uuid=c71ff868-ca0d-4b68-a07b-23bcd66c3c87","http://www.mendeley.com/documents/?uuid=695f96a8-1081-43d3-bd0a-5d3d5e7bd573"]}],"mendeley":{"formattedCitation":"(Thullner &amp; Baveye, 2008)","manualFormatting":"Thullner &amp; Baveye, 2008, ","plainTextFormattedCitation":"(Thullner &amp; Baveye, 2008)","previouslyFormattedCitation":"(Thullner &amp; Baveye, 2008)"},"properties":{"noteIndex":0},"schema":"https://github.com/citation-style-language/schema/raw/master/csl-citation.json"}</w:instrText>
      </w:r>
      <w:r w:rsidR="00AB37E6"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Thullner &amp; Baveye, 2008</w:t>
      </w:r>
      <w:r w:rsidR="004E651B" w:rsidRPr="005244BD">
        <w:rPr>
          <w:rFonts w:asciiTheme="majorBidi" w:eastAsiaTheme="minorEastAsia" w:hAnsiTheme="majorBidi" w:cstheme="majorBidi"/>
          <w:iCs/>
          <w:noProof/>
          <w:szCs w:val="18"/>
        </w:rPr>
        <w:t>,</w:t>
      </w:r>
      <w:r w:rsidR="004E651B" w:rsidRPr="005244BD" w:rsidDel="004E651B">
        <w:rPr>
          <w:rFonts w:asciiTheme="majorBidi" w:eastAsiaTheme="minorEastAsia" w:hAnsiTheme="majorBidi" w:cstheme="majorBidi"/>
          <w:iCs/>
          <w:noProof/>
          <w:szCs w:val="18"/>
        </w:rPr>
        <w:t xml:space="preserve"> </w:t>
      </w:r>
      <w:r w:rsidR="00AB37E6" w:rsidRPr="005244BD">
        <w:rPr>
          <w:rFonts w:asciiTheme="majorBidi" w:eastAsiaTheme="minorEastAsia" w:hAnsiTheme="majorBidi" w:cstheme="majorBidi"/>
          <w:iCs/>
          <w:szCs w:val="18"/>
        </w:rPr>
        <w:fldChar w:fldCharType="end"/>
      </w:r>
      <w:r w:rsidR="00AB37E6"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{"citationItems":[{"id":"ITEM-1","itemData":{"author":[{"dropping-particle":"","family":"Ezeuko","given":"C C","non-dropping-particle":"","parse-names":false,"suffix":""},{"dropping-particle":"","family":"Sen","given":"A","non-dropping-particle":"","parse-names":false,"suffix":""},{"dropping-particle":"","family":"Grigoryan","given":"A","non-dropping-particle":"","parse-names":false,"suffix":""},{"dropping-particle":"","family":"Gates","given":"I D","non-dropping-particle":"","parse-names":false,"suffix":""}],"container-title":"Biotechnology and bioengineering","id":"ITEM-1","issue":"10","issued":{"date-parts":[["2011"]]},"page":"2413-2423","publisher":"Wiley Online Library","title":"Pore-network modeling of biofilm evolution in porous media","type":"article-journal","volume":"108"},"uris":["http://www.mendeley.com/documents/?uuid=f2ec77ae-d465-473b-834c-f90d09c9bcdb","http://www.mendeley.com/documents/?uuid=bf3570e2-c5ec-4b1b-8e01-ad3ea9efeec5"]}],"mendeley":{"formattedCitation":"(Ezeuko et al., 2011)","manualFormatting":"Ezeuko et al., 2011, ","plainTextFormattedCitation":"(Ezeuko et al., 2011)","previouslyFormattedCitation":"(Ezeuko et al., 2011)"},"prope</w:instrText>
      </w:r>
      <w:r w:rsidR="00BF6D87" w:rsidRPr="001D64C3">
        <w:rPr>
          <w:rFonts w:asciiTheme="majorBidi" w:eastAsiaTheme="minorEastAsia" w:hAnsiTheme="majorBidi" w:cstheme="majorBidi"/>
          <w:iCs/>
          <w:szCs w:val="18"/>
        </w:rPr>
        <w:instrText>rties":{"noteIndex":0},"schema":"https://github.com/citation-style-language/schema/raw/master/csl-citation.json"}</w:instrText>
      </w:r>
      <w:r w:rsidR="00AB37E6" w:rsidRPr="005244BD">
        <w:rPr>
          <w:rFonts w:asciiTheme="majorBidi" w:eastAsiaTheme="minorEastAsia" w:hAnsiTheme="majorBidi" w:cstheme="majorBidi"/>
          <w:iCs/>
          <w:szCs w:val="18"/>
        </w:rPr>
        <w:fldChar w:fldCharType="separate"/>
      </w:r>
      <w:r w:rsidR="007E3CAF" w:rsidRPr="001D64C3">
        <w:rPr>
          <w:rFonts w:asciiTheme="majorBidi" w:eastAsiaTheme="minorEastAsia" w:hAnsiTheme="majorBidi" w:cstheme="majorBidi"/>
          <w:iCs/>
          <w:noProof/>
          <w:szCs w:val="18"/>
        </w:rPr>
        <w:t>Ezeuko et al., 2011</w:t>
      </w:r>
      <w:r w:rsidR="004E651B" w:rsidRPr="001D64C3">
        <w:rPr>
          <w:rFonts w:asciiTheme="majorBidi" w:eastAsiaTheme="minorEastAsia" w:hAnsiTheme="majorBidi" w:cstheme="majorBidi"/>
          <w:iCs/>
          <w:noProof/>
          <w:szCs w:val="18"/>
        </w:rPr>
        <w:t>,</w:t>
      </w:r>
      <w:r w:rsidR="004E651B" w:rsidRPr="001D64C3" w:rsidDel="004E651B">
        <w:rPr>
          <w:rFonts w:asciiTheme="majorBidi" w:eastAsiaTheme="minorEastAsia" w:hAnsiTheme="majorBidi" w:cstheme="majorBidi"/>
          <w:iCs/>
          <w:noProof/>
          <w:szCs w:val="18"/>
        </w:rPr>
        <w:t xml:space="preserve"> </w:t>
      </w:r>
      <w:r w:rsidR="00AB37E6" w:rsidRPr="005244BD">
        <w:rPr>
          <w:rFonts w:asciiTheme="majorBidi" w:eastAsiaTheme="minorEastAsia" w:hAnsiTheme="majorBidi" w:cstheme="majorBidi"/>
          <w:iCs/>
          <w:szCs w:val="18"/>
        </w:rPr>
        <w:fldChar w:fldCharType="end"/>
      </w:r>
      <w:r w:rsidR="00AB37E6" w:rsidRPr="005244BD">
        <w:rPr>
          <w:rFonts w:asciiTheme="majorBidi" w:eastAsiaTheme="minorEastAsia" w:hAnsiTheme="majorBidi" w:cstheme="majorBidi"/>
          <w:iCs/>
          <w:szCs w:val="18"/>
        </w:rPr>
        <w:fldChar w:fldCharType="begin" w:fldLock="1"/>
      </w:r>
      <w:r w:rsidR="00BF6D87" w:rsidRPr="001D64C3">
        <w:rPr>
          <w:rFonts w:asciiTheme="majorBidi" w:eastAsiaTheme="minorEastAsia" w:hAnsiTheme="majorBidi" w:cstheme="majorBidi"/>
          <w:iCs/>
          <w:szCs w:val="18"/>
        </w:rPr>
        <w:instrText>ADDIN CSL_CITATION {"citationItems":[{"id":"ITEM-1","itemData":{"author":[{"dropping-particle":"","family":"Pintelon","given":"Thomas R R","non-dropping-particle":"","parse-names":false,"suffix":""},{"dropping-particle":"","family":"Picioreanu","given":"Cristian","non-dropping-particle":"","parse-names":false,"suffix":""},{"dropping-particle":"","family":"Loosdrecht","given":"Mark C M","non-dropping-particle":"van","parse-names":false,"suffix":""},{"dropping-particle":"","family":"Johns","given":"Michael L","non-dropping-particle":"","parse-names":false,"suffix":""}],"container-title":"Biotechnology and bioengineering","id":"ITEM-1","issue":"4","issued":{"date-parts":[["2012"]]},"page":"1031-1042","publisher":"Wiley Online Library","title":"The effect of biofilm permeability on bio-clogging of porous media","type":"article-journal","volume":"109"},"uris":["http://www.mendeley.com/documents/?uuid=acc4d595-0420-4e33-8f6d-7504f182f06c","http://www.mendeley.com/documents/?uuid=fd23bcfc-3667-4fcf-a5fd-c0cb86e3e6f8"]}],"mendeley":{"formattedCitation":"(Pintelon et al., 2012)","manualFormatting":"Pintelon et al., 2012,","plainTextFormattedCitation":"(Pintelon et al., 2012)","previouslyFormattedCitation":"(Pintelon et a</w:instrText>
      </w:r>
      <w:r w:rsidR="00BF6D87" w:rsidRPr="00EE0F85">
        <w:rPr>
          <w:rFonts w:asciiTheme="majorBidi" w:eastAsiaTheme="minorEastAsia" w:hAnsiTheme="majorBidi" w:cstheme="majorBidi"/>
          <w:iCs/>
          <w:szCs w:val="18"/>
          <w:lang w:val="es-MX"/>
        </w:rPr>
        <w:instrText>l., 2012)"},"properties":{"noteIndex":0},"schema":"https://github.com/citation-style-language/schema/raw/master/csl-citation.json"}</w:instrText>
      </w:r>
      <w:r w:rsidR="00AB37E6" w:rsidRPr="005244BD">
        <w:rPr>
          <w:rFonts w:asciiTheme="majorBidi" w:eastAsiaTheme="minorEastAsia" w:hAnsiTheme="majorBidi" w:cstheme="majorBidi"/>
          <w:iCs/>
          <w:szCs w:val="18"/>
        </w:rPr>
        <w:fldChar w:fldCharType="separate"/>
      </w:r>
      <w:r w:rsidR="007E3CAF" w:rsidRPr="00EE0F85">
        <w:rPr>
          <w:rFonts w:asciiTheme="majorBidi" w:eastAsiaTheme="minorEastAsia" w:hAnsiTheme="majorBidi" w:cstheme="majorBidi"/>
          <w:iCs/>
          <w:noProof/>
          <w:szCs w:val="18"/>
          <w:lang w:val="es-MX"/>
        </w:rPr>
        <w:t>Pintelon et al., 2012</w:t>
      </w:r>
      <w:r w:rsidR="004E651B" w:rsidRPr="00EE0F85">
        <w:rPr>
          <w:rFonts w:asciiTheme="majorBidi" w:eastAsiaTheme="minorEastAsia" w:hAnsiTheme="majorBidi" w:cstheme="majorBidi"/>
          <w:iCs/>
          <w:noProof/>
          <w:szCs w:val="18"/>
          <w:lang w:val="es-MX"/>
        </w:rPr>
        <w:t>,</w:t>
      </w:r>
      <w:r w:rsidR="00AB37E6" w:rsidRPr="005244BD">
        <w:rPr>
          <w:rFonts w:asciiTheme="majorBidi" w:eastAsiaTheme="minorEastAsia" w:hAnsiTheme="majorBidi" w:cstheme="majorBidi"/>
          <w:iCs/>
          <w:szCs w:val="18"/>
        </w:rPr>
        <w:fldChar w:fldCharType="end"/>
      </w:r>
      <w:r w:rsidR="004E651B" w:rsidRPr="00EE0F85">
        <w:rPr>
          <w:rFonts w:asciiTheme="majorBidi" w:eastAsiaTheme="minorEastAsia" w:hAnsiTheme="majorBidi" w:cstheme="majorBidi"/>
          <w:iCs/>
          <w:szCs w:val="18"/>
          <w:lang w:val="es-MX"/>
        </w:rPr>
        <w:t xml:space="preserve"> </w:t>
      </w:r>
      <w:r w:rsidR="00AD4BE5" w:rsidRPr="005244BD">
        <w:rPr>
          <w:rFonts w:asciiTheme="majorBidi" w:eastAsiaTheme="minorEastAsia" w:hAnsiTheme="majorBidi" w:cstheme="majorBidi"/>
          <w:iCs/>
          <w:szCs w:val="18"/>
        </w:rPr>
        <w:fldChar w:fldCharType="begin" w:fldLock="1"/>
      </w:r>
      <w:r w:rsidR="00BF6D87" w:rsidRPr="00EE0F85">
        <w:rPr>
          <w:rFonts w:asciiTheme="majorBidi" w:eastAsiaTheme="minorEastAsia" w:hAnsiTheme="majorBidi" w:cstheme="majorBidi"/>
          <w:iCs/>
          <w:szCs w:val="18"/>
          <w:lang w:val="es-MX"/>
        </w:rPr>
        <w:instrText>ADDIN CSL_CITATION {"citationItems":[{"id":"ITEM-1","itemData":{"author":[{"dropping-part</w:instrText>
      </w:r>
      <w:r w:rsidR="00BF6D87" w:rsidRPr="00B91E94">
        <w:rPr>
          <w:rFonts w:asciiTheme="majorBidi" w:eastAsiaTheme="minorEastAsia" w:hAnsiTheme="majorBidi" w:cstheme="majorBidi"/>
          <w:iCs/>
          <w:szCs w:val="18"/>
          <w:lang w:val="es-MX"/>
        </w:rPr>
        <w:instrText>icle":"","family":"Tang","given":"Youneng","non-dropping-particle":"","parse-names":false,"suffix":""},{"dropping-particle":"","family":"Valocchi","given":"Albert J","non-dropping-particle":"","parse-names":false,"suffix":""},{"dropping-particle":"","family":"Werth","given":"Charles J","non-dropping-particle":"","parse-names":false,"suffix":""},{"dropping-particle":"","family":"Liu","given":"Haihu","non-dropping-particle":"","parse-names":false,"suffix":""}],"container-title":"Water Resources Research","id":"ITEM-1","issue":"12","issued":{"date-parts":[["2013"]]},"page":"8370-8382","publisher":"Wiley Online Library","title":"An improved pore-scale biofilm model and comparison with a microfluidic flow cell experiment","type":"article-journal","volume":"49"},"uris":["http://www.mendeley.com/documents/?uuid=f5911d4e-ffe9-4507-8f97-1d5ce0dea5b4","http://www.mendeley.com/documents/?uuid=9c441836-1a43-4ec3-932d-d333b3afc784"]}],"mendeley":{"formattedCitation":"(Tang et al., 2013)","manualFormatting":"Tang et al., 2013,","plainTextFormattedCitation":"(Tang et al., 2013)","previouslyFormattedCitation":"(Tang et al., 2013)"},"properties":{"noteIndex":0},"schema":"https://github.com/citation-style-language/schema/raw/master/csl-citation.json"}</w:instrText>
      </w:r>
      <w:r w:rsidR="00AD4BE5" w:rsidRPr="005244BD">
        <w:rPr>
          <w:rFonts w:asciiTheme="majorBidi" w:eastAsiaTheme="minorEastAsia" w:hAnsiTheme="majorBidi" w:cstheme="majorBidi"/>
          <w:iCs/>
          <w:szCs w:val="18"/>
        </w:rPr>
        <w:fldChar w:fldCharType="separate"/>
      </w:r>
      <w:r w:rsidR="00AD4BE5" w:rsidRPr="00B91E94">
        <w:rPr>
          <w:rFonts w:asciiTheme="majorBidi" w:eastAsiaTheme="minorEastAsia" w:hAnsiTheme="majorBidi" w:cstheme="majorBidi"/>
          <w:iCs/>
          <w:noProof/>
          <w:szCs w:val="18"/>
          <w:lang w:val="es-MX"/>
        </w:rPr>
        <w:t>Tang et al., 2013</w:t>
      </w:r>
      <w:r w:rsidR="004E651B" w:rsidRPr="00B91E94">
        <w:rPr>
          <w:rFonts w:asciiTheme="majorBidi" w:eastAsiaTheme="minorEastAsia" w:hAnsiTheme="majorBidi" w:cstheme="majorBidi"/>
          <w:iCs/>
          <w:noProof/>
          <w:szCs w:val="18"/>
          <w:lang w:val="es-MX"/>
        </w:rPr>
        <w:t>,</w:t>
      </w:r>
      <w:r w:rsidR="00AD4BE5" w:rsidRPr="005244BD">
        <w:rPr>
          <w:rFonts w:asciiTheme="majorBidi" w:eastAsiaTheme="minorEastAsia" w:hAnsiTheme="majorBidi" w:cstheme="majorBidi"/>
          <w:iCs/>
          <w:szCs w:val="18"/>
        </w:rPr>
        <w:fldChar w:fldCharType="end"/>
      </w:r>
      <w:r w:rsidR="004E651B" w:rsidRPr="00B91E94">
        <w:rPr>
          <w:rFonts w:asciiTheme="majorBidi" w:eastAsiaTheme="minorEastAsia" w:hAnsiTheme="majorBidi" w:cstheme="majorBidi"/>
          <w:iCs/>
          <w:szCs w:val="18"/>
          <w:lang w:val="es-MX"/>
        </w:rPr>
        <w:t xml:space="preserve"> </w:t>
      </w:r>
      <w:r w:rsidR="00F35A27" w:rsidRPr="005244BD">
        <w:rPr>
          <w:rFonts w:asciiTheme="majorBidi" w:eastAsiaTheme="minorEastAsia" w:hAnsiTheme="majorBidi" w:cstheme="majorBidi"/>
          <w:iCs/>
          <w:szCs w:val="18"/>
        </w:rPr>
        <w:fldChar w:fldCharType="begin" w:fldLock="1"/>
      </w:r>
      <w:r w:rsidR="00BF6D87" w:rsidRPr="00B91E94">
        <w:rPr>
          <w:rFonts w:asciiTheme="majorBidi" w:eastAsiaTheme="minorEastAsia" w:hAnsiTheme="majorBidi" w:cstheme="majorBidi"/>
          <w:iCs/>
          <w:szCs w:val="18"/>
          <w:lang w:val="es-MX"/>
        </w:rPr>
        <w:instrText>ADDIN CSL_CITATION {"citationItems":[{"id":"ITEM-1","itemData":{"author":[{"dropping-particle":"","family":"Peszynska","given":"Malgorzata","non-dropping-particle":"","parse-names":false,"suffix":""},{"dropping-particle":"","family":"Trykozko","given":"Anna","non-dropping-particle":"","parse-names":false,"suffix":""},{"dropping-particle":"","family":"Iltis","given":"Gabriel","non-dropping-particle":"","parse-names":false,"suffix":""},{"dropping-particle":"","family":"Schlueter","given":"Steffen","non-dropping-particle":"","parse-names":false,"suffix":""},{"dropping-particle":"","family":"Wildenschild","given":"Dorthe","non-dropping-particle":"","parse-names":false,"suffix":""}],"container-title":"Advances in water resources","id":"ITEM-1","issued":{"date-parts":[["2016"]]},"page":"288-301","publisher":"Elsevier","title":"Biofilm growth in porous media: experiments, computational modeling at the porescale, and upscaling","type":"article-journal","volume":"95"},"uris":["http://www.mendeley.com/documents/?uuid=6f71fa58-0042-44ad-91fa-946d38a58bdd","http://www.mendeley.com/documents/?uuid=ccd5de26-cb7a-4556-bc91-7697fefde62c"]}],"mendeley":{"formattedCitation":"(Peszynska et al., 2016)","manualFormatting":"Peszynska et al., 2016","plainTextFormattedCitation":"(Peszynska et al., 2016)","previouslyFormattedCitation":"(Peszynska et al., 2016)"},"properties":{"noteIndex":0},"schema":"https://github.com/citation-style-language/schema/raw/master/csl-citation.json"}</w:instrText>
      </w:r>
      <w:r w:rsidR="00F35A27" w:rsidRPr="005244BD">
        <w:rPr>
          <w:rFonts w:asciiTheme="majorBidi" w:eastAsiaTheme="minorEastAsia" w:hAnsiTheme="majorBidi" w:cstheme="majorBidi"/>
          <w:iCs/>
          <w:szCs w:val="18"/>
        </w:rPr>
        <w:fldChar w:fldCharType="separate"/>
      </w:r>
      <w:r w:rsidR="00F35A27" w:rsidRPr="00B91E94">
        <w:rPr>
          <w:rFonts w:asciiTheme="majorBidi" w:eastAsiaTheme="minorEastAsia" w:hAnsiTheme="majorBidi" w:cstheme="majorBidi"/>
          <w:iCs/>
          <w:noProof/>
          <w:szCs w:val="18"/>
          <w:lang w:val="es-MX"/>
        </w:rPr>
        <w:t>Peszynska et al., 2016</w:t>
      </w:r>
      <w:r w:rsidR="00F35A27" w:rsidRPr="005244BD">
        <w:rPr>
          <w:rFonts w:asciiTheme="majorBidi" w:eastAsiaTheme="minorEastAsia" w:hAnsiTheme="majorBidi" w:cstheme="majorBidi"/>
          <w:iCs/>
          <w:szCs w:val="18"/>
        </w:rPr>
        <w:fldChar w:fldCharType="end"/>
      </w:r>
      <w:r w:rsidR="004E651B" w:rsidRPr="00B91E94">
        <w:rPr>
          <w:rFonts w:asciiTheme="majorBidi" w:eastAsiaTheme="minorEastAsia" w:hAnsiTheme="majorBidi" w:cstheme="majorBidi"/>
          <w:iCs/>
          <w:szCs w:val="18"/>
          <w:lang w:val="es-MX"/>
        </w:rPr>
        <w:t xml:space="preserve">, </w:t>
      </w:r>
      <w:r w:rsidR="004C4F8E" w:rsidRPr="005244BD">
        <w:rPr>
          <w:rFonts w:asciiTheme="majorBidi" w:eastAsiaTheme="minorEastAsia" w:hAnsiTheme="majorBidi" w:cstheme="majorBidi"/>
          <w:iCs/>
          <w:szCs w:val="18"/>
        </w:rPr>
        <w:fldChar w:fldCharType="begin" w:fldLock="1"/>
      </w:r>
      <w:r w:rsidR="00BF6D87" w:rsidRPr="00B91E94">
        <w:rPr>
          <w:rFonts w:asciiTheme="majorBidi" w:eastAsiaTheme="minorEastAsia" w:hAnsiTheme="majorBidi" w:cstheme="majorBidi"/>
          <w:iCs/>
          <w:szCs w:val="18"/>
          <w:lang w:val="es-MX"/>
        </w:rPr>
        <w:instrText>ADDIN CSL_CITATION {"ci</w:instrText>
      </w:r>
      <w:r w:rsidR="00BF6D87" w:rsidRPr="001D64C3">
        <w:rPr>
          <w:rFonts w:asciiTheme="majorBidi" w:eastAsiaTheme="minorEastAsia" w:hAnsiTheme="majorBidi" w:cstheme="majorBidi"/>
          <w:iCs/>
          <w:szCs w:val="18"/>
          <w:lang w:val="es-MX"/>
        </w:rPr>
        <w:instrText>tationItems":[{"id":"ITEM-1","itemData":{"author":[{"dropping-particle":"","family":"Benioug","given":"M","non-dropping-particle":"","parse-names":false,"suffix":""},{"dropping-particle":"","family":"Golfier","given":"F","non-dropping-particle":"","parse-names":false,"suffix":""},{"dropping-particle":"","family":"Oltéan","given":"C","non-dropping-particle":"","parse-names":false,"suffix":""},{"dropping-particle":"","family":"Buès","given":"M A","non-dropping-particle":"","parse-names":false,"suffix":""},{"dropping-particle":"","family":"Bahar","given":"T","non-dropping-particle":"","parse-names":false,"suffix":""},{"dropping-particle":"","family":"Cuny","given":"J","non-dropping-particle":"","parse-names":false,"suffix":""}],"container-title":"Advances in Water Resources","id":"ITEM-1","issued":{"date-parts":[["2017"]]},"page":"65-82","publisher":"Elsevier","title":"An immersed boundary-lattice Boltzmann model for biofilm growth in porous media","type":"article-journal","volume":"107"},"uris":["http://www.mendeley.com/documents/?uuid=5d96eaeb-4318-457b-8402-4706426c3978","http://www.mendeley.com/documents/?uuid=bf946d30-85b3-401a-ac31-f50ec7d28bfa"]}],"mendeley":{"formattedCitation":"(Benioug et al., 2017)","manualFormatting":"Benioug et al., 2017)","plainTextFormattedCitation":"(Benioug et al., 2017)","previouslyFormattedCitation":"(Benioug et al., 2017)"},"properties":{"noteIndex":0},"schema":"https://github.com/citation-style-language/schema/raw/master/csl-citation.json"}</w:instrText>
      </w:r>
      <w:r w:rsidR="004C4F8E" w:rsidRPr="005244BD">
        <w:rPr>
          <w:rFonts w:asciiTheme="majorBidi" w:eastAsiaTheme="minorEastAsia" w:hAnsiTheme="majorBidi" w:cstheme="majorBidi"/>
          <w:iCs/>
          <w:szCs w:val="18"/>
        </w:rPr>
        <w:fldChar w:fldCharType="separate"/>
      </w:r>
      <w:r w:rsidR="007E3CAF" w:rsidRPr="001D64C3">
        <w:rPr>
          <w:rFonts w:asciiTheme="majorBidi" w:eastAsiaTheme="minorEastAsia" w:hAnsiTheme="majorBidi" w:cstheme="majorBidi"/>
          <w:iCs/>
          <w:noProof/>
          <w:szCs w:val="18"/>
          <w:lang w:val="es-MX"/>
        </w:rPr>
        <w:t>Benioug et al., 2017)</w:t>
      </w:r>
      <w:r w:rsidR="004C4F8E" w:rsidRPr="005244BD">
        <w:rPr>
          <w:rFonts w:asciiTheme="majorBidi" w:eastAsiaTheme="minorEastAsia" w:hAnsiTheme="majorBidi" w:cstheme="majorBidi"/>
          <w:iCs/>
          <w:szCs w:val="18"/>
        </w:rPr>
        <w:fldChar w:fldCharType="end"/>
      </w:r>
      <w:r w:rsidR="00AB37E6" w:rsidRPr="001D64C3">
        <w:rPr>
          <w:rFonts w:asciiTheme="majorBidi" w:eastAsiaTheme="minorEastAsia" w:hAnsiTheme="majorBidi" w:cstheme="majorBidi"/>
          <w:iCs/>
          <w:szCs w:val="18"/>
          <w:lang w:val="es-MX"/>
        </w:rPr>
        <w:t xml:space="preserve">, they </w:t>
      </w:r>
      <w:r w:rsidR="00B408F1" w:rsidRPr="001D64C3">
        <w:rPr>
          <w:rFonts w:asciiTheme="majorBidi" w:eastAsiaTheme="minorEastAsia" w:hAnsiTheme="majorBidi" w:cstheme="majorBidi"/>
          <w:iCs/>
          <w:szCs w:val="18"/>
          <w:lang w:val="es-MX"/>
        </w:rPr>
        <w:t xml:space="preserve">have </w:t>
      </w:r>
      <w:r w:rsidR="000D3C6D" w:rsidRPr="001D64C3">
        <w:rPr>
          <w:rFonts w:asciiTheme="majorBidi" w:eastAsiaTheme="minorEastAsia" w:hAnsiTheme="majorBidi" w:cstheme="majorBidi"/>
          <w:iCs/>
          <w:szCs w:val="18"/>
          <w:lang w:val="es-MX"/>
        </w:rPr>
        <w:t xml:space="preserve">not considered </w:t>
      </w:r>
      <w:r w:rsidR="005A5E4D" w:rsidRPr="001D64C3">
        <w:rPr>
          <w:rFonts w:asciiTheme="majorBidi" w:eastAsiaTheme="minorEastAsia" w:hAnsiTheme="majorBidi" w:cstheme="majorBidi"/>
          <w:iCs/>
          <w:szCs w:val="18"/>
          <w:lang w:val="es-MX"/>
        </w:rPr>
        <w:t>the NAPL bio</w:t>
      </w:r>
      <w:r w:rsidR="00D4377B" w:rsidRPr="001D64C3">
        <w:rPr>
          <w:rFonts w:asciiTheme="majorBidi" w:eastAsiaTheme="minorEastAsia" w:hAnsiTheme="majorBidi" w:cstheme="majorBidi"/>
          <w:iCs/>
          <w:szCs w:val="18"/>
          <w:lang w:val="es-MX"/>
        </w:rPr>
        <w:t xml:space="preserve">remediation itself. </w:t>
      </w:r>
    </w:p>
    <w:p w14:paraId="375B469F" w14:textId="5CD2381F" w:rsidR="00D4377B" w:rsidRPr="005244BD" w:rsidRDefault="00D4377B" w:rsidP="005A5E4D">
      <w:pPr>
        <w:spacing w:line="480" w:lineRule="auto"/>
        <w:jc w:val="both"/>
        <w:rPr>
          <w:rFonts w:asciiTheme="majorBidi" w:eastAsiaTheme="minorEastAsia" w:hAnsiTheme="majorBidi" w:cstheme="majorBidi"/>
          <w:iCs/>
          <w:szCs w:val="18"/>
        </w:rPr>
      </w:pPr>
      <w:r w:rsidRPr="005244BD">
        <w:rPr>
          <w:rFonts w:asciiTheme="majorBidi" w:eastAsiaTheme="minorEastAsia" w:hAnsiTheme="majorBidi" w:cstheme="majorBidi"/>
          <w:iCs/>
          <w:szCs w:val="18"/>
        </w:rPr>
        <w:t xml:space="preserve">Amongst the existing research studies, </w:t>
      </w:r>
      <w:r w:rsidR="00AB37E6"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{"citationItems":[{"id":"ITEM-1","itemData":{"author":[{"dropping-particle":"","family":"Qin","given":"Chao-Zhong","non-dropping-particle":"","parse-names":false,"suffix":""},{"dropping-particle":"","family":"Hassanizadeh","given":"S Majid","non-dropping-particle":"","parse-names":false,"suffix":""}],"container-title":"Transport in Porous Media","id":"ITEM-1","issue":"3","issued":{"date-parts":[["2015"]]},"page":"345-367","publisher":"Springer","title":"Pore-network modeling of solute transport and biofilm growth in porous media","type":"article-journal","volume":"110"},"uris":["http://www.mendeley.com/documents/?uuid=00734427-2ab7-47d2-a7b6-177fa466c914","http://www.mendeley.com/documents/?uuid=d27acfdd-f5b9-4268-a53b-c562e54e39fc"]}],"mendeley":{"formattedCitation":"(Qin &amp; Hassanizadeh, 2015)","manualFormatting":"Qin and Hassanizadeh (2015","plainTextFormattedCitation":"(Qin &amp; Hassanizadeh, 2015)","previouslyFormattedCitation":"(Qin &amp; Hassanizadeh, 2015)"},"properties":{"noteIndex":0},"schema":"https://github.com/citation-style-language/schema/raw/master/csl-citation.json"}</w:instrText>
      </w:r>
      <w:r w:rsidR="00AB37E6" w:rsidRPr="005244BD">
        <w:rPr>
          <w:rFonts w:asciiTheme="majorBidi" w:eastAsiaTheme="minorEastAsia" w:hAnsiTheme="majorBidi" w:cstheme="majorBidi"/>
          <w:iCs/>
          <w:szCs w:val="18"/>
        </w:rPr>
        <w:fldChar w:fldCharType="separate"/>
      </w:r>
      <w:r w:rsidR="00AB37E6" w:rsidRPr="005244BD">
        <w:rPr>
          <w:rFonts w:asciiTheme="majorBidi" w:eastAsiaTheme="minorEastAsia" w:hAnsiTheme="majorBidi" w:cstheme="majorBidi"/>
          <w:iCs/>
          <w:noProof/>
          <w:szCs w:val="18"/>
        </w:rPr>
        <w:t xml:space="preserve">Qin and Hassanizadeh </w:t>
      </w:r>
      <w:r w:rsidR="005D3EF9" w:rsidRPr="005244BD">
        <w:rPr>
          <w:rFonts w:asciiTheme="majorBidi" w:eastAsiaTheme="minorEastAsia" w:hAnsiTheme="majorBidi" w:cstheme="majorBidi"/>
          <w:iCs/>
          <w:noProof/>
          <w:szCs w:val="18"/>
        </w:rPr>
        <w:t>(</w:t>
      </w:r>
      <w:r w:rsidR="00AB37E6" w:rsidRPr="005244BD">
        <w:rPr>
          <w:rFonts w:asciiTheme="majorBidi" w:eastAsiaTheme="minorEastAsia" w:hAnsiTheme="majorBidi" w:cstheme="majorBidi"/>
          <w:iCs/>
          <w:noProof/>
          <w:szCs w:val="18"/>
        </w:rPr>
        <w:t>2015</w:t>
      </w:r>
      <w:r w:rsidR="00AB37E6" w:rsidRPr="005244BD">
        <w:rPr>
          <w:rFonts w:asciiTheme="majorBidi" w:eastAsiaTheme="minorEastAsia" w:hAnsiTheme="majorBidi" w:cstheme="majorBidi"/>
          <w:iCs/>
          <w:szCs w:val="18"/>
        </w:rPr>
        <w:fldChar w:fldCharType="end"/>
      </w:r>
      <w:r w:rsidR="005D3EF9" w:rsidRPr="005244BD">
        <w:rPr>
          <w:rFonts w:asciiTheme="majorBidi" w:eastAsiaTheme="minorEastAsia" w:hAnsiTheme="majorBidi" w:cstheme="majorBidi"/>
          <w:iCs/>
          <w:szCs w:val="18"/>
        </w:rPr>
        <w:t>)</w:t>
      </w:r>
      <w:r w:rsidR="00AB37E6" w:rsidRPr="005244BD">
        <w:rPr>
          <w:rFonts w:asciiTheme="majorBidi" w:eastAsiaTheme="minorEastAsia" w:hAnsiTheme="majorBidi" w:cstheme="majorBidi"/>
          <w:iCs/>
          <w:szCs w:val="18"/>
        </w:rPr>
        <w:t>, used Hagen–Poiseuille equation</w:t>
      </w:r>
      <w:r w:rsidR="000D3C6D" w:rsidRPr="005244BD">
        <w:rPr>
          <w:rFonts w:asciiTheme="majorBidi" w:eastAsiaTheme="minorEastAsia" w:hAnsiTheme="majorBidi" w:cstheme="majorBidi"/>
          <w:iCs/>
          <w:szCs w:val="18"/>
        </w:rPr>
        <w:t xml:space="preserve"> to calculate the steady-</w:t>
      </w:r>
      <w:r w:rsidR="00AB37E6" w:rsidRPr="005244BD">
        <w:rPr>
          <w:rFonts w:asciiTheme="majorBidi" w:eastAsiaTheme="minorEastAsia" w:hAnsiTheme="majorBidi" w:cstheme="majorBidi"/>
          <w:iCs/>
          <w:szCs w:val="18"/>
        </w:rPr>
        <w:t xml:space="preserve">state water flux and studied </w:t>
      </w:r>
      <w:r w:rsidR="00A45EF5" w:rsidRPr="005244BD">
        <w:rPr>
          <w:rFonts w:asciiTheme="majorBidi" w:eastAsiaTheme="minorEastAsia" w:hAnsiTheme="majorBidi" w:cstheme="majorBidi"/>
          <w:iCs/>
          <w:szCs w:val="18"/>
        </w:rPr>
        <w:t xml:space="preserve">the </w:t>
      </w:r>
      <w:r w:rsidR="00AB37E6" w:rsidRPr="005244BD">
        <w:rPr>
          <w:rFonts w:asciiTheme="majorBidi" w:eastAsiaTheme="minorEastAsia" w:hAnsiTheme="majorBidi" w:cstheme="majorBidi"/>
          <w:iCs/>
          <w:szCs w:val="18"/>
        </w:rPr>
        <w:t>solute transport and</w:t>
      </w:r>
      <w:r w:rsidR="00A45EF5" w:rsidRPr="005244BD">
        <w:rPr>
          <w:rFonts w:asciiTheme="majorBidi" w:eastAsiaTheme="minorEastAsia" w:hAnsiTheme="majorBidi" w:cstheme="majorBidi"/>
          <w:iCs/>
          <w:szCs w:val="18"/>
        </w:rPr>
        <w:t xml:space="preserve"> the </w:t>
      </w:r>
      <w:r w:rsidR="00AB37E6" w:rsidRPr="005244BD">
        <w:rPr>
          <w:rFonts w:asciiTheme="majorBidi" w:eastAsiaTheme="minorEastAsia" w:hAnsiTheme="majorBidi" w:cstheme="majorBidi"/>
          <w:iCs/>
          <w:szCs w:val="18"/>
        </w:rPr>
        <w:t xml:space="preserve">biofilm growth in a pore network model. They investigated the permeability reduction due to biofilm growth, biofilm clogging, and non-equilibrium mass exchange of solute between </w:t>
      </w:r>
      <w:r w:rsidR="000D3C6D" w:rsidRPr="005244BD">
        <w:rPr>
          <w:rFonts w:asciiTheme="majorBidi" w:eastAsiaTheme="minorEastAsia" w:hAnsiTheme="majorBidi" w:cstheme="majorBidi"/>
          <w:iCs/>
          <w:szCs w:val="18"/>
        </w:rPr>
        <w:t xml:space="preserve">the </w:t>
      </w:r>
      <w:r w:rsidR="00AB37E6" w:rsidRPr="005244BD">
        <w:rPr>
          <w:rFonts w:asciiTheme="majorBidi" w:eastAsiaTheme="minorEastAsia" w:hAnsiTheme="majorBidi" w:cstheme="majorBidi"/>
          <w:iCs/>
          <w:szCs w:val="18"/>
        </w:rPr>
        <w:t>water and biofilm</w:t>
      </w:r>
      <w:r w:rsidR="000D3C6D" w:rsidRPr="005244BD">
        <w:rPr>
          <w:rFonts w:asciiTheme="majorBidi" w:eastAsiaTheme="minorEastAsia" w:hAnsiTheme="majorBidi" w:cstheme="majorBidi"/>
          <w:iCs/>
          <w:szCs w:val="18"/>
        </w:rPr>
        <w:t xml:space="preserve"> phases</w:t>
      </w:r>
      <w:r w:rsidR="00AB37E6" w:rsidRPr="005244BD">
        <w:rPr>
          <w:rFonts w:asciiTheme="majorBidi" w:eastAsiaTheme="minorEastAsia" w:hAnsiTheme="majorBidi" w:cstheme="majorBidi"/>
          <w:iCs/>
          <w:szCs w:val="18"/>
        </w:rPr>
        <w:t xml:space="preserve">. </w:t>
      </w:r>
      <w:r w:rsidR="00AB37E6"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{"citationItems":[{"id":"ITEM-1","itemData":{"author":[{"dropping-particle":"","family":"Schulenburg","given":"D A Graf","non-dropping-particle":"von der","parse-names":false,"suffix":""},{"dropping-particle":"","family":"Pintelon","given":"T R R","non-dropping-particle":"","parse-names":false,"suffix":""},{"dropping-particle":"","family":"Picioreanu","given":"C","non-dropping-particle":"","parse-names":false,"suffix":""},{"dropping-particle":"","family":"Loosdrecht","given":"M C M","non-dropping-particle":"Van","parse-names":false,"suffix":""},{"dropping-particle":"","family":"Johns","given":"M L","non-dropping-particle":"","parse-names":false,"suffix":""}],"container-title":"AIChE Journal","id":"ITEM-1","issue":"2","issued":{"date-parts":[["2009"]]},"page":"494-504","publisher":"Wiley Online Library","title":"Three-dimensional simulations of biofilm growth in porous media","type":"article-journal","volume":"55"},"uris":["http://www.mendeley.com/documents/?uuid=f2df6563-0ef8-427e-a92e-e2d50a0a1123","http://www.mendeley.com/documents/?uuid=c77276d6-3b33-47f8-990f-8b6af4a86964"]}],"mendeley":{"formattedCitation":"(von der Schulenburg et al., 2009)","manualFormatting":"Von der Schulenburg et al., 2009","plainTextFormattedCitation":"(von der Schulenburg et al., 2009)","previouslyFormattedCitation":"(von der Schulenburg et al., 2009)"},"properties":{"noteIndex":0},"schema":"https://github.com/citation-style-language/schema/raw/master/csl-citation.json"}</w:instrText>
      </w:r>
      <w:r w:rsidR="00AB37E6" w:rsidRPr="005244BD">
        <w:rPr>
          <w:rFonts w:asciiTheme="majorBidi" w:eastAsiaTheme="minorEastAsia" w:hAnsiTheme="majorBidi" w:cstheme="majorBidi"/>
          <w:iCs/>
          <w:szCs w:val="18"/>
        </w:rPr>
        <w:fldChar w:fldCharType="separate"/>
      </w:r>
      <w:r w:rsidR="00AB37E6" w:rsidRPr="005244BD">
        <w:rPr>
          <w:rFonts w:asciiTheme="majorBidi" w:eastAsiaTheme="minorEastAsia" w:hAnsiTheme="majorBidi" w:cstheme="majorBidi"/>
          <w:iCs/>
          <w:noProof/>
          <w:szCs w:val="18"/>
        </w:rPr>
        <w:t xml:space="preserve">Von der Schulenburg </w:t>
      </w:r>
      <w:r w:rsidR="00AB37E6" w:rsidRPr="005244BD">
        <w:rPr>
          <w:rFonts w:asciiTheme="majorBidi" w:eastAsiaTheme="minorEastAsia" w:hAnsiTheme="majorBidi" w:cstheme="majorBidi"/>
          <w:i/>
          <w:iCs/>
          <w:noProof/>
          <w:szCs w:val="18"/>
        </w:rPr>
        <w:t>et al.</w:t>
      </w:r>
      <w:r w:rsidR="00AB37E6" w:rsidRPr="005244BD">
        <w:rPr>
          <w:rFonts w:asciiTheme="majorBidi" w:eastAsiaTheme="minorEastAsia" w:hAnsiTheme="majorBidi" w:cstheme="majorBidi"/>
          <w:iCs/>
          <w:noProof/>
          <w:szCs w:val="18"/>
        </w:rPr>
        <w:t>, 2009</w:t>
      </w:r>
      <w:r w:rsidR="00AB37E6" w:rsidRPr="005244BD">
        <w:rPr>
          <w:rFonts w:asciiTheme="majorBidi" w:eastAsiaTheme="minorEastAsia" w:hAnsiTheme="majorBidi" w:cstheme="majorBidi"/>
          <w:iCs/>
          <w:szCs w:val="18"/>
        </w:rPr>
        <w:fldChar w:fldCharType="end"/>
      </w:r>
      <w:r w:rsidR="00753198" w:rsidRPr="005244BD">
        <w:rPr>
          <w:rFonts w:asciiTheme="majorBidi" w:eastAsiaTheme="minorEastAsia" w:hAnsiTheme="majorBidi" w:cstheme="majorBidi"/>
          <w:iCs/>
          <w:szCs w:val="18"/>
        </w:rPr>
        <w:t xml:space="preserve"> used three-</w:t>
      </w:r>
      <w:r w:rsidR="00AB37E6" w:rsidRPr="005244BD">
        <w:rPr>
          <w:rFonts w:asciiTheme="majorBidi" w:eastAsiaTheme="minorEastAsia" w:hAnsiTheme="majorBidi" w:cstheme="majorBidi"/>
          <w:iCs/>
          <w:szCs w:val="18"/>
        </w:rPr>
        <w:t xml:space="preserve">dimensional pore-scale model of biofilm growth in porous media based on a lattice Boltzmann simulation for prediction of permeability as a function of biofilm accumulation. </w:t>
      </w:r>
      <w:r w:rsidR="00526B28" w:rsidRPr="005244BD">
        <w:rPr>
          <w:rFonts w:asciiTheme="majorBidi" w:eastAsiaTheme="minorEastAsia" w:hAnsiTheme="majorBidi" w:cstheme="majorBidi"/>
          <w:iCs/>
          <w:szCs w:val="18"/>
        </w:rPr>
        <w:t xml:space="preserve">Moreover, </w:t>
      </w:r>
      <w:r w:rsidR="00690CA9" w:rsidRPr="005244BD">
        <w:rPr>
          <w:rFonts w:asciiTheme="majorBidi" w:eastAsiaTheme="minorEastAsia" w:hAnsiTheme="majorBidi" w:cstheme="majorBidi"/>
          <w:iCs/>
          <w:szCs w:val="18"/>
        </w:rPr>
        <w:t xml:space="preserve">a pore-scale description of </w:t>
      </w:r>
      <w:r w:rsidR="007E2708" w:rsidRPr="005244BD">
        <w:rPr>
          <w:rFonts w:asciiTheme="majorBidi" w:eastAsiaTheme="minorEastAsia" w:hAnsiTheme="majorBidi" w:cstheme="majorBidi"/>
          <w:iCs/>
          <w:szCs w:val="18"/>
        </w:rPr>
        <w:t xml:space="preserve">NAPL </w:t>
      </w:r>
      <w:r w:rsidR="00690CA9" w:rsidRPr="005244BD">
        <w:rPr>
          <w:rFonts w:asciiTheme="majorBidi" w:eastAsiaTheme="minorEastAsia" w:hAnsiTheme="majorBidi" w:cstheme="majorBidi"/>
          <w:iCs/>
          <w:szCs w:val="18"/>
        </w:rPr>
        <w:t>transport</w:t>
      </w:r>
      <w:r w:rsidR="007E2708" w:rsidRPr="005244BD">
        <w:rPr>
          <w:rFonts w:asciiTheme="majorBidi" w:eastAsiaTheme="minorEastAsia" w:hAnsiTheme="majorBidi" w:cstheme="majorBidi"/>
          <w:iCs/>
          <w:szCs w:val="18"/>
        </w:rPr>
        <w:t xml:space="preserve"> and biodegradation</w:t>
      </w:r>
      <w:r w:rsidR="00690CA9" w:rsidRPr="005244BD">
        <w:rPr>
          <w:rFonts w:asciiTheme="majorBidi" w:eastAsiaTheme="minorEastAsia" w:hAnsiTheme="majorBidi" w:cstheme="majorBidi"/>
          <w:iCs/>
          <w:szCs w:val="18"/>
        </w:rPr>
        <w:t xml:space="preserve"> in a porous medium containing biofilm was used and up-scaled for the relevant Darcy-scale equations using the method of volume averaging </w:t>
      </w:r>
      <w:r w:rsidR="00690CA9"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{"citationItems":[{"id":"ITEM-1","itemData":{"DOI":"10.1007/s11242-016-0718-7","ISSN":"15731634","abstract":"© 2016, Springer Science+Business Media Dordrecht. We develop a Darcy-scale model for multiphase transport in porous media colonized by biofilms. We start with the pore scale description of mass transfer within and between the phases (water, biofilm, and NAPL phases) and biologically mediated reactions. The macroscale mass balance equations under local mass equilibrium condition at the fluid–biofilm interface are derived from the pore scale problem, obtained by the method of volume averaging. The case of local mass equilibrium considered here finally provides one mass balance equation for the fluid and biological phases coupled with the NAPL-phase equation. We predict the effective dispersion tensor and the mass exchange coefficient that appear in the upscaled equation by solving closure problems on representative unit cells. The results of this model have been compared with pore scale simulations. Based on these comparisons, the validity domain of th</w:instrText>
      </w:r>
      <w:r w:rsidR="00BF6D87" w:rsidRPr="00EE0F85">
        <w:rPr>
          <w:rFonts w:asciiTheme="majorBidi" w:eastAsiaTheme="minorEastAsia" w:hAnsiTheme="majorBidi" w:cstheme="majorBidi"/>
          <w:iCs/>
          <w:szCs w:val="18"/>
          <w:lang w:val="es-MX"/>
        </w:rPr>
        <w:instrText>is model has been identified in terms of hydrodynamic and biochemical conditions of transport (i.e., Péclet and Damköhler numbers). This study should provide a better insight on the impact of biofi</w:instrText>
      </w:r>
      <w:r w:rsidR="00BF6D87" w:rsidRPr="00B91E94">
        <w:rPr>
          <w:rFonts w:asciiTheme="majorBidi" w:eastAsiaTheme="minorEastAsia" w:hAnsiTheme="majorBidi" w:cstheme="majorBidi"/>
          <w:iCs/>
          <w:szCs w:val="18"/>
          <w:lang w:val="es-MX"/>
        </w:rPr>
        <w:instrText>lm dynamics near NAPL sources through the upscaling process.","author":[{"dropping-particle":"","family":"Bahar","given":"T.","non-dropping-particle":"","parse-names":false,"suffix":""},{"dropping-particle":"","family":"Golfier","given":"F.","non-dropping-particle":"","parse-names":false,"suffix":""},{"dropping-particle":"","family":"Oltéan","given":"C.","non-dropping-particle":"","parse-names":false,"suffix":""},{"dropping-particle":"","family":"Benioug","given":"M.","non-dropping-particle":"","parse-names":false,"suffix":""}],"container-title":"Transport in Porous Media","id":"ITEM-1","issue":"3","issued":{"date-parts":[["2016"]]},"page":"653-693","publisher":"Springer Netherlands","title":"An Upscaled Model for Bio-Enhanced NAPL Dissolution in Porous Media","type":"article-journal","volume":"113"},"uris":["http://www.mendeley.com/documents/?uuid=afe48f0b-5c10-4cd5-a610-b553a982cc38","http://www.mendeley.com/documents/?uuid=fe84bbf2-8eac-40b3-95d9-5da7116c4257"]}],"mendeley":{"formattedCitation":"(Bahar et al., 2016)","manualFormatting":"(Bahar et al., 2016","plainTextFormattedCitation":"(Bahar et al., 2016)","previouslyFormattedCitation":"(Bahar et al., 2016)"},"properties":{"noteIndex":0},"schema":"https://github.com/citation-style-language/schema/raw/master/csl-citation.json"}</w:instrText>
      </w:r>
      <w:r w:rsidR="00690CA9" w:rsidRPr="005244BD">
        <w:rPr>
          <w:rFonts w:asciiTheme="majorBidi" w:eastAsiaTheme="minorEastAsia" w:hAnsiTheme="majorBidi" w:cstheme="majorBidi"/>
          <w:iCs/>
          <w:szCs w:val="18"/>
        </w:rPr>
        <w:fldChar w:fldCharType="separate"/>
      </w:r>
      <w:r w:rsidR="007E3CAF" w:rsidRPr="00B91E94">
        <w:rPr>
          <w:rFonts w:asciiTheme="majorBidi" w:eastAsiaTheme="minorEastAsia" w:hAnsiTheme="majorBidi" w:cstheme="majorBidi"/>
          <w:iCs/>
          <w:noProof/>
          <w:szCs w:val="18"/>
          <w:lang w:val="es-MX"/>
        </w:rPr>
        <w:t>(Bahar et al., 2016</w:t>
      </w:r>
      <w:r w:rsidR="00690CA9" w:rsidRPr="005244BD">
        <w:rPr>
          <w:rFonts w:asciiTheme="majorBidi" w:eastAsiaTheme="minorEastAsia" w:hAnsiTheme="majorBidi" w:cstheme="majorBidi"/>
          <w:iCs/>
          <w:szCs w:val="18"/>
        </w:rPr>
        <w:fldChar w:fldCharType="end"/>
      </w:r>
      <w:r w:rsidR="004E651B" w:rsidRPr="00B91E94">
        <w:rPr>
          <w:rFonts w:asciiTheme="majorBidi" w:eastAsiaTheme="minorEastAsia" w:hAnsiTheme="majorBidi" w:cstheme="majorBidi"/>
          <w:iCs/>
          <w:szCs w:val="18"/>
          <w:lang w:val="es-MX"/>
        </w:rPr>
        <w:t xml:space="preserve">, </w:t>
      </w:r>
      <w:r w:rsidR="00690CA9" w:rsidRPr="005244BD">
        <w:rPr>
          <w:rFonts w:asciiTheme="majorBidi" w:eastAsiaTheme="minorEastAsia" w:hAnsiTheme="majorBidi" w:cstheme="majorBidi"/>
          <w:iCs/>
          <w:szCs w:val="18"/>
        </w:rPr>
        <w:fldChar w:fldCharType="begin" w:fldLock="1"/>
      </w:r>
      <w:r w:rsidR="00BF6D87" w:rsidRPr="00B91E94">
        <w:rPr>
          <w:rFonts w:asciiTheme="majorBidi" w:eastAsiaTheme="minorEastAsia" w:hAnsiTheme="majorBidi" w:cstheme="majorBidi"/>
          <w:iCs/>
          <w:szCs w:val="18"/>
          <w:lang w:val="es-MX"/>
        </w:rPr>
        <w:instrText>ADDIN CSL_CITATION {"citationItems":[{"id":"ITEM-1","itemData":{"DOI":"10.1016/j.advwatres.2008.11.012","ISSN":"03091708","abstract":"In this work, we upscale a pore-scale description of mass transport in a porous medium containing biofilm to develop the relevant Darcy-scale equations. We begin with the pore-scale descriptions of mass transport, interphase mass transfer, and biologically-mediated reactions; these processes are then upscaled using the method of volume averaging to obtain the macroscale mass balance equations. We focus on the case of local mass equilibrium conditions where the averaged concentrations in the fluid and biological phases can be assumed to be proportional and for which a one-equation macroscopic model may be developed. We predict the effective dispersion tensor by a closure scheme that is solved for the cases of both simple and complex unit cells. The domain of validity of the approach is clearly identified, both theoretically and numerically, and unitless groupings indicating the domain of validity are reported. © 2008 Elsevier Ltd. All rights reserved.","author":[{"dropping-particle":"","family":"Golfier","given":"Fabrice","non-dropping-particle":"","parse-names":false,"suffix":""},{"dropping-particle":"","family":"Wood","given":"Brian D.","non-dropping-particle":"","parse-names":false,"suffix":""},{"dropping-particle":"","family":"Orgogozo","given":"Laurent","non-dropping-particle":"","parse-names":false,"suffix":""},{"dropping-particle":"","family":"Quintard","given":"Michel","non-dropping-particle":"","parse-names":false,"suffix":""},{"dropping-particle":"","family":"Buès","given":"Michel","non-dropping-particle":"","parse-names":false,"suffix":""}],"container-title":"Advances in Water Resources","id":"ITEM-1","issue":"3","issued":{"date-parts":[["2009"]]},"page":"463-485","publisher":"Elsevier Ltd","title":"Biofilms in porous media: Development of macroscopic transport equations via volume averaging with closure for local mass equilibrium conditions","type":"article-journal","volume":"32"},"uris":["http://www.mendeley.com/documents/?uuid=9908c7aa-5317-4ae8-8fd9-dcd52b6ae8e9","http://www.mendeley.com/documents/?uuid=9661ac18-e1b5-49e5-a846-ea1dbbad34f9"]}],"mendeley":{"formattedCitation":"(Golfier et al., 2009)","manualFormatting":"Golfier et al., 2009)","plainTextFormattedCitation":"(Golfier et al., 2009)","previouslyFormattedCitation":"(Golfier et al., 2009)"},"properties":{"noteIndex":0},"schema":"https://github.com/citation-style-language/schema/raw/master/csl-citation.json"}</w:instrText>
      </w:r>
      <w:r w:rsidR="00690CA9" w:rsidRPr="005244BD">
        <w:rPr>
          <w:rFonts w:asciiTheme="majorBidi" w:eastAsiaTheme="minorEastAsia" w:hAnsiTheme="majorBidi" w:cstheme="majorBidi"/>
          <w:iCs/>
          <w:szCs w:val="18"/>
        </w:rPr>
        <w:fldChar w:fldCharType="separate"/>
      </w:r>
      <w:r w:rsidR="007E3CAF" w:rsidRPr="00B91E94">
        <w:rPr>
          <w:rFonts w:asciiTheme="majorBidi" w:eastAsiaTheme="minorEastAsia" w:hAnsiTheme="majorBidi" w:cstheme="majorBidi"/>
          <w:iCs/>
          <w:noProof/>
          <w:szCs w:val="18"/>
          <w:lang w:val="es-MX"/>
        </w:rPr>
        <w:t>Golfier et al., 2009)</w:t>
      </w:r>
      <w:r w:rsidR="00690CA9" w:rsidRPr="005244BD">
        <w:rPr>
          <w:rFonts w:asciiTheme="majorBidi" w:eastAsiaTheme="minorEastAsia" w:hAnsiTheme="majorBidi" w:cstheme="majorBidi"/>
          <w:iCs/>
          <w:szCs w:val="18"/>
        </w:rPr>
        <w:fldChar w:fldCharType="end"/>
      </w:r>
      <w:r w:rsidRPr="00B91E94">
        <w:rPr>
          <w:rFonts w:asciiTheme="majorBidi" w:eastAsiaTheme="minorEastAsia" w:hAnsiTheme="majorBidi" w:cstheme="majorBidi"/>
          <w:iCs/>
          <w:szCs w:val="18"/>
          <w:lang w:val="es-MX"/>
        </w:rPr>
        <w:t>.</w:t>
      </w:r>
      <w:r w:rsidR="007E2708" w:rsidRPr="00B91E94">
        <w:rPr>
          <w:rFonts w:asciiTheme="majorBidi" w:eastAsiaTheme="minorEastAsia" w:hAnsiTheme="majorBidi" w:cstheme="majorBidi"/>
          <w:iCs/>
          <w:szCs w:val="18"/>
          <w:lang w:val="es-MX"/>
        </w:rPr>
        <w:t xml:space="preserve"> </w:t>
      </w:r>
      <w:r w:rsidR="009A0D27" w:rsidRPr="005244BD">
        <w:rPr>
          <w:rFonts w:asciiTheme="majorBidi" w:eastAsiaTheme="minorEastAsia" w:hAnsiTheme="majorBidi" w:cstheme="majorBidi"/>
          <w:iCs/>
          <w:szCs w:val="18"/>
        </w:rPr>
        <w:fldChar w:fldCharType="begin" w:fldLock="1"/>
      </w:r>
      <w:r w:rsidR="00BF6D87" w:rsidRPr="00B91E94">
        <w:rPr>
          <w:rFonts w:asciiTheme="majorBidi" w:eastAsiaTheme="minorEastAsia" w:hAnsiTheme="majorBidi" w:cstheme="majorBidi"/>
          <w:iCs/>
          <w:szCs w:val="18"/>
          <w:lang w:val="es-MX"/>
        </w:rPr>
        <w:instrText>ADDIN CSL_CITATION {"citationItems":[{"id":"ITEM-1","itemData":{"author":[{"dropping-particle":"","family":"Schmidt","given":"Susanne I","non-dropping-particle":"","parse-names":false,"suffix":""},{"dropping-particle":"","family":"Kreft","given":"Jan-Ulrich","non-dropping-particle":"","parse-names":false,"suffix":""},{"dropping-particle":"","family":"Mackay","given":"Rae","non-dropping-particle":"","parse-names":false,"suffix":""},{"dropping-particle":"","family":"Picioreanu","given":"Cristian","non-dropping-particle":"","parse-names":false,"suffix":""},{"dropping-particle":"","family":"Thullner","given":"Martin","non-dropping-particle":"","parse-names":false,"suffix":""}],"container-title":"Advances in Water Resources","id":"ITEM-1","issued":{"date-parts":[["2018"]]},"page":"67-76","publisher":"Elsevier","title":"Elucidating the impact of micro-scale heterogeneous bacterial distribution on biodegradation","type":"article-journal","volume":"116"},"uris":["http://www.mendeley.com/documents/?uuid=0e30ee5d-f42e-4528-a8e8-2acd3621c855","http://www.mendeley.com/documents/?uuid=0fb3bb54-8647-4cdf-bf3e-80af1d83bc7f"]}],"mendeley":{"formattedCitation":"(Schmidt et al., 2018)","manualFormatting":"Schmidt et al., 2018","plainTextFormattedCitation":"(Schmidt et al., 2018)","previouslyFormattedCitation":"(Schmidt et al., 2018)"},"properties":{"noteIndex":0},"schema":"https://github.com/citation-style-language/schema/raw/master/csl-citation.json"}</w:instrText>
      </w:r>
      <w:r w:rsidR="009A0D27" w:rsidRPr="005244BD">
        <w:rPr>
          <w:rFonts w:asciiTheme="majorBidi" w:eastAsiaTheme="minorEastAsia" w:hAnsiTheme="majorBidi" w:cstheme="majorBidi"/>
          <w:iCs/>
          <w:szCs w:val="18"/>
        </w:rPr>
        <w:fldChar w:fldCharType="separate"/>
      </w:r>
      <w:r w:rsidR="009A0D27" w:rsidRPr="00FF05F4">
        <w:rPr>
          <w:rFonts w:asciiTheme="majorBidi" w:eastAsiaTheme="minorEastAsia" w:hAnsiTheme="majorBidi" w:cstheme="majorBidi"/>
          <w:iCs/>
          <w:noProof/>
          <w:szCs w:val="18"/>
          <w:lang w:val="es-MX"/>
        </w:rPr>
        <w:t>Schmidt et al., 2018</w:t>
      </w:r>
      <w:r w:rsidR="009A0D27" w:rsidRPr="005244BD">
        <w:rPr>
          <w:rFonts w:asciiTheme="majorBidi" w:eastAsiaTheme="minorEastAsia" w:hAnsiTheme="majorBidi" w:cstheme="majorBidi"/>
          <w:iCs/>
          <w:szCs w:val="18"/>
        </w:rPr>
        <w:fldChar w:fldCharType="end"/>
      </w:r>
      <w:r w:rsidR="009A0D27" w:rsidRPr="00FF05F4">
        <w:rPr>
          <w:rFonts w:asciiTheme="majorBidi" w:eastAsiaTheme="minorEastAsia" w:hAnsiTheme="majorBidi" w:cstheme="majorBidi"/>
          <w:iCs/>
          <w:szCs w:val="18"/>
          <w:lang w:val="es-MX"/>
        </w:rPr>
        <w:t>,</w:t>
      </w:r>
      <w:r w:rsidR="009F7D69" w:rsidRPr="00FF05F4">
        <w:rPr>
          <w:rFonts w:asciiTheme="majorBidi" w:eastAsiaTheme="minorEastAsia" w:hAnsiTheme="majorBidi" w:cstheme="majorBidi"/>
          <w:iCs/>
          <w:szCs w:val="18"/>
          <w:lang w:val="es-MX"/>
        </w:rPr>
        <w:t xml:space="preserve"> conducted two-dime</w:t>
      </w:r>
      <w:r w:rsidR="005A5E4D" w:rsidRPr="00FF05F4">
        <w:rPr>
          <w:rFonts w:asciiTheme="majorBidi" w:eastAsiaTheme="minorEastAsia" w:hAnsiTheme="majorBidi" w:cstheme="majorBidi"/>
          <w:iCs/>
          <w:szCs w:val="18"/>
          <w:lang w:val="es-MX"/>
        </w:rPr>
        <w:t>nsional (2D) finite element</w:t>
      </w:r>
      <w:r w:rsidR="009F7D69" w:rsidRPr="00FF05F4">
        <w:rPr>
          <w:rFonts w:asciiTheme="majorBidi" w:eastAsiaTheme="minorEastAsia" w:hAnsiTheme="majorBidi" w:cstheme="majorBidi"/>
          <w:iCs/>
          <w:szCs w:val="18"/>
          <w:lang w:val="es-MX"/>
        </w:rPr>
        <w:t xml:space="preserve"> simulations of fluid flow and solute transport with reaction to show the effect of </w:t>
      </w:r>
      <w:r w:rsidR="00F500CE" w:rsidRPr="00FF05F4">
        <w:rPr>
          <w:rFonts w:asciiTheme="majorBidi" w:eastAsiaTheme="minorEastAsia" w:hAnsiTheme="majorBidi" w:cstheme="majorBidi"/>
          <w:iCs/>
          <w:szCs w:val="18"/>
          <w:lang w:val="es-MX"/>
        </w:rPr>
        <w:t xml:space="preserve">bacterial distribution </w:t>
      </w:r>
      <w:r w:rsidR="009F7D69" w:rsidRPr="00FF05F4">
        <w:rPr>
          <w:rFonts w:asciiTheme="majorBidi" w:eastAsiaTheme="minorEastAsia" w:hAnsiTheme="majorBidi" w:cstheme="majorBidi"/>
          <w:iCs/>
          <w:szCs w:val="18"/>
          <w:lang w:val="es-MX"/>
        </w:rPr>
        <w:t xml:space="preserve">on the </w:t>
      </w:r>
      <w:r w:rsidR="00F500CE" w:rsidRPr="00FF05F4">
        <w:rPr>
          <w:rFonts w:asciiTheme="majorBidi" w:eastAsiaTheme="minorEastAsia" w:hAnsiTheme="majorBidi" w:cstheme="majorBidi"/>
          <w:iCs/>
          <w:szCs w:val="18"/>
          <w:lang w:val="es-MX"/>
        </w:rPr>
        <w:t>bio</w:t>
      </w:r>
      <w:r w:rsidR="009F7D69" w:rsidRPr="00FF05F4">
        <w:rPr>
          <w:rFonts w:asciiTheme="majorBidi" w:eastAsiaTheme="minorEastAsia" w:hAnsiTheme="majorBidi" w:cstheme="majorBidi"/>
          <w:iCs/>
          <w:szCs w:val="18"/>
          <w:lang w:val="es-MX"/>
        </w:rPr>
        <w:t xml:space="preserve">degradation. </w:t>
      </w:r>
      <w:r w:rsidR="007E2708" w:rsidRPr="005244BD">
        <w:rPr>
          <w:rFonts w:asciiTheme="majorBidi" w:eastAsiaTheme="minorEastAsia" w:hAnsiTheme="majorBidi" w:cstheme="majorBidi"/>
          <w:iCs/>
          <w:szCs w:val="18"/>
        </w:rPr>
        <w:t xml:space="preserve">Recently, </w:t>
      </w:r>
      <w:r w:rsidR="008C1250"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Benioug","given":"M","non-dropping-particle":"","parse-names":false,"suffix":""},{"dropping-particle":"","family":"Golfier","given":"Fabrice","non-dropping-particle":"","parse-names":false,"suffix":""},{"dropping-particle":"","family":"Fischer","given":"P","non-dropping-particle":"","parse-names":false,"suffix":""},{"dropping-particle":"","family":"Oltean","given":"C","non-dropping-particle":"","parse-names":false,"suffix":""},{"dropping-particle":"","family":"Buès","given":"M A","non-dropping-particle":"","parse-names":false,"suffix":""},{"dropping-particle":"","family":"Yang","given":"X","non-dropping-particle":"","parse-names":false,"suffix":""}],"container-title":"Advances in water resources","id":"ITEM-1","issued":{"date-parts":[["2019"]]},"page":"82-97","publisher":"Elsevier","title":"Interaction between biofilm growth and NAPL remediation: A pore-scale study","type":"article-journal","volume":"125"},"uris":["http://www.mendeley.com/documents/?uuid=57534b9c-82f9-48c7-821e-8c7d4431cff8","http://www.mendeley.com/documents/?uuid=6344e903-1290-457e-95a2-4c7cbfe42be2"]}],"mendeley":{"formattedCitation":"(Benioug et al., 2019)","manualFormatting":"Benioug et al. (2019)","plainTextFormattedCitation":"(Benioug et al., 2019)","previouslyFormattedCitation":"(Benioug et al., 2019)"},"properties":{"noteIndex":0},"schema":"https://github.com/citation-style-language/schema/raw/master/csl-citation.json"}</w:instrText>
      </w:r>
      <w:r w:rsidR="008C1250" w:rsidRPr="005244BD">
        <w:rPr>
          <w:rFonts w:asciiTheme="majorBidi" w:eastAsiaTheme="minorEastAsia" w:hAnsiTheme="majorBidi" w:cstheme="majorBidi"/>
          <w:iCs/>
          <w:szCs w:val="18"/>
        </w:rPr>
        <w:fldChar w:fldCharType="separate"/>
      </w:r>
      <w:r w:rsidR="008C1250" w:rsidRPr="005244BD">
        <w:rPr>
          <w:rFonts w:asciiTheme="majorBidi" w:eastAsiaTheme="minorEastAsia" w:hAnsiTheme="majorBidi" w:cstheme="majorBidi"/>
          <w:iCs/>
          <w:noProof/>
          <w:szCs w:val="18"/>
        </w:rPr>
        <w:t>Benioug et al. (2019)</w:t>
      </w:r>
      <w:r w:rsidR="008C1250" w:rsidRPr="005244BD">
        <w:rPr>
          <w:rFonts w:asciiTheme="majorBidi" w:eastAsiaTheme="minorEastAsia" w:hAnsiTheme="majorBidi" w:cstheme="majorBidi"/>
          <w:iCs/>
          <w:szCs w:val="18"/>
        </w:rPr>
        <w:fldChar w:fldCharType="end"/>
      </w:r>
      <w:r w:rsidR="007E2708" w:rsidRPr="005244BD">
        <w:rPr>
          <w:rFonts w:asciiTheme="majorBidi" w:eastAsiaTheme="minorEastAsia" w:hAnsiTheme="majorBidi" w:cstheme="majorBidi"/>
          <w:iCs/>
          <w:szCs w:val="18"/>
        </w:rPr>
        <w:t xml:space="preserve"> derived </w:t>
      </w:r>
      <w:r w:rsidR="00E97DE6" w:rsidRPr="005244BD">
        <w:rPr>
          <w:rFonts w:asciiTheme="majorBidi" w:eastAsiaTheme="minorEastAsia" w:hAnsiTheme="majorBidi" w:cstheme="majorBidi"/>
          <w:iCs/>
          <w:szCs w:val="18"/>
        </w:rPr>
        <w:t xml:space="preserve">an </w:t>
      </w:r>
      <w:r w:rsidR="00345FD4" w:rsidRPr="005244BD">
        <w:rPr>
          <w:rFonts w:asciiTheme="majorBidi" w:eastAsiaTheme="minorEastAsia" w:hAnsiTheme="majorBidi" w:cstheme="majorBidi"/>
          <w:iCs/>
          <w:szCs w:val="18"/>
        </w:rPr>
        <w:t xml:space="preserve">immersed boundary-lattice Boltzmann model </w:t>
      </w:r>
      <w:r w:rsidR="007E2708" w:rsidRPr="005244BD">
        <w:rPr>
          <w:rFonts w:asciiTheme="majorBidi" w:eastAsiaTheme="minorEastAsia" w:hAnsiTheme="majorBidi" w:cstheme="majorBidi"/>
          <w:iCs/>
          <w:szCs w:val="18"/>
        </w:rPr>
        <w:t>to study the interaction between biofilm growth and NAPL dissolution</w:t>
      </w:r>
      <w:r w:rsidR="00345FD4" w:rsidRPr="005244BD">
        <w:rPr>
          <w:rFonts w:asciiTheme="majorBidi" w:eastAsiaTheme="minorEastAsia" w:hAnsiTheme="majorBidi" w:cstheme="majorBidi"/>
          <w:iCs/>
          <w:szCs w:val="18"/>
        </w:rPr>
        <w:t xml:space="preserve"> at </w:t>
      </w:r>
      <w:r w:rsidR="009A2FFC" w:rsidRPr="005244BD">
        <w:rPr>
          <w:rFonts w:asciiTheme="majorBidi" w:eastAsiaTheme="minorEastAsia" w:hAnsiTheme="majorBidi" w:cstheme="majorBidi"/>
          <w:iCs/>
          <w:szCs w:val="18"/>
        </w:rPr>
        <w:t>the pore-</w:t>
      </w:r>
      <w:r w:rsidR="00345FD4" w:rsidRPr="005244BD">
        <w:rPr>
          <w:rFonts w:asciiTheme="majorBidi" w:eastAsiaTheme="minorEastAsia" w:hAnsiTheme="majorBidi" w:cstheme="majorBidi"/>
          <w:iCs/>
          <w:szCs w:val="18"/>
        </w:rPr>
        <w:t>scale. However, this study was limited to 2D geometry and a small number of pores</w:t>
      </w:r>
      <w:r w:rsidR="00237F4E" w:rsidRPr="005244BD">
        <w:rPr>
          <w:rFonts w:asciiTheme="majorBidi" w:eastAsiaTheme="minorEastAsia" w:hAnsiTheme="majorBidi" w:cstheme="majorBidi"/>
          <w:iCs/>
          <w:szCs w:val="18"/>
        </w:rPr>
        <w:t>, most likely due to computational expenses in simulation</w:t>
      </w:r>
      <w:r w:rsidR="00CC7BFE" w:rsidRPr="005244BD">
        <w:rPr>
          <w:rFonts w:asciiTheme="majorBidi" w:eastAsiaTheme="minorEastAsia" w:hAnsiTheme="majorBidi" w:cstheme="majorBidi"/>
          <w:iCs/>
          <w:szCs w:val="18"/>
        </w:rPr>
        <w:t>.</w:t>
      </w:r>
      <w:r w:rsidR="00345FD4" w:rsidRPr="005244BD">
        <w:rPr>
          <w:rFonts w:asciiTheme="majorBidi" w:eastAsiaTheme="minorEastAsia" w:hAnsiTheme="majorBidi" w:cstheme="majorBidi"/>
          <w:iCs/>
          <w:szCs w:val="18"/>
        </w:rPr>
        <w:t xml:space="preserve"> </w:t>
      </w:r>
    </w:p>
    <w:p w14:paraId="5CA7ACA8" w14:textId="4BEFCF92" w:rsidR="00AB37E6" w:rsidRPr="005244BD" w:rsidRDefault="00D9085F" w:rsidP="00FB6A69">
      <w:pPr>
        <w:spacing w:line="480" w:lineRule="auto"/>
        <w:jc w:val="both"/>
        <w:rPr>
          <w:rFonts w:asciiTheme="majorBidi" w:eastAsiaTheme="minorEastAsia" w:hAnsiTheme="majorBidi" w:cstheme="majorBidi"/>
          <w:iCs/>
          <w:szCs w:val="18"/>
        </w:rPr>
      </w:pPr>
      <w:r w:rsidRPr="005244BD">
        <w:rPr>
          <w:rFonts w:asciiTheme="majorBidi" w:eastAsiaTheme="minorEastAsia" w:hAnsiTheme="majorBidi" w:cstheme="majorBidi"/>
          <w:iCs/>
          <w:szCs w:val="18"/>
        </w:rPr>
        <w:lastRenderedPageBreak/>
        <w:t>In this work, p</w:t>
      </w:r>
      <w:r w:rsidR="00455CAA" w:rsidRPr="005244BD">
        <w:rPr>
          <w:rFonts w:asciiTheme="majorBidi" w:eastAsiaTheme="minorEastAsia" w:hAnsiTheme="majorBidi" w:cstheme="majorBidi"/>
          <w:iCs/>
          <w:szCs w:val="18"/>
        </w:rPr>
        <w:t>articular focus will be given to fill the</w:t>
      </w:r>
      <w:r w:rsidR="00740D10" w:rsidRPr="005244BD">
        <w:rPr>
          <w:rFonts w:asciiTheme="majorBidi" w:eastAsiaTheme="minorEastAsia" w:hAnsiTheme="majorBidi" w:cstheme="majorBidi"/>
          <w:iCs/>
          <w:szCs w:val="18"/>
        </w:rPr>
        <w:t xml:space="preserve"> </w:t>
      </w:r>
      <w:r w:rsidR="00F500CE" w:rsidRPr="005244BD">
        <w:rPr>
          <w:rFonts w:asciiTheme="majorBidi" w:eastAsiaTheme="minorEastAsia" w:hAnsiTheme="majorBidi" w:cstheme="majorBidi"/>
          <w:iCs/>
          <w:szCs w:val="18"/>
        </w:rPr>
        <w:t>lack of knowledge</w:t>
      </w:r>
      <w:r w:rsidR="00F500CE" w:rsidRPr="005244BD" w:rsidDel="00F500CE">
        <w:rPr>
          <w:rFonts w:asciiTheme="majorBidi" w:eastAsiaTheme="minorEastAsia" w:hAnsiTheme="majorBidi" w:cstheme="majorBidi"/>
          <w:iCs/>
          <w:szCs w:val="18"/>
        </w:rPr>
        <w:t xml:space="preserve"> </w:t>
      </w:r>
      <w:r w:rsidR="00740D10" w:rsidRPr="005244BD">
        <w:rPr>
          <w:rFonts w:asciiTheme="majorBidi" w:eastAsiaTheme="minorEastAsia" w:hAnsiTheme="majorBidi" w:cstheme="majorBidi"/>
          <w:iCs/>
          <w:szCs w:val="18"/>
        </w:rPr>
        <w:t xml:space="preserve">related to the impacts of </w:t>
      </w:r>
      <w:r w:rsidR="00FB6A69" w:rsidRPr="005244BD">
        <w:rPr>
          <w:rFonts w:asciiTheme="majorBidi" w:eastAsiaTheme="minorEastAsia" w:hAnsiTheme="majorBidi" w:cstheme="majorBidi"/>
          <w:iCs/>
          <w:szCs w:val="18"/>
        </w:rPr>
        <w:t>“</w:t>
      </w:r>
      <w:r w:rsidR="00740D10" w:rsidRPr="005244BD">
        <w:rPr>
          <w:rFonts w:asciiTheme="majorBidi" w:eastAsiaTheme="minorEastAsia" w:hAnsiTheme="majorBidi" w:cstheme="majorBidi"/>
          <w:iCs/>
          <w:szCs w:val="18"/>
        </w:rPr>
        <w:t>heterogeneity</w:t>
      </w:r>
      <w:r w:rsidR="00FB6A69" w:rsidRPr="005244BD">
        <w:rPr>
          <w:rFonts w:asciiTheme="majorBidi" w:eastAsiaTheme="minorEastAsia" w:hAnsiTheme="majorBidi" w:cstheme="majorBidi"/>
          <w:iCs/>
          <w:szCs w:val="18"/>
        </w:rPr>
        <w:t xml:space="preserve"> in the form of spatial correlated pore radii distribution”</w:t>
      </w:r>
      <w:r w:rsidR="00740D10" w:rsidRPr="005244BD">
        <w:rPr>
          <w:rFonts w:asciiTheme="majorBidi" w:eastAsiaTheme="minorEastAsia" w:hAnsiTheme="majorBidi" w:cstheme="majorBidi"/>
          <w:iCs/>
          <w:szCs w:val="18"/>
        </w:rPr>
        <w:t xml:space="preserve"> on NAPL biodegradation</w:t>
      </w:r>
      <w:r w:rsidR="00F500CE" w:rsidRPr="005244BD">
        <w:rPr>
          <w:rFonts w:asciiTheme="majorBidi" w:eastAsiaTheme="minorEastAsia" w:hAnsiTheme="majorBidi" w:cstheme="majorBidi"/>
          <w:iCs/>
          <w:szCs w:val="18"/>
        </w:rPr>
        <w:t xml:space="preserve">, </w:t>
      </w:r>
      <w:r w:rsidR="00740D10" w:rsidRPr="005244BD">
        <w:rPr>
          <w:rFonts w:asciiTheme="majorBidi" w:eastAsiaTheme="minorEastAsia" w:hAnsiTheme="majorBidi" w:cstheme="majorBidi"/>
          <w:iCs/>
          <w:szCs w:val="18"/>
        </w:rPr>
        <w:t>dissolution, and biofilm growth. To the best of our knowledge, use of pore network for natural bioremediation and dissolution has not been reported previously</w:t>
      </w:r>
      <w:r w:rsidR="00237F4E" w:rsidRPr="005244BD">
        <w:rPr>
          <w:rFonts w:asciiTheme="majorBidi" w:eastAsiaTheme="minorEastAsia" w:hAnsiTheme="majorBidi" w:cstheme="majorBidi"/>
          <w:iCs/>
          <w:szCs w:val="18"/>
        </w:rPr>
        <w:t xml:space="preserve"> for </w:t>
      </w:r>
      <w:r w:rsidR="00FB6A69" w:rsidRPr="005244BD">
        <w:rPr>
          <w:rFonts w:asciiTheme="majorBidi" w:eastAsiaTheme="minorEastAsia" w:hAnsiTheme="majorBidi" w:cstheme="majorBidi"/>
          <w:iCs/>
          <w:szCs w:val="18"/>
        </w:rPr>
        <w:t>micro-</w:t>
      </w:r>
      <w:r w:rsidR="00237F4E" w:rsidRPr="005244BD">
        <w:rPr>
          <w:rFonts w:asciiTheme="majorBidi" w:eastAsiaTheme="minorEastAsia" w:hAnsiTheme="majorBidi" w:cstheme="majorBidi"/>
          <w:iCs/>
          <w:szCs w:val="18"/>
        </w:rPr>
        <w:t>heterogeneous porous media</w:t>
      </w:r>
      <w:r w:rsidR="00740D10" w:rsidRPr="005244BD">
        <w:rPr>
          <w:rFonts w:asciiTheme="majorBidi" w:eastAsiaTheme="minorEastAsia" w:hAnsiTheme="majorBidi" w:cstheme="majorBidi"/>
          <w:iCs/>
          <w:szCs w:val="18"/>
        </w:rPr>
        <w:t xml:space="preserve">. </w:t>
      </w:r>
      <w:r w:rsidR="00C72122" w:rsidRPr="005244BD">
        <w:rPr>
          <w:rFonts w:asciiTheme="majorBidi" w:eastAsiaTheme="minorEastAsia" w:hAnsiTheme="majorBidi" w:cstheme="majorBidi"/>
          <w:iCs/>
          <w:szCs w:val="18"/>
        </w:rPr>
        <w:t>Therefore, t</w:t>
      </w:r>
      <w:r w:rsidR="00EF755F" w:rsidRPr="005244BD">
        <w:rPr>
          <w:rFonts w:asciiTheme="majorBidi" w:eastAsiaTheme="minorEastAsia" w:hAnsiTheme="majorBidi" w:cstheme="majorBidi"/>
          <w:iCs/>
          <w:szCs w:val="18"/>
        </w:rPr>
        <w:t xml:space="preserve">his study </w:t>
      </w:r>
      <w:r w:rsidR="00C72122" w:rsidRPr="005244BD">
        <w:rPr>
          <w:rFonts w:asciiTheme="majorBidi" w:eastAsiaTheme="minorEastAsia" w:hAnsiTheme="majorBidi" w:cstheme="majorBidi"/>
          <w:iCs/>
          <w:szCs w:val="18"/>
        </w:rPr>
        <w:t xml:space="preserve">simulates the bioremediation using the unstructured </w:t>
      </w:r>
      <w:r w:rsidR="0048180A" w:rsidRPr="005244BD">
        <w:rPr>
          <w:rFonts w:asciiTheme="majorBidi" w:hAnsiTheme="majorBidi" w:cstheme="majorBidi"/>
        </w:rPr>
        <w:t>three-dimensional</w:t>
      </w:r>
      <w:r w:rsidR="00C72122" w:rsidRPr="005244BD">
        <w:rPr>
          <w:rFonts w:asciiTheme="majorBidi" w:eastAsiaTheme="minorEastAsia" w:hAnsiTheme="majorBidi" w:cstheme="majorBidi"/>
          <w:iCs/>
          <w:szCs w:val="18"/>
        </w:rPr>
        <w:t xml:space="preserve"> pore network model in which </w:t>
      </w:r>
      <w:r w:rsidR="0048180A" w:rsidRPr="005244BD">
        <w:rPr>
          <w:rFonts w:asciiTheme="majorBidi" w:eastAsiaTheme="minorEastAsia" w:hAnsiTheme="majorBidi" w:cstheme="majorBidi"/>
          <w:iCs/>
          <w:szCs w:val="18"/>
        </w:rPr>
        <w:t>t</w:t>
      </w:r>
      <w:r w:rsidR="00EF755F" w:rsidRPr="005244BD">
        <w:rPr>
          <w:rFonts w:asciiTheme="majorBidi" w:eastAsiaTheme="minorEastAsia" w:hAnsiTheme="majorBidi" w:cstheme="majorBidi"/>
          <w:iCs/>
          <w:szCs w:val="18"/>
        </w:rPr>
        <w:t xml:space="preserve">he </w:t>
      </w:r>
      <w:r w:rsidR="005A5E4D" w:rsidRPr="005244BD">
        <w:rPr>
          <w:rFonts w:asciiTheme="majorBidi" w:eastAsiaTheme="minorEastAsia" w:hAnsiTheme="majorBidi" w:cstheme="majorBidi"/>
          <w:iCs/>
          <w:szCs w:val="18"/>
        </w:rPr>
        <w:t xml:space="preserve">effect of </w:t>
      </w:r>
      <w:r w:rsidR="00AF1159" w:rsidRPr="005244BD">
        <w:rPr>
          <w:rFonts w:asciiTheme="majorBidi" w:eastAsiaTheme="minorEastAsia" w:hAnsiTheme="majorBidi" w:cstheme="majorBidi"/>
          <w:iCs/>
          <w:szCs w:val="18"/>
        </w:rPr>
        <w:t>pore</w:t>
      </w:r>
      <w:r w:rsidR="009A2FFC" w:rsidRPr="005244BD">
        <w:rPr>
          <w:rFonts w:asciiTheme="majorBidi" w:eastAsiaTheme="minorEastAsia" w:hAnsiTheme="majorBidi" w:cstheme="majorBidi"/>
          <w:iCs/>
          <w:szCs w:val="18"/>
        </w:rPr>
        <w:t>-</w:t>
      </w:r>
      <w:r w:rsidR="00AF1159" w:rsidRPr="005244BD">
        <w:rPr>
          <w:rFonts w:asciiTheme="majorBidi" w:eastAsiaTheme="minorEastAsia" w:hAnsiTheme="majorBidi" w:cstheme="majorBidi"/>
          <w:iCs/>
          <w:szCs w:val="18"/>
        </w:rPr>
        <w:t xml:space="preserve">scale </w:t>
      </w:r>
      <w:r w:rsidR="00EF755F" w:rsidRPr="005244BD">
        <w:rPr>
          <w:rFonts w:asciiTheme="majorBidi" w:eastAsiaTheme="minorEastAsia" w:hAnsiTheme="majorBidi" w:cstheme="majorBidi"/>
          <w:iCs/>
          <w:szCs w:val="18"/>
        </w:rPr>
        <w:t>heterogeneity (</w:t>
      </w:r>
      <w:r w:rsidR="00AF1159" w:rsidRPr="005244BD">
        <w:rPr>
          <w:rFonts w:asciiTheme="majorBidi" w:eastAsiaTheme="minorEastAsia" w:hAnsiTheme="majorBidi" w:cstheme="majorBidi"/>
          <w:iCs/>
          <w:szCs w:val="18"/>
        </w:rPr>
        <w:t xml:space="preserve">in the form of </w:t>
      </w:r>
      <w:r w:rsidR="00EF755F" w:rsidRPr="005244BD">
        <w:rPr>
          <w:rFonts w:asciiTheme="majorBidi" w:eastAsiaTheme="minorEastAsia" w:hAnsiTheme="majorBidi" w:cstheme="majorBidi"/>
          <w:iCs/>
          <w:szCs w:val="18"/>
        </w:rPr>
        <w:t xml:space="preserve">spatially correlated and uncorrelated </w:t>
      </w:r>
      <w:r w:rsidR="00AF1159" w:rsidRPr="005244BD">
        <w:rPr>
          <w:rFonts w:asciiTheme="majorBidi" w:eastAsiaTheme="minorEastAsia" w:hAnsiTheme="majorBidi" w:cstheme="majorBidi"/>
          <w:iCs/>
          <w:szCs w:val="18"/>
        </w:rPr>
        <w:t>pore radii distribution</w:t>
      </w:r>
      <w:r w:rsidR="00EF755F" w:rsidRPr="005244BD">
        <w:rPr>
          <w:rFonts w:asciiTheme="majorBidi" w:eastAsiaTheme="minorEastAsia" w:hAnsiTheme="majorBidi" w:cstheme="majorBidi"/>
          <w:iCs/>
          <w:szCs w:val="18"/>
        </w:rPr>
        <w:t>) on NAPL dissolution/biodegradation</w:t>
      </w:r>
      <w:r w:rsidR="0048180A" w:rsidRPr="005244BD">
        <w:rPr>
          <w:rFonts w:asciiTheme="majorBidi" w:eastAsiaTheme="minorEastAsia" w:hAnsiTheme="majorBidi" w:cstheme="majorBidi"/>
          <w:iCs/>
          <w:szCs w:val="18"/>
        </w:rPr>
        <w:t>,</w:t>
      </w:r>
      <w:r w:rsidR="00EF755F" w:rsidRPr="005244BD">
        <w:rPr>
          <w:rFonts w:asciiTheme="majorBidi" w:eastAsiaTheme="minorEastAsia" w:hAnsiTheme="majorBidi" w:cstheme="majorBidi"/>
          <w:iCs/>
          <w:szCs w:val="18"/>
        </w:rPr>
        <w:t xml:space="preserve"> biofilm growth</w:t>
      </w:r>
      <w:r w:rsidR="0048180A" w:rsidRPr="005244BD">
        <w:rPr>
          <w:rFonts w:asciiTheme="majorBidi" w:eastAsiaTheme="minorEastAsia" w:hAnsiTheme="majorBidi" w:cstheme="majorBidi"/>
          <w:iCs/>
          <w:szCs w:val="18"/>
        </w:rPr>
        <w:t>, and</w:t>
      </w:r>
      <w:r w:rsidR="0048180A" w:rsidRPr="005244BD">
        <w:t xml:space="preserve"> </w:t>
      </w:r>
      <w:r w:rsidR="0048180A" w:rsidRPr="005244BD">
        <w:rPr>
          <w:rFonts w:asciiTheme="majorBidi" w:eastAsiaTheme="minorEastAsia" w:hAnsiTheme="majorBidi" w:cstheme="majorBidi"/>
          <w:iCs/>
          <w:szCs w:val="18"/>
        </w:rPr>
        <w:t>long term natural remediation are investigated</w:t>
      </w:r>
      <w:r w:rsidR="00EF755F" w:rsidRPr="005244BD">
        <w:rPr>
          <w:rFonts w:asciiTheme="majorBidi" w:eastAsiaTheme="minorEastAsia" w:hAnsiTheme="majorBidi" w:cstheme="majorBidi"/>
          <w:iCs/>
          <w:szCs w:val="18"/>
        </w:rPr>
        <w:t xml:space="preserve">. </w:t>
      </w:r>
      <w:r w:rsidR="00740D10" w:rsidRPr="005244BD">
        <w:rPr>
          <w:rFonts w:asciiTheme="majorBidi" w:eastAsiaTheme="minorEastAsia" w:hAnsiTheme="majorBidi" w:cstheme="majorBidi"/>
          <w:iCs/>
          <w:szCs w:val="18"/>
        </w:rPr>
        <w:t xml:space="preserve">In addition, </w:t>
      </w:r>
      <w:r w:rsidR="00AB37E6" w:rsidRPr="005244BD">
        <w:rPr>
          <w:rFonts w:asciiTheme="majorBidi" w:eastAsiaTheme="minorEastAsia" w:hAnsiTheme="majorBidi" w:cstheme="majorBidi"/>
          <w:iCs/>
          <w:szCs w:val="18"/>
        </w:rPr>
        <w:t xml:space="preserve">the impact of </w:t>
      </w:r>
      <w:r w:rsidR="000D3C6D" w:rsidRPr="005244BD">
        <w:rPr>
          <w:rFonts w:asciiTheme="majorBidi" w:eastAsiaTheme="minorEastAsia" w:hAnsiTheme="majorBidi" w:cstheme="majorBidi"/>
          <w:iCs/>
          <w:szCs w:val="18"/>
        </w:rPr>
        <w:t xml:space="preserve">the </w:t>
      </w:r>
      <w:r w:rsidR="00AB37E6" w:rsidRPr="005244BD">
        <w:rPr>
          <w:rFonts w:asciiTheme="majorBidi" w:eastAsiaTheme="minorEastAsia" w:hAnsiTheme="majorBidi" w:cstheme="majorBidi"/>
          <w:iCs/>
          <w:szCs w:val="18"/>
        </w:rPr>
        <w:t xml:space="preserve">additional phase (biofilm growth) on transport and NAPL dissolution is </w:t>
      </w:r>
      <w:r w:rsidR="009E3B64" w:rsidRPr="005244BD">
        <w:rPr>
          <w:rFonts w:asciiTheme="majorBidi" w:eastAsiaTheme="minorEastAsia" w:hAnsiTheme="majorBidi" w:cstheme="majorBidi"/>
          <w:iCs/>
          <w:szCs w:val="18"/>
        </w:rPr>
        <w:t>investigated</w:t>
      </w:r>
      <w:r w:rsidR="00AB37E6" w:rsidRPr="005244BD">
        <w:rPr>
          <w:rFonts w:asciiTheme="majorBidi" w:eastAsiaTheme="minorEastAsia" w:hAnsiTheme="majorBidi" w:cstheme="majorBidi"/>
          <w:iCs/>
          <w:szCs w:val="18"/>
        </w:rPr>
        <w:t xml:space="preserve"> in the</w:t>
      </w:r>
      <w:r w:rsidR="00740D10" w:rsidRPr="005244BD">
        <w:rPr>
          <w:rFonts w:asciiTheme="majorBidi" w:eastAsiaTheme="minorEastAsia" w:hAnsiTheme="majorBidi" w:cstheme="majorBidi"/>
          <w:iCs/>
          <w:szCs w:val="18"/>
        </w:rPr>
        <w:t xml:space="preserve"> </w:t>
      </w:r>
      <w:r w:rsidR="00AB37E6" w:rsidRPr="005244BD">
        <w:rPr>
          <w:rFonts w:asciiTheme="majorBidi" w:eastAsiaTheme="minorEastAsia" w:hAnsiTheme="majorBidi" w:cstheme="majorBidi"/>
          <w:iCs/>
          <w:szCs w:val="18"/>
        </w:rPr>
        <w:t xml:space="preserve">pore network model. </w:t>
      </w:r>
    </w:p>
    <w:p w14:paraId="2F7BBF41" w14:textId="4315AFCF" w:rsidR="00BC5D51" w:rsidRPr="005244BD" w:rsidRDefault="00CB3B25" w:rsidP="003268B6">
      <w:pPr>
        <w:pStyle w:val="Heading1"/>
        <w:rPr>
          <w:rFonts w:asciiTheme="majorBidi" w:hAnsiTheme="majorBidi"/>
        </w:rPr>
      </w:pPr>
      <w:r w:rsidRPr="005244BD">
        <w:rPr>
          <w:rFonts w:asciiTheme="majorBidi" w:hAnsiTheme="majorBidi"/>
        </w:rPr>
        <w:t>2</w:t>
      </w:r>
      <w:r w:rsidR="003268B6" w:rsidRPr="005244BD">
        <w:rPr>
          <w:rFonts w:asciiTheme="majorBidi" w:hAnsiTheme="majorBidi"/>
        </w:rPr>
        <w:t xml:space="preserve"> – </w:t>
      </w:r>
      <w:r w:rsidR="00BC5D51" w:rsidRPr="005244BD">
        <w:rPr>
          <w:rFonts w:asciiTheme="majorBidi" w:hAnsiTheme="majorBidi"/>
        </w:rPr>
        <w:t xml:space="preserve">Methodology </w:t>
      </w:r>
    </w:p>
    <w:p w14:paraId="15293515" w14:textId="468A9425" w:rsidR="00CB3B25" w:rsidRPr="005244BD" w:rsidRDefault="00BC5D51" w:rsidP="0015549A">
      <w:pPr>
        <w:pStyle w:val="Heading2"/>
        <w:rPr>
          <w:rFonts w:ascii="Times New Roman" w:hAnsi="Times New Roman" w:cs="Times New Roman"/>
          <w:sz w:val="24"/>
          <w:szCs w:val="24"/>
        </w:rPr>
      </w:pPr>
      <w:r w:rsidRPr="005244BD">
        <w:rPr>
          <w:rFonts w:ascii="Times New Roman" w:hAnsi="Times New Roman" w:cs="Times New Roman"/>
          <w:sz w:val="24"/>
          <w:szCs w:val="24"/>
        </w:rPr>
        <w:t xml:space="preserve">2.1. </w:t>
      </w:r>
      <w:r w:rsidR="00CB3B25" w:rsidRPr="005244BD">
        <w:rPr>
          <w:rFonts w:ascii="Times New Roman" w:hAnsi="Times New Roman" w:cs="Times New Roman"/>
          <w:sz w:val="24"/>
          <w:szCs w:val="24"/>
        </w:rPr>
        <w:t xml:space="preserve">NAPL biodegradation </w:t>
      </w:r>
      <w:r w:rsidR="0015549A" w:rsidRPr="005244BD">
        <w:rPr>
          <w:rFonts w:ascii="Times New Roman" w:hAnsi="Times New Roman" w:cs="Times New Roman"/>
          <w:sz w:val="24"/>
          <w:szCs w:val="24"/>
        </w:rPr>
        <w:t>and</w:t>
      </w:r>
      <w:r w:rsidR="00CB3B25" w:rsidRPr="005244BD">
        <w:rPr>
          <w:rFonts w:ascii="Times New Roman" w:hAnsi="Times New Roman" w:cs="Times New Roman"/>
          <w:sz w:val="24"/>
          <w:szCs w:val="24"/>
        </w:rPr>
        <w:t xml:space="preserve"> dissolution modelling </w:t>
      </w:r>
    </w:p>
    <w:p w14:paraId="33DB28C8" w14:textId="1ABA6521" w:rsidR="008B6601" w:rsidRPr="005244BD" w:rsidRDefault="00F02D32" w:rsidP="008E66F8">
      <w:pPr>
        <w:spacing w:before="240" w:line="480" w:lineRule="auto"/>
        <w:jc w:val="both"/>
        <w:rPr>
          <w:rFonts w:asciiTheme="majorBidi" w:eastAsiaTheme="minorEastAsia" w:hAnsiTheme="majorBidi" w:cstheme="majorBidi"/>
          <w:iCs/>
          <w:szCs w:val="18"/>
        </w:rPr>
      </w:pPr>
      <w:r w:rsidRPr="005244BD">
        <w:rPr>
          <w:rFonts w:asciiTheme="majorBidi" w:eastAsiaTheme="minorEastAsia" w:hAnsiTheme="majorBidi" w:cstheme="majorBidi"/>
          <w:iCs/>
          <w:szCs w:val="18"/>
        </w:rPr>
        <w:t xml:space="preserve">Bacteria and microbes usually aggregate and adhere to the solid surfaces and form a cluster of microbes as a biofilm attached to the surface </w:t>
      </w:r>
      <w:r w:rsidRPr="005244BD">
        <w:rPr>
          <w:rFonts w:asciiTheme="majorBidi" w:eastAsiaTheme="minorEastAsia" w:hAnsiTheme="majorBidi" w:cstheme="majorBidi"/>
          <w:iCs/>
        </w:rPr>
        <w:fldChar w:fldCharType="begin" w:fldLock="1"/>
      </w:r>
      <w:r w:rsidR="00BF6D87" w:rsidRPr="005244BD">
        <w:rPr>
          <w:rFonts w:asciiTheme="majorBidi" w:eastAsiaTheme="minorEastAsia" w:hAnsiTheme="majorBidi" w:cstheme="majorBidi"/>
          <w:iCs/>
        </w:rPr>
        <w:instrText>ADDIN CSL_CITATION {"citationItems":[{"id":"ITEM-1","itemData":{"author":[{"dropping-particle":"","family":"Costerton","given":"J William","non-dropping-particle":"","parse-names":false,"suffix":""},{"dropping-particle":"","family":"Stewart","given":"Philip S","non-dropping-particle":"","parse-names":false,"suffix":""},{"dropping-particle":"","family":"Greenberg","given":"E Peter","non-dropping-particle":"","parse-names":false,"suffix":""}],"container-title":"science","id":"ITEM-1","issue":"5418","issued":{"date-parts":[["1999"]]},"page":"1318-1322","publisher":"American Association for the Advancement of Science","title":"Bacterial biofilms: a common cause of persistent infections","type":"article-journal","volume":"284"},"uris":["http://www.mendeley.com/documents/?uuid=9236d024-96e2-4b21-8421-c76ce87122e2","http://www.mendeley.com/documents/?uuid=d116d30d-df48-4a3f-a588-0e2ea7dc363d"]}],"mendeley":{"formattedCitation":"(Costerton et al., 1999)","plainTextFormattedCitation":"(Costerton et al., 1999)","previouslyFormattedCitation":"(Costerton et al., 1999)"},"properties":{"noteIndex":0},"schema":"https://github.com/citation-style-language/schema/raw/master/csl-citation.json"}</w:instrText>
      </w:r>
      <w:r w:rsidRPr="005244BD">
        <w:rPr>
          <w:rFonts w:asciiTheme="majorBidi" w:eastAsiaTheme="minorEastAsia" w:hAnsiTheme="majorBidi" w:cstheme="majorBidi"/>
          <w:iCs/>
        </w:rPr>
        <w:fldChar w:fldCharType="separate"/>
      </w:r>
      <w:r w:rsidR="007E3CAF" w:rsidRPr="005244BD">
        <w:rPr>
          <w:rFonts w:asciiTheme="majorBidi" w:eastAsiaTheme="minorEastAsia" w:hAnsiTheme="majorBidi" w:cstheme="majorBidi"/>
          <w:iCs/>
          <w:noProof/>
        </w:rPr>
        <w:t>(Costerton et al., 1999)</w:t>
      </w:r>
      <w:r w:rsidRPr="005244BD">
        <w:rPr>
          <w:rFonts w:asciiTheme="majorBidi" w:eastAsiaTheme="minorEastAsia" w:hAnsiTheme="majorBidi" w:cstheme="majorBidi"/>
          <w:iCs/>
        </w:rPr>
        <w:fldChar w:fldCharType="end"/>
      </w:r>
      <w:r w:rsidRPr="005244BD">
        <w:rPr>
          <w:rFonts w:asciiTheme="majorBidi" w:eastAsiaTheme="minorEastAsia" w:hAnsiTheme="majorBidi" w:cstheme="majorBidi"/>
          <w:iCs/>
        </w:rPr>
        <w:t xml:space="preserve">. </w:t>
      </w:r>
      <w:r w:rsidR="00295A6F" w:rsidRPr="005244BD">
        <w:rPr>
          <w:rFonts w:asciiTheme="majorBidi" w:eastAsiaTheme="minorEastAsia" w:hAnsiTheme="majorBidi" w:cstheme="majorBidi"/>
          <w:iCs/>
        </w:rPr>
        <w:t>The impact of cell morphology on biofilm architecture and competition was studied by</w:t>
      </w:r>
      <w:r w:rsidR="000624C3" w:rsidRPr="005244BD">
        <w:rPr>
          <w:rFonts w:asciiTheme="majorBidi" w:eastAsiaTheme="minorEastAsia" w:hAnsiTheme="majorBidi" w:cstheme="majorBidi"/>
          <w:iCs/>
        </w:rPr>
        <w:t xml:space="preserve"> </w:t>
      </w:r>
      <w:r w:rsidR="000624C3" w:rsidRPr="005244BD">
        <w:rPr>
          <w:rFonts w:asciiTheme="majorBidi" w:eastAsiaTheme="minorEastAsia" w:hAnsiTheme="majorBidi" w:cstheme="majorBidi"/>
          <w:iCs/>
        </w:rPr>
        <w:fldChar w:fldCharType="begin" w:fldLock="1"/>
      </w:r>
      <w:r w:rsidR="00BF6D87" w:rsidRPr="005244BD">
        <w:rPr>
          <w:rFonts w:asciiTheme="majorBidi" w:eastAsiaTheme="minorEastAsia" w:hAnsiTheme="majorBidi" w:cstheme="majorBidi"/>
          <w:iCs/>
        </w:rPr>
        <w:instrText>ADDIN CSL_CITATION {"citationItems":[{"id":"ITEM-1","itemData":{"author":[{"dropping-particle":"","family":"Smith","given":"William P J","non-dropping-particle":"","parse-names":false,"suffix":""},{"dropping-particle":"","family":"Davit","given":"Yohan","non-dropping-particle":"","parse-names":false,"suffix":""},{"dropping-particle":"","family":"Osborne","given":"James M","non-dropping-particle":"","parse-names":false,"suffix":""},{"dropping-particle":"","family":"Kim","given":"Wook","non-dropping-particle":"","parse-names":false,"suffix":""},{"dropping-particle":"","family":"Foster","given":"Kevin R","non-dropping-particle":"","parse-names":false,"suffix":""},{"dropping-particle":"","family":"Pitt-Francis","given":"Joe M","non-dropping-particle":"","parse-names":false,"suffix":""}],"container-title":"Proceedings of the National Academy of Sciences","id":"ITEM-1","issue":"3","issued":{"date-parts":[["2017"]]},"page":"E280--E286","publisher":"National Acad Sciences","title":"Cell morphology drives spatial patterning in microbial communities","type":"article-journal","volume":"114"},"uris":["http://www.mendeley.com/documents/?uuid=01b65e7c-6b85-49f0-acee-f71443705203","http://www.mendeley.com/documents/?uuid=b0ba2a87-f8b2-4309-8b44-79f0a2f21afb"]}],"mendeley":{"formattedCitation":"(Smith et al., 2017)","manualFormatting":"Smith et al., 2017","plainTextFormattedCitation":"(Smith et al., 2017)","previouslyFormattedCitation":"(Smith et al., 2017)"},"properties":{"noteIndex":0},"schema":"https://github.com/citation-style-language/schema/raw/master/csl-citation.json"}</w:instrText>
      </w:r>
      <w:r w:rsidR="000624C3" w:rsidRPr="005244BD">
        <w:rPr>
          <w:rFonts w:asciiTheme="majorBidi" w:eastAsiaTheme="minorEastAsia" w:hAnsiTheme="majorBidi" w:cstheme="majorBidi"/>
          <w:iCs/>
        </w:rPr>
        <w:fldChar w:fldCharType="separate"/>
      </w:r>
      <w:r w:rsidR="000624C3" w:rsidRPr="005244BD">
        <w:rPr>
          <w:rFonts w:asciiTheme="majorBidi" w:eastAsiaTheme="minorEastAsia" w:hAnsiTheme="majorBidi" w:cstheme="majorBidi"/>
          <w:iCs/>
          <w:noProof/>
        </w:rPr>
        <w:t>Smith et al., 2017</w:t>
      </w:r>
      <w:r w:rsidR="000624C3" w:rsidRPr="005244BD">
        <w:rPr>
          <w:rFonts w:asciiTheme="majorBidi" w:eastAsiaTheme="minorEastAsia" w:hAnsiTheme="majorBidi" w:cstheme="majorBidi"/>
          <w:iCs/>
        </w:rPr>
        <w:fldChar w:fldCharType="end"/>
      </w:r>
      <w:r w:rsidR="000624C3" w:rsidRPr="005244BD">
        <w:rPr>
          <w:rFonts w:asciiTheme="majorBidi" w:eastAsiaTheme="minorEastAsia" w:hAnsiTheme="majorBidi" w:cstheme="majorBidi"/>
          <w:iCs/>
        </w:rPr>
        <w:t>.</w:t>
      </w:r>
      <w:r w:rsidR="00295A6F" w:rsidRPr="005244BD">
        <w:rPr>
          <w:rFonts w:asciiTheme="majorBidi" w:eastAsiaTheme="minorEastAsia" w:hAnsiTheme="majorBidi" w:cstheme="majorBidi"/>
          <w:iCs/>
        </w:rPr>
        <w:t xml:space="preserve"> </w:t>
      </w:r>
      <w:r w:rsidRPr="005244BD">
        <w:rPr>
          <w:rFonts w:asciiTheme="majorBidi" w:eastAsiaTheme="minorEastAsia" w:hAnsiTheme="majorBidi" w:cstheme="majorBidi"/>
          <w:iCs/>
        </w:rPr>
        <w:t xml:space="preserve">The biofilms exist in the pores and throats where a sufficient nutrient is available. As shown in </w:t>
      </w:r>
      <w:r w:rsidRPr="005244BD">
        <w:rPr>
          <w:rFonts w:asciiTheme="majorBidi" w:eastAsiaTheme="minorEastAsia" w:hAnsiTheme="majorBidi" w:cstheme="majorBidi"/>
          <w:iCs/>
        </w:rPr>
        <w:fldChar w:fldCharType="begin"/>
      </w:r>
      <w:r w:rsidRPr="005244BD">
        <w:rPr>
          <w:rFonts w:asciiTheme="majorBidi" w:eastAsiaTheme="minorEastAsia" w:hAnsiTheme="majorBidi" w:cstheme="majorBidi"/>
          <w:iCs/>
        </w:rPr>
        <w:instrText xml:space="preserve"> REF _Ref15380272 \h  \* MERGEFORMAT </w:instrText>
      </w:r>
      <w:r w:rsidRPr="005244BD">
        <w:rPr>
          <w:rFonts w:asciiTheme="majorBidi" w:eastAsiaTheme="minorEastAsia" w:hAnsiTheme="majorBidi" w:cstheme="majorBidi"/>
          <w:iCs/>
        </w:rPr>
      </w:r>
      <w:r w:rsidRPr="005244BD">
        <w:rPr>
          <w:rFonts w:asciiTheme="majorBidi" w:eastAsiaTheme="minorEastAsia" w:hAnsiTheme="majorBidi" w:cstheme="majorBidi"/>
          <w:iCs/>
        </w:rPr>
        <w:fldChar w:fldCharType="separate"/>
      </w:r>
      <w:r w:rsidR="00EE0F85" w:rsidRPr="00EE0F85">
        <w:rPr>
          <w:rFonts w:asciiTheme="majorBidi" w:eastAsiaTheme="minorEastAsia" w:hAnsiTheme="majorBidi" w:cstheme="majorBidi"/>
          <w:b/>
          <w:bCs/>
          <w:iCs/>
        </w:rPr>
        <w:t>Figure</w:t>
      </w:r>
      <w:r w:rsidR="00EE0F85" w:rsidRPr="005244BD">
        <w:rPr>
          <w:rFonts w:asciiTheme="majorBidi" w:eastAsiaTheme="minorEastAsia" w:hAnsiTheme="majorBidi" w:cstheme="majorBidi"/>
          <w:b/>
          <w:bCs/>
          <w:iCs/>
          <w:sz w:val="20"/>
          <w:szCs w:val="20"/>
        </w:rPr>
        <w:t xml:space="preserve"> </w:t>
      </w:r>
      <w:r w:rsidR="00EE0F85">
        <w:rPr>
          <w:rFonts w:asciiTheme="majorBidi" w:eastAsiaTheme="minorEastAsia" w:hAnsiTheme="majorBidi" w:cstheme="majorBidi"/>
          <w:b/>
          <w:bCs/>
          <w:iCs/>
          <w:noProof/>
          <w:sz w:val="20"/>
          <w:szCs w:val="20"/>
        </w:rPr>
        <w:t>1</w:t>
      </w:r>
      <w:r w:rsidRPr="005244BD">
        <w:rPr>
          <w:rFonts w:asciiTheme="majorBidi" w:eastAsiaTheme="minorEastAsia" w:hAnsiTheme="majorBidi" w:cstheme="majorBidi"/>
          <w:iCs/>
        </w:rPr>
        <w:fldChar w:fldCharType="end"/>
      </w:r>
      <w:r w:rsidRPr="005244BD">
        <w:rPr>
          <w:rFonts w:asciiTheme="majorBidi" w:eastAsiaTheme="minorEastAsia" w:hAnsiTheme="majorBidi" w:cstheme="majorBidi"/>
          <w:iCs/>
        </w:rPr>
        <w:t>(a), the immobile biofilm phase is considered in the pore network that adheres to the pore and throat</w:t>
      </w:r>
      <w:r w:rsidRPr="005244BD">
        <w:rPr>
          <w:rFonts w:asciiTheme="majorBidi" w:eastAsiaTheme="minorEastAsia" w:hAnsiTheme="majorBidi" w:cstheme="majorBidi"/>
          <w:iCs/>
          <w:szCs w:val="18"/>
        </w:rPr>
        <w:t xml:space="preserve"> surfaces</w:t>
      </w:r>
      <w:r w:rsidRPr="005244BD">
        <w:rPr>
          <w:rFonts w:asciiTheme="majorBidi" w:eastAsiaTheme="minorEastAsia" w:hAnsiTheme="majorBidi" w:cstheme="majorBidi"/>
          <w:iCs/>
        </w:rPr>
        <w:t xml:space="preserve"> (t</w:t>
      </w:r>
      <w:r w:rsidRPr="005244BD">
        <w:rPr>
          <w:rFonts w:asciiTheme="majorBidi" w:eastAsiaTheme="minorEastAsia" w:hAnsiTheme="majorBidi" w:cstheme="majorBidi"/>
          <w:iCs/>
          <w:szCs w:val="18"/>
        </w:rPr>
        <w:t xml:space="preserve">he biofilm is considered as a uniform thickness in the pores and throats). </w:t>
      </w:r>
      <w:r w:rsidR="00CE396A" w:rsidRPr="005244BD">
        <w:rPr>
          <w:rFonts w:asciiTheme="majorBidi" w:eastAsiaTheme="minorEastAsia" w:hAnsiTheme="majorBidi" w:cstheme="majorBidi"/>
          <w:iCs/>
          <w:szCs w:val="18"/>
        </w:rPr>
        <w:t>Bacterial population</w:t>
      </w:r>
      <w:r w:rsidR="009E3B64" w:rsidRPr="005244BD">
        <w:rPr>
          <w:rFonts w:asciiTheme="majorBidi" w:eastAsiaTheme="minorEastAsia" w:hAnsiTheme="majorBidi" w:cstheme="majorBidi"/>
          <w:iCs/>
          <w:szCs w:val="18"/>
        </w:rPr>
        <w:t>s are considered to</w:t>
      </w:r>
      <w:r w:rsidR="00CE396A" w:rsidRPr="005244BD">
        <w:rPr>
          <w:rFonts w:asciiTheme="majorBidi" w:eastAsiaTheme="minorEastAsia" w:hAnsiTheme="majorBidi" w:cstheme="majorBidi"/>
          <w:iCs/>
          <w:szCs w:val="18"/>
        </w:rPr>
        <w:t xml:space="preserve"> grow as biofilm</w:t>
      </w:r>
      <w:r w:rsidR="00C25D38" w:rsidRPr="005244BD">
        <w:rPr>
          <w:rFonts w:asciiTheme="majorBidi" w:eastAsiaTheme="minorEastAsia" w:hAnsiTheme="majorBidi" w:cstheme="majorBidi"/>
          <w:iCs/>
          <w:szCs w:val="18"/>
        </w:rPr>
        <w:t xml:space="preserve"> (biomass phase)</w:t>
      </w:r>
      <w:r w:rsidR="00CE396A" w:rsidRPr="005244BD">
        <w:rPr>
          <w:rFonts w:asciiTheme="majorBidi" w:eastAsiaTheme="minorEastAsia" w:hAnsiTheme="majorBidi" w:cstheme="majorBidi"/>
          <w:iCs/>
          <w:szCs w:val="18"/>
        </w:rPr>
        <w:t xml:space="preserve"> on the walls of throats and water-filled pores</w:t>
      </w:r>
      <w:r w:rsidR="00C25D38" w:rsidRPr="005244BD">
        <w:rPr>
          <w:rFonts w:asciiTheme="majorBidi" w:eastAsiaTheme="minorEastAsia" w:hAnsiTheme="majorBidi" w:cstheme="majorBidi"/>
          <w:iCs/>
          <w:szCs w:val="18"/>
        </w:rPr>
        <w:t xml:space="preserve"> (on the rock surface)</w:t>
      </w:r>
      <w:r w:rsidR="008E66F8" w:rsidRPr="005244BD">
        <w:rPr>
          <w:rFonts w:asciiTheme="majorBidi" w:eastAsiaTheme="minorEastAsia" w:hAnsiTheme="majorBidi" w:cstheme="majorBidi"/>
          <w:iCs/>
          <w:szCs w:val="18"/>
        </w:rPr>
        <w:t>. T</w:t>
      </w:r>
      <w:r w:rsidR="006970C9" w:rsidRPr="005244BD">
        <w:rPr>
          <w:rFonts w:asciiTheme="majorBidi" w:eastAsiaTheme="minorEastAsia" w:hAnsiTheme="majorBidi" w:cstheme="majorBidi"/>
          <w:iCs/>
          <w:szCs w:val="18"/>
        </w:rPr>
        <w:t>he biomass phase</w:t>
      </w:r>
      <w:r w:rsidR="00C25D38" w:rsidRPr="005244BD">
        <w:rPr>
          <w:rFonts w:asciiTheme="majorBidi" w:eastAsiaTheme="minorEastAsia" w:hAnsiTheme="majorBidi" w:cstheme="majorBidi"/>
          <w:iCs/>
          <w:szCs w:val="18"/>
        </w:rPr>
        <w:t xml:space="preserve"> in the NAPL-filled pore</w:t>
      </w:r>
      <w:r w:rsidR="006970C9" w:rsidRPr="005244BD">
        <w:rPr>
          <w:rFonts w:asciiTheme="majorBidi" w:eastAsiaTheme="minorEastAsia" w:hAnsiTheme="majorBidi" w:cstheme="majorBidi"/>
          <w:iCs/>
          <w:szCs w:val="18"/>
        </w:rPr>
        <w:t xml:space="preserve"> is assumed to be made of micro-colonies </w:t>
      </w:r>
      <w:r w:rsidR="006970C9"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Baveye","given":"Philippe","non-dropping-particle":"","parse-names":false,"suffix":""},{"dropping-particle":"","family":"Valocchi","given":"Albert","non-dropping-particle":"","parse-names":false,"suffix":""}],"container-title":"Water Resources Research","id":"ITEM-1","issue":"6","issued":{"date-parts":[["1989"]]},"page":"1413-1421","publisher":"Wiley Online Library","title":"An evaluation of mathematical models of the transport of biologically reacting solutes in saturated soils and aquifers","type":"article-journal","volume":"25"},"uris":["http://www.mendeley.com/documents/?uuid=c1ddbcbf-d5a4-4c92-a0d0-99cea48358bb","http://www.mendeley.com/documents/?uuid=2c840fba-37c2-43c2-b0ee-cd0ccf713021"]}],"mendeley":{"formattedCitation":"(Baveye &amp; Valocchi, 1989)","plainTextFormattedCitation":"(Baveye &amp; Valocchi, 1989)","previouslyFormattedCitation":"(Baveye &amp; Valocchi, 1989)"},"properties":{"noteIndex":0},"schema":"https://github.com/citation-style-language/schema/raw/master/csl-citation.json"}</w:instrText>
      </w:r>
      <w:r w:rsidR="006970C9" w:rsidRPr="005244BD">
        <w:rPr>
          <w:rFonts w:asciiTheme="majorBidi" w:eastAsiaTheme="minorEastAsia" w:hAnsiTheme="majorBidi" w:cstheme="majorBidi"/>
          <w:iCs/>
          <w:szCs w:val="18"/>
        </w:rPr>
        <w:fldChar w:fldCharType="separate"/>
      </w:r>
      <w:r w:rsidR="006970C9" w:rsidRPr="005244BD">
        <w:rPr>
          <w:rFonts w:asciiTheme="majorBidi" w:eastAsiaTheme="minorEastAsia" w:hAnsiTheme="majorBidi" w:cstheme="majorBidi"/>
          <w:iCs/>
          <w:noProof/>
          <w:szCs w:val="18"/>
        </w:rPr>
        <w:t>(Baveye &amp; Valocchi, 1989)</w:t>
      </w:r>
      <w:r w:rsidR="006970C9" w:rsidRPr="005244BD">
        <w:rPr>
          <w:rFonts w:asciiTheme="majorBidi" w:eastAsiaTheme="minorEastAsia" w:hAnsiTheme="majorBidi" w:cstheme="majorBidi"/>
          <w:iCs/>
          <w:szCs w:val="18"/>
        </w:rPr>
        <w:fldChar w:fldCharType="end"/>
      </w:r>
      <w:r w:rsidR="008E66F8" w:rsidRPr="005244BD">
        <w:rPr>
          <w:rFonts w:asciiTheme="majorBidi" w:eastAsiaTheme="minorEastAsia" w:hAnsiTheme="majorBidi" w:cstheme="majorBidi"/>
          <w:iCs/>
          <w:szCs w:val="18"/>
        </w:rPr>
        <w:t xml:space="preserve"> </w:t>
      </w:r>
      <w:r w:rsidR="00CE396A" w:rsidRPr="005244BD">
        <w:rPr>
          <w:rFonts w:asciiTheme="majorBidi" w:eastAsiaTheme="minorEastAsia" w:hAnsiTheme="majorBidi" w:cstheme="majorBidi"/>
          <w:iCs/>
          <w:szCs w:val="18"/>
        </w:rPr>
        <w:t xml:space="preserve">which </w:t>
      </w:r>
      <w:r w:rsidR="00870821" w:rsidRPr="005244BD">
        <w:rPr>
          <w:rFonts w:asciiTheme="majorBidi" w:eastAsiaTheme="minorEastAsia" w:hAnsiTheme="majorBidi" w:cstheme="majorBidi"/>
          <w:iCs/>
          <w:szCs w:val="18"/>
        </w:rPr>
        <w:t xml:space="preserve">are </w:t>
      </w:r>
      <w:r w:rsidR="00CE396A" w:rsidRPr="005244BD">
        <w:rPr>
          <w:rFonts w:asciiTheme="majorBidi" w:eastAsiaTheme="minorEastAsia" w:hAnsiTheme="majorBidi" w:cstheme="majorBidi"/>
          <w:iCs/>
          <w:szCs w:val="18"/>
        </w:rPr>
        <w:t>sparsely distributed on the NAPL blob surfaces within NAPL-filled pores (in this work, NAPL is</w:t>
      </w:r>
      <w:r w:rsidR="009E3B64" w:rsidRPr="005244BD">
        <w:rPr>
          <w:rFonts w:asciiTheme="majorBidi" w:eastAsiaTheme="minorEastAsia" w:hAnsiTheme="majorBidi" w:cstheme="majorBidi"/>
          <w:iCs/>
          <w:szCs w:val="18"/>
        </w:rPr>
        <w:t xml:space="preserve"> considered as</w:t>
      </w:r>
      <w:r w:rsidR="00CE396A" w:rsidRPr="005244BD">
        <w:rPr>
          <w:rFonts w:asciiTheme="majorBidi" w:eastAsiaTheme="minorEastAsia" w:hAnsiTheme="majorBidi" w:cstheme="majorBidi"/>
          <w:iCs/>
          <w:szCs w:val="18"/>
        </w:rPr>
        <w:t xml:space="preserve"> trapped only in </w:t>
      </w:r>
      <w:r w:rsidR="009E3B64" w:rsidRPr="005244BD">
        <w:rPr>
          <w:rFonts w:asciiTheme="majorBidi" w:eastAsiaTheme="minorEastAsia" w:hAnsiTheme="majorBidi" w:cstheme="majorBidi"/>
          <w:iCs/>
          <w:szCs w:val="18"/>
        </w:rPr>
        <w:t xml:space="preserve">the </w:t>
      </w:r>
      <w:r w:rsidR="00CE396A" w:rsidRPr="005244BD">
        <w:rPr>
          <w:rFonts w:asciiTheme="majorBidi" w:eastAsiaTheme="minorEastAsia" w:hAnsiTheme="majorBidi" w:cstheme="majorBidi"/>
          <w:iCs/>
          <w:szCs w:val="18"/>
        </w:rPr>
        <w:t xml:space="preserve">pores). While </w:t>
      </w:r>
      <w:r w:rsidR="00E3315B" w:rsidRPr="005244BD">
        <w:rPr>
          <w:rFonts w:asciiTheme="majorBidi" w:eastAsiaTheme="minorEastAsia" w:hAnsiTheme="majorBidi" w:cstheme="majorBidi"/>
          <w:iCs/>
          <w:szCs w:val="18"/>
        </w:rPr>
        <w:t xml:space="preserve">planktonic </w:t>
      </w:r>
      <w:r w:rsidR="00CE396A" w:rsidRPr="005244BD">
        <w:rPr>
          <w:rFonts w:asciiTheme="majorBidi" w:eastAsiaTheme="minorEastAsia" w:hAnsiTheme="majorBidi" w:cstheme="majorBidi"/>
          <w:iCs/>
          <w:szCs w:val="18"/>
        </w:rPr>
        <w:t xml:space="preserve">bacteria are neglected in this work, surfactant-producing bacteria and inhibition effect on bacterial growth due to NAPL toxicity are </w:t>
      </w:r>
      <w:r w:rsidR="00237C6D" w:rsidRPr="005244BD">
        <w:rPr>
          <w:rFonts w:asciiTheme="majorBidi" w:eastAsiaTheme="minorEastAsia" w:hAnsiTheme="majorBidi" w:cstheme="majorBidi"/>
          <w:iCs/>
          <w:szCs w:val="18"/>
        </w:rPr>
        <w:t>considered</w:t>
      </w:r>
      <w:r w:rsidR="00CE396A" w:rsidRPr="005244BD">
        <w:rPr>
          <w:rFonts w:asciiTheme="majorBidi" w:eastAsiaTheme="minorEastAsia" w:hAnsiTheme="majorBidi" w:cstheme="majorBidi"/>
          <w:iCs/>
          <w:szCs w:val="18"/>
        </w:rPr>
        <w:t>.</w:t>
      </w:r>
      <w:r w:rsidR="00D46E1A" w:rsidRPr="005244BD">
        <w:rPr>
          <w:rFonts w:asciiTheme="majorBidi" w:eastAsiaTheme="minorEastAsia" w:hAnsiTheme="majorBidi" w:cstheme="majorBidi"/>
          <w:iCs/>
          <w:szCs w:val="18"/>
        </w:rPr>
        <w:t xml:space="preserve"> </w:t>
      </w:r>
    </w:p>
    <w:p w14:paraId="309BB284" w14:textId="3D42E370" w:rsidR="00D31554" w:rsidRDefault="00A45586" w:rsidP="007B2500">
      <w:pPr>
        <w:spacing w:before="240" w:line="480" w:lineRule="auto"/>
        <w:jc w:val="both"/>
        <w:rPr>
          <w:rFonts w:asciiTheme="majorBidi" w:eastAsiaTheme="minorEastAsia" w:hAnsiTheme="majorBidi" w:cstheme="majorBidi"/>
          <w:iCs/>
          <w:szCs w:val="18"/>
        </w:rPr>
      </w:pPr>
      <w:r w:rsidRPr="005244BD">
        <w:rPr>
          <w:rFonts w:asciiTheme="majorBidi" w:eastAsiaTheme="minorEastAsia" w:hAnsiTheme="majorBidi" w:cstheme="majorBidi"/>
          <w:iCs/>
          <w:szCs w:val="18"/>
        </w:rPr>
        <w:t xml:space="preserve">There have been </w:t>
      </w:r>
      <w:r w:rsidR="00543635" w:rsidRPr="005244BD">
        <w:rPr>
          <w:rFonts w:asciiTheme="majorBidi" w:eastAsiaTheme="minorEastAsia" w:hAnsiTheme="majorBidi" w:cstheme="majorBidi"/>
          <w:iCs/>
          <w:szCs w:val="18"/>
        </w:rPr>
        <w:t>numerous</w:t>
      </w:r>
      <w:r w:rsidRPr="005244BD">
        <w:rPr>
          <w:rFonts w:asciiTheme="majorBidi" w:eastAsiaTheme="minorEastAsia" w:hAnsiTheme="majorBidi" w:cstheme="majorBidi"/>
          <w:iCs/>
          <w:szCs w:val="18"/>
        </w:rPr>
        <w:t xml:space="preserve"> research</w:t>
      </w:r>
      <w:r w:rsidR="00543635" w:rsidRPr="005244BD">
        <w:rPr>
          <w:rFonts w:asciiTheme="majorBidi" w:eastAsiaTheme="minorEastAsia" w:hAnsiTheme="majorBidi" w:cstheme="majorBidi"/>
          <w:iCs/>
          <w:szCs w:val="18"/>
        </w:rPr>
        <w:t xml:space="preserve"> studi</w:t>
      </w:r>
      <w:r w:rsidRPr="005244BD">
        <w:rPr>
          <w:rFonts w:asciiTheme="majorBidi" w:eastAsiaTheme="minorEastAsia" w:hAnsiTheme="majorBidi" w:cstheme="majorBidi"/>
          <w:iCs/>
          <w:szCs w:val="18"/>
        </w:rPr>
        <w:t>es to find the mechanism involved in NAPL dissolution at the pore scale</w:t>
      </w:r>
      <w:r w:rsidR="00543635" w:rsidRPr="005244BD">
        <w:rPr>
          <w:rFonts w:asciiTheme="majorBidi" w:eastAsiaTheme="minorEastAsia" w:hAnsiTheme="majorBidi" w:cstheme="majorBidi"/>
          <w:iCs/>
          <w:szCs w:val="18"/>
        </w:rPr>
        <w:t>,</w:t>
      </w:r>
      <w:r w:rsidRPr="005244BD">
        <w:rPr>
          <w:rFonts w:asciiTheme="majorBidi" w:eastAsiaTheme="minorEastAsia" w:hAnsiTheme="majorBidi" w:cstheme="majorBidi"/>
          <w:iCs/>
          <w:szCs w:val="18"/>
        </w:rPr>
        <w:t xml:space="preserve"> and different models have been used for the pore network modelling. For example, </w:t>
      </w:r>
      <w:r w:rsidRPr="005244BD">
        <w:rPr>
          <w:rFonts w:asciiTheme="majorBidi" w:eastAsiaTheme="minorEastAsia" w:hAnsiTheme="majorBidi" w:cstheme="majorBidi"/>
          <w:iCs/>
          <w:szCs w:val="18"/>
        </w:rPr>
        <w:fldChar w:fldCharType="begin" w:fldLock="1"/>
      </w:r>
      <w:r w:rsidRPr="005244BD">
        <w:rPr>
          <w:rFonts w:asciiTheme="majorBidi" w:eastAsiaTheme="minorEastAsia" w:hAnsiTheme="majorBidi" w:cstheme="majorBidi"/>
          <w:iCs/>
          <w:szCs w:val="18"/>
        </w:rPr>
        <w:instrText>ADDIN CSL_CITATION {"citationItems":[{"id":"ITEM-1","itemData":{"author":[{"dropping-particle":"","family":"Held","given":"Rudolf J","non-dropping-particle":"","parse-names":false,"suffix":""},{"dropping-particle":"","family":"Celia","given":"Michael A","non-dropping-particle":"","parse-names":false,"suffix":""}],"container-title":"Water Resources Research","id":"ITEM-1","issue":"3","issued":{"date-parts":[["2001"]]},"page":"539-549","publisher":"Wiley Online Library","title":"Pore-scale modeling and upscaling of nonaqueous phase liquid mass transfer","type":"article-journal","volume":"37"},"uris":["http://www.mendeley.com/documents/?uuid=b8cd8cdf-d94d-41fe-a94b-745dc9f74b49"]}],"mendeley":{"formattedCitation":"(Held &amp; Celia, 2001)","manualFormatting":"Held &amp; Celia, (2001)","plainTextFormattedCitation":"(Held &amp; Celia, 2001)","previouslyFormattedCitation":"(Held &amp; Celia, 2001)"},"properties":{"noteIndex":0},"schema":"https://github.com/citation-style-language/schema/raw/master/csl-citation.json"}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Pr="005244BD">
        <w:rPr>
          <w:rFonts w:asciiTheme="majorBidi" w:eastAsiaTheme="minorEastAsia" w:hAnsiTheme="majorBidi" w:cstheme="majorBidi"/>
          <w:iCs/>
          <w:noProof/>
          <w:szCs w:val="18"/>
        </w:rPr>
        <w:t>Held &amp; Celia, (2001)</w:t>
      </w:r>
      <w:r w:rsidRPr="005244BD">
        <w:rPr>
          <w:rFonts w:asciiTheme="majorBidi" w:eastAsiaTheme="minorEastAsia" w:hAnsiTheme="majorBidi" w:cstheme="majorBidi"/>
          <w:iCs/>
          <w:szCs w:val="18"/>
        </w:rPr>
        <w:fldChar w:fldCharType="end"/>
      </w:r>
      <w:r w:rsidRPr="005244BD">
        <w:rPr>
          <w:rFonts w:asciiTheme="majorBidi" w:eastAsiaTheme="minorEastAsia" w:hAnsiTheme="majorBidi" w:cstheme="majorBidi"/>
          <w:iCs/>
          <w:szCs w:val="18"/>
        </w:rPr>
        <w:t>, assume</w:t>
      </w:r>
      <w:r w:rsidR="00543635" w:rsidRPr="005244BD">
        <w:rPr>
          <w:rFonts w:asciiTheme="majorBidi" w:eastAsiaTheme="minorEastAsia" w:hAnsiTheme="majorBidi" w:cstheme="majorBidi"/>
          <w:iCs/>
          <w:szCs w:val="18"/>
        </w:rPr>
        <w:t>d</w:t>
      </w:r>
      <w:r w:rsidRPr="005244BD">
        <w:rPr>
          <w:rFonts w:asciiTheme="majorBidi" w:eastAsiaTheme="minorEastAsia" w:hAnsiTheme="majorBidi" w:cstheme="majorBidi"/>
          <w:iCs/>
          <w:szCs w:val="18"/>
        </w:rPr>
        <w:t xml:space="preserve"> the NAPL dissolution through the stagnant-layer (e.g. through the </w:t>
      </w:r>
      <w:r w:rsidRPr="005244BD">
        <w:rPr>
          <w:rFonts w:asciiTheme="majorBidi" w:eastAsiaTheme="minorEastAsia" w:hAnsiTheme="majorBidi" w:cstheme="majorBidi"/>
          <w:iCs/>
          <w:szCs w:val="18"/>
        </w:rPr>
        <w:lastRenderedPageBreak/>
        <w:t xml:space="preserve">stagnant throat by considering a linear driving force for the mass transfer between NAPL-filled pores and water-filled pores). </w:t>
      </w:r>
      <w:r w:rsidR="00543635" w:rsidRPr="005244BD">
        <w:rPr>
          <w:rFonts w:asciiTheme="majorBidi" w:eastAsiaTheme="minorEastAsia" w:hAnsiTheme="majorBidi" w:cstheme="majorBidi"/>
          <w:iCs/>
          <w:szCs w:val="18"/>
        </w:rPr>
        <w:t>However, t</w:t>
      </w:r>
      <w:r w:rsidRPr="005244BD">
        <w:rPr>
          <w:rFonts w:asciiTheme="majorBidi" w:eastAsiaTheme="minorEastAsia" w:hAnsiTheme="majorBidi" w:cstheme="majorBidi"/>
          <w:iCs/>
          <w:szCs w:val="18"/>
        </w:rPr>
        <w:t xml:space="preserve">hey did not consider the NAPL dissolution through the corner flow of wetting fluid. This method has been used by other researchers including </w:t>
      </w:r>
      <w:r w:rsidRPr="005244BD">
        <w:rPr>
          <w:rFonts w:asciiTheme="majorBidi" w:eastAsiaTheme="minorEastAsia" w:hAnsiTheme="majorBidi" w:cstheme="majorBidi"/>
          <w:iCs/>
          <w:szCs w:val="18"/>
        </w:rPr>
        <w:fldChar w:fldCharType="begin" w:fldLock="1"/>
      </w:r>
      <w:r w:rsidRPr="005244BD">
        <w:rPr>
          <w:rFonts w:asciiTheme="majorBidi" w:eastAsiaTheme="minorEastAsia" w:hAnsiTheme="majorBidi" w:cstheme="majorBidi"/>
          <w:iCs/>
          <w:szCs w:val="18"/>
        </w:rPr>
        <w:instrText>ADDIN CSL_CITATION {"citationItems":[{"id":"ITEM-1","itemData":{"author":[{"dropping-particle":"","family":"Agaoglu","given":"Berken","non-dropping-particle":"","parse-names":false,"suffix":""},{"dropping-particle":"","family":"Scheytt","given":"Traugott","non-dropping-particle":"","parse-names":false,"suffix":""},{"dropping-particle":"","family":"Copty","given":"Nadim K","non-dropping-particle":"","parse-names":false,"suffix":""}],"container-title":"Advances in water resources","id":"ITEM-1","issued":{"date-parts":[["2016"]]},"page":"138-151","publisher":"Elsevier","title":"Impact of NAPL architecture on interphase mass transfer: A pore network study","type":"article-journal","volume":"95"},"uris":["http://www.mendeley.com/documents/?uuid=b48cc73a-f5d0-4696-aed1-22ad34f86115"]}],"mendeley":{"formattedCitation":"(Agaoglu et al., 2016)","manualFormatting":"(Agaoglu et al., 2016","plainTextFormattedCitation":"(Agaoglu et al., 2016)","previouslyFormattedCitation":"(Agaoglu et al., 2016)"},"properties":{"noteIndex":0},"schema":"https://github.com/citation-style-language/schema/raw/master/csl-citation.json"}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Pr="005244BD">
        <w:rPr>
          <w:rFonts w:asciiTheme="majorBidi" w:eastAsiaTheme="minorEastAsia" w:hAnsiTheme="majorBidi" w:cstheme="majorBidi"/>
          <w:iCs/>
          <w:noProof/>
          <w:szCs w:val="18"/>
        </w:rPr>
        <w:t>(Agaoglu et al., 2016</w:t>
      </w:r>
      <w:r w:rsidRPr="005244BD">
        <w:rPr>
          <w:rFonts w:asciiTheme="majorBidi" w:eastAsiaTheme="minorEastAsia" w:hAnsiTheme="majorBidi" w:cstheme="majorBidi"/>
          <w:iCs/>
          <w:szCs w:val="18"/>
        </w:rPr>
        <w:fldChar w:fldCharType="end"/>
      </w:r>
      <w:r w:rsidRPr="005244BD">
        <w:rPr>
          <w:rFonts w:asciiTheme="majorBidi" w:eastAsiaTheme="minorEastAsia" w:hAnsiTheme="majorBidi" w:cstheme="majorBidi"/>
          <w:iCs/>
          <w:szCs w:val="18"/>
        </w:rPr>
        <w:t xml:space="preserve">, </w:t>
      </w:r>
      <w:r w:rsidRPr="005244BD">
        <w:rPr>
          <w:rFonts w:asciiTheme="majorBidi" w:eastAsiaTheme="minorEastAsia" w:hAnsiTheme="majorBidi" w:cstheme="majorBidi"/>
          <w:iCs/>
          <w:szCs w:val="18"/>
        </w:rPr>
        <w:fldChar w:fldCharType="begin" w:fldLock="1"/>
      </w:r>
      <w:r w:rsidRPr="005244BD">
        <w:rPr>
          <w:rFonts w:asciiTheme="majorBidi" w:eastAsiaTheme="minorEastAsia" w:hAnsiTheme="majorBidi" w:cstheme="majorBidi"/>
          <w:iCs/>
          <w:szCs w:val="18"/>
        </w:rPr>
        <w:instrText>ADDIN CSL_CITATION {"citationItems":[{"id":"ITEM-1","itemData":{"author":[{"dropping-particle":"","family":"Sarikurt","given":"Derya Aydin","non-dropping-particle":"","parse-names":false,"suffix":""},{"dropping-particle":"","family":"Gokdemir","given":"Cagri","non-dropping-particle":"","parse-names":false,"suffix":""},{"dropping-particle":"","family":"Copty","given":"Nadim K","non-dropping-particle":"","parse-names":false,"suffix":""}],"container-title":"Journal of contaminant hydrology","id":"ITEM-1","issued":{"date-parts":[["2017"]]},"page":"67-74","publisher":"Elsevier","title":"Sherwood correlation for dissolution of pooled NAPL in porous media","type":"article-journal","volume":"206"},"uris":["http://www.mendeley.com/documents/?uuid=dbec697b-fdda-431e-9d1f-9c8b0b79d3ad"]}],"mendeley":{"formattedCitation":"(Sarikurt et al., 2017)","manualFormatting":"Sarikurt et al., 2017","plainTextFormattedCitation":"(Sarikurt et al., 2017)","previouslyFormattedCitation":"(Sarikurt et al., 2017)"},"properties":{"noteIndex":0},"schema":"https://github.com/citation-style-language/schema/raw/master/csl-citation.json"}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Pr="005244BD">
        <w:rPr>
          <w:rFonts w:asciiTheme="majorBidi" w:eastAsiaTheme="minorEastAsia" w:hAnsiTheme="majorBidi" w:cstheme="majorBidi"/>
          <w:iCs/>
          <w:noProof/>
          <w:szCs w:val="18"/>
        </w:rPr>
        <w:t>Sarikurt et al., 2017</w:t>
      </w:r>
      <w:r w:rsidRPr="005244BD">
        <w:rPr>
          <w:rFonts w:asciiTheme="majorBidi" w:eastAsiaTheme="minorEastAsia" w:hAnsiTheme="majorBidi" w:cstheme="majorBidi"/>
          <w:iCs/>
          <w:szCs w:val="18"/>
        </w:rPr>
        <w:fldChar w:fldCharType="end"/>
      </w:r>
      <w:r w:rsidRPr="005244BD">
        <w:rPr>
          <w:rFonts w:asciiTheme="majorBidi" w:eastAsiaTheme="minorEastAsia" w:hAnsiTheme="majorBidi" w:cstheme="majorBidi"/>
          <w:iCs/>
          <w:szCs w:val="18"/>
        </w:rPr>
        <w:t xml:space="preserve">, </w:t>
      </w:r>
      <w:r w:rsidRPr="005244BD">
        <w:rPr>
          <w:rFonts w:asciiTheme="majorBidi" w:eastAsiaTheme="minorEastAsia" w:hAnsiTheme="majorBidi" w:cstheme="majorBidi"/>
          <w:iCs/>
          <w:szCs w:val="18"/>
        </w:rPr>
        <w:fldChar w:fldCharType="begin" w:fldLock="1"/>
      </w:r>
      <w:r w:rsidRPr="005244BD">
        <w:rPr>
          <w:rFonts w:asciiTheme="majorBidi" w:eastAsiaTheme="minorEastAsia" w:hAnsiTheme="majorBidi" w:cstheme="majorBidi"/>
          <w:iCs/>
          <w:szCs w:val="18"/>
        </w:rPr>
        <w:instrText>ADDIN CSL_CITATION {"citationItems":[{"id":"ITEM-1","itemData":{"author":[{"dropping-particle":"","family":"Aminnaji","given":"Morteza","non-dropping-particle":"","parse-names":false,"suffix":""},{"dropping-particle":"","family":"Rabbani","given":"Arash","non-dropping-particle":"","parse-names":false,"suffix":""},{"dropping-particle":"","family":"Niasar","given":"Vahid J","non-dropping-particle":"","parse-names":false,"suffix":""},{"dropping-particle":"","family":"Babaei","given":"Masoud","non-dropping-particle":"","parse-names":false,"suffix":""}],"container-title":"Water Resources Research","id":"ITEM-1","issued":{"date-parts":[["2019"]]},"publisher":"Wiley Online Library","title":"Effects of pore-scale heterogeneity on macroscopic NAPL dissolution efficiency: A two-scale numerical simulation study","type":"article-journal"},"uris":["http://www.mendeley.com/documents/?uuid=06a2ffc3-de7c-49ec-a291-cec6342865f1"]}],"mendeley":{"formattedCitation":"(Aminnaji et al., 2019)","manualFormatting":"Aminnaji et al., 2019)","plainTextFormattedCitation":"(Aminnaji et al., 2019)","previouslyFormattedCitation":"(Aminnaji et al., 2019)"},"properties":{"noteIndex":0},"schema":"https://github.com/citation-style-language/schema/raw/master/csl-citation.json"}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Pr="005244BD">
        <w:rPr>
          <w:rFonts w:asciiTheme="majorBidi" w:eastAsiaTheme="minorEastAsia" w:hAnsiTheme="majorBidi" w:cstheme="majorBidi"/>
          <w:iCs/>
          <w:noProof/>
          <w:szCs w:val="18"/>
        </w:rPr>
        <w:t>Aminnaji et al., 2019)</w:t>
      </w:r>
      <w:r w:rsidRPr="005244BD">
        <w:rPr>
          <w:rFonts w:asciiTheme="majorBidi" w:eastAsiaTheme="minorEastAsia" w:hAnsiTheme="majorBidi" w:cstheme="majorBidi"/>
          <w:iCs/>
          <w:szCs w:val="18"/>
        </w:rPr>
        <w:fldChar w:fldCharType="end"/>
      </w:r>
      <w:r w:rsidRPr="005244BD">
        <w:rPr>
          <w:rFonts w:asciiTheme="majorBidi" w:eastAsiaTheme="minorEastAsia" w:hAnsiTheme="majorBidi" w:cstheme="majorBidi"/>
          <w:iCs/>
          <w:szCs w:val="18"/>
        </w:rPr>
        <w:t xml:space="preserve">. </w:t>
      </w:r>
      <w:r w:rsidR="006B1EE8" w:rsidRPr="005244BD">
        <w:rPr>
          <w:rFonts w:asciiTheme="majorBidi" w:eastAsiaTheme="minorEastAsia" w:hAnsiTheme="majorBidi" w:cstheme="majorBidi"/>
          <w:iCs/>
          <w:szCs w:val="18"/>
        </w:rPr>
        <w:t>We would like to note that the assumption of stagnant-layer concept for NAPL dissolution could be over-simpl</w:t>
      </w:r>
      <w:r w:rsidR="006B1EE8">
        <w:rPr>
          <w:rFonts w:asciiTheme="majorBidi" w:eastAsiaTheme="minorEastAsia" w:hAnsiTheme="majorBidi" w:cstheme="majorBidi"/>
          <w:iCs/>
          <w:szCs w:val="18"/>
        </w:rPr>
        <w:t>ifying</w:t>
      </w:r>
      <w:r w:rsidR="006B1EE8" w:rsidRPr="005244BD">
        <w:rPr>
          <w:rFonts w:asciiTheme="majorBidi" w:eastAsiaTheme="minorEastAsia" w:hAnsiTheme="majorBidi" w:cstheme="majorBidi"/>
          <w:iCs/>
          <w:szCs w:val="18"/>
        </w:rPr>
        <w:t xml:space="preserve"> as </w:t>
      </w:r>
      <w:r w:rsidR="006B1EE8" w:rsidRPr="005244BD">
        <w:rPr>
          <w:rFonts w:asciiTheme="majorBidi" w:eastAsiaTheme="minorEastAsia" w:hAnsiTheme="majorBidi" w:cstheme="majorBidi"/>
          <w:iCs/>
          <w:szCs w:val="18"/>
        </w:rPr>
        <w:fldChar w:fldCharType="begin" w:fldLock="1"/>
      </w:r>
      <w:r w:rsidR="00234BF0">
        <w:rPr>
          <w:rFonts w:asciiTheme="majorBidi" w:eastAsiaTheme="minorEastAsia" w:hAnsiTheme="majorBidi" w:cstheme="majorBidi"/>
          <w:iCs/>
          <w:szCs w:val="18"/>
        </w:rPr>
        <w:instrText>ADDIN CSL_CITATION {"citationItems":[{"id":"ITEM-1","itemData":{"author":[{"dropping-particle":"","family":"Sahloul","given":"N A","non-dropping-particle":"","parse-names":false,"suffix":""},{"dropping-particle":"","family":"Ioannidis","given":"M A","non-dropping-particle":"","parse-names":false,"suffix":""},{"dropping-particle":"","family":"Chatzis","given":"I","non-dropping-particle":"","parse-names":false,"suffix":""}],"container-title":"Advances in water resources","id":"ITEM-1","issue":"1","issued":{"date-parts":[["2002"]]},"page":"33-49","publisher":"Elsevier","title":"Dissolution of residual non-aqueous phase liquids in porous media: pore-scale mechanisms and mass transfer rates","type":"article-journal","volume":"25"},"uris":["http://www.mendeley.com/documents/?uuid=8cf496e3-f257-4e42-8ba3-bab589ae015e"]}],"mendeley":{"formattedCitation":"(Sahloul et al., 2002)","manualFormatting":"Sahloul et al., (2002)","plainTextFormattedCitation":"(Sahloul et al., 2002)","previouslyFormattedCitation":"(Sahloul et al., 2002)"},"properties":{"noteIndex":0},"schema":"https://github.com/citation-style-language/schema/raw/master/csl-citation.json"}</w:instrText>
      </w:r>
      <w:r w:rsidR="006B1EE8" w:rsidRPr="005244BD">
        <w:rPr>
          <w:rFonts w:asciiTheme="majorBidi" w:eastAsiaTheme="minorEastAsia" w:hAnsiTheme="majorBidi" w:cstheme="majorBidi"/>
          <w:iCs/>
          <w:szCs w:val="18"/>
        </w:rPr>
        <w:fldChar w:fldCharType="separate"/>
      </w:r>
      <w:r w:rsidR="006B1EE8" w:rsidRPr="005244BD">
        <w:rPr>
          <w:rFonts w:asciiTheme="majorBidi" w:eastAsiaTheme="minorEastAsia" w:hAnsiTheme="majorBidi" w:cstheme="majorBidi"/>
          <w:iCs/>
          <w:noProof/>
          <w:szCs w:val="18"/>
        </w:rPr>
        <w:t>Sahloul et al., (2002)</w:t>
      </w:r>
      <w:r w:rsidR="006B1EE8" w:rsidRPr="005244BD">
        <w:rPr>
          <w:rFonts w:asciiTheme="majorBidi" w:eastAsiaTheme="minorEastAsia" w:hAnsiTheme="majorBidi" w:cstheme="majorBidi"/>
          <w:iCs/>
          <w:szCs w:val="18"/>
        </w:rPr>
        <w:fldChar w:fldCharType="end"/>
      </w:r>
      <w:r w:rsidR="006B1EE8" w:rsidRPr="005244BD">
        <w:rPr>
          <w:rFonts w:asciiTheme="majorBidi" w:eastAsiaTheme="minorEastAsia" w:hAnsiTheme="majorBidi" w:cstheme="majorBidi"/>
          <w:iCs/>
          <w:szCs w:val="18"/>
        </w:rPr>
        <w:t xml:space="preserve"> showed experimentally that the corner flow of water phase (wetting phase) controls the rate of NAPL dissolution. </w:t>
      </w:r>
      <w:r w:rsidR="007B2500">
        <w:rPr>
          <w:rFonts w:asciiTheme="majorBidi" w:eastAsiaTheme="minorEastAsia" w:hAnsiTheme="majorBidi" w:cstheme="majorBidi"/>
          <w:iCs/>
          <w:szCs w:val="18"/>
        </w:rPr>
        <w:t>Additionally</w:t>
      </w:r>
      <w:r w:rsidR="006B1EE8" w:rsidRPr="005244BD">
        <w:rPr>
          <w:rFonts w:asciiTheme="majorBidi" w:eastAsiaTheme="minorEastAsia" w:hAnsiTheme="majorBidi" w:cstheme="majorBidi"/>
          <w:iCs/>
          <w:szCs w:val="18"/>
        </w:rPr>
        <w:t>, there are more complicated and more inclusive modelling methods in literature that had accounted for physical processes such a</w:t>
      </w:r>
      <w:r w:rsidR="007B2500">
        <w:rPr>
          <w:rFonts w:asciiTheme="majorBidi" w:eastAsiaTheme="minorEastAsia" w:hAnsiTheme="majorBidi" w:cstheme="majorBidi"/>
          <w:iCs/>
          <w:szCs w:val="18"/>
        </w:rPr>
        <w:t>s corner flow, corner diffusion</w:t>
      </w:r>
      <w:r w:rsidR="006B1EE8" w:rsidRPr="005244BD">
        <w:rPr>
          <w:rFonts w:asciiTheme="majorBidi" w:eastAsiaTheme="minorEastAsia" w:hAnsiTheme="majorBidi" w:cstheme="majorBidi"/>
          <w:iCs/>
          <w:szCs w:val="18"/>
        </w:rPr>
        <w:t xml:space="preserve"> and convection diffusion, </w:t>
      </w:r>
      <w:r w:rsidR="006B1EE8" w:rsidRPr="005244BD">
        <w:rPr>
          <w:rFonts w:asciiTheme="majorBidi" w:eastAsiaTheme="minorEastAsia" w:hAnsiTheme="majorBidi" w:cstheme="majorBidi"/>
          <w:iCs/>
          <w:szCs w:val="18"/>
        </w:rPr>
        <w:fldChar w:fldCharType="begin" w:fldLock="1"/>
      </w:r>
      <w:r w:rsidR="006B1EE8" w:rsidRPr="005244BD">
        <w:rPr>
          <w:rFonts w:asciiTheme="majorBidi" w:eastAsiaTheme="minorEastAsia" w:hAnsiTheme="majorBidi" w:cstheme="majorBidi"/>
          <w:iCs/>
          <w:szCs w:val="18"/>
        </w:rPr>
        <w:instrText>ADDIN CSL_CITATION {"citationItems":[{"id":"ITEM-1","itemData":{"author":[{"dropping-particle":"","family":"Dillard","given":"Leslie A","non-dropping-particle":"","parse-names":false,"suffix":""},{"dropping-particle":"","family":"Blunt","given":"Martin J","non-dropping-particle":"","parse-names":false,"suffix":""}],"container-title":"Water Resources Research","id":"ITEM-1","issue":"2","issued":{"date-parts":[["2000"]]},"page":"439-454","publisher":"Wiley Online Library","title":"Development of a pore network simulation model to study nonaqueous phase liquid dissolution","type":"article-journal","volume":"36"},"uris":["http://www.mendeley.com/documents/?uuid=86d4aaf8-318a-47aa-9c31-b95cbc5da455"]}],"mendeley":{"formattedCitation":"(Dillard &amp; Blunt, 2000)","manualFormatting":"(Dillard &amp; Blunt, 2000","plainTextFormattedCitation":"(Dillard &amp; Blunt, 2000)","previouslyFormattedCitation":"(Dillard &amp; Blunt, 2000)"},"properties":{"noteIndex":0},"schema":"https://github.com/citation-style-language/schema/raw/master/csl-citation.json"}</w:instrText>
      </w:r>
      <w:r w:rsidR="006B1EE8" w:rsidRPr="005244BD">
        <w:rPr>
          <w:rFonts w:asciiTheme="majorBidi" w:eastAsiaTheme="minorEastAsia" w:hAnsiTheme="majorBidi" w:cstheme="majorBidi"/>
          <w:iCs/>
          <w:szCs w:val="18"/>
        </w:rPr>
        <w:fldChar w:fldCharType="separate"/>
      </w:r>
      <w:r w:rsidR="006B1EE8" w:rsidRPr="005244BD">
        <w:rPr>
          <w:rFonts w:asciiTheme="majorBidi" w:eastAsiaTheme="minorEastAsia" w:hAnsiTheme="majorBidi" w:cstheme="majorBidi"/>
          <w:iCs/>
          <w:noProof/>
          <w:szCs w:val="18"/>
        </w:rPr>
        <w:t>(Dillard &amp; Blunt, 2000</w:t>
      </w:r>
      <w:r w:rsidR="006B1EE8" w:rsidRPr="005244BD">
        <w:rPr>
          <w:rFonts w:asciiTheme="majorBidi" w:eastAsiaTheme="minorEastAsia" w:hAnsiTheme="majorBidi" w:cstheme="majorBidi"/>
          <w:iCs/>
          <w:szCs w:val="18"/>
        </w:rPr>
        <w:fldChar w:fldCharType="end"/>
      </w:r>
      <w:r w:rsidR="006B1EE8" w:rsidRPr="005244BD">
        <w:rPr>
          <w:rFonts w:asciiTheme="majorBidi" w:eastAsiaTheme="minorEastAsia" w:hAnsiTheme="majorBidi" w:cstheme="majorBidi"/>
          <w:iCs/>
          <w:szCs w:val="18"/>
        </w:rPr>
        <w:t xml:space="preserve">, </w:t>
      </w:r>
      <w:r w:rsidR="006B1EE8" w:rsidRPr="005244BD">
        <w:rPr>
          <w:rFonts w:asciiTheme="majorBidi" w:eastAsiaTheme="minorEastAsia" w:hAnsiTheme="majorBidi" w:cstheme="majorBidi"/>
          <w:iCs/>
          <w:szCs w:val="18"/>
        </w:rPr>
        <w:fldChar w:fldCharType="begin" w:fldLock="1"/>
      </w:r>
      <w:r w:rsidR="006B1EE8" w:rsidRPr="005244BD">
        <w:rPr>
          <w:rFonts w:asciiTheme="majorBidi" w:eastAsiaTheme="minorEastAsia" w:hAnsiTheme="majorBidi" w:cstheme="majorBidi"/>
          <w:iCs/>
          <w:szCs w:val="18"/>
        </w:rPr>
        <w:instrText>ADDIN CSL_CITATION {"citationItems":[{"id":"ITEM-1","itemData":{"author":[{"dropping-particle":"","family":"Zhou","given":"Dengen","non-dropping-particle":"","parse-names":false,"suffix":""},{"dropping-particle":"","family":"Dillard","given":"Leslie A","non-dropping-particle":"","parse-names":false,"suffix":""},{"dropping-particle":"","family":"Blunt","given":"Martin J","non-dropping-particle":"","parse-names":false,"suffix":""}],"container-title":"Transport in Porous Media","id":"ITEM-1","issue":"2","issued":{"date-parts":[["2000"]]},"page":"227-255","publisher":"Springer","title":"A physically based model of dissolution of nonaqueous phase liquids in the saturated zone","type":"article-journal","volume":"39"},"uris":["http://www.mendeley.com/documents/?uuid=7e157d98-74b8-46aa-a2f9-8b4b45ea3b06"]}],"mendeley":{"formattedCitation":"(Zhou et al., 2000)","manualFormatting":"Zhou et al., 2000","plainTextFormattedCitation":"(Zhou et al., 2000)","previouslyFormattedCitation":"(Zhou et al., 2000)"},"properties":{"noteIndex":0},"schema":"https://github.com/citation-style-language/schema/raw/master/csl-citation.json"}</w:instrText>
      </w:r>
      <w:r w:rsidR="006B1EE8" w:rsidRPr="005244BD">
        <w:rPr>
          <w:rFonts w:asciiTheme="majorBidi" w:eastAsiaTheme="minorEastAsia" w:hAnsiTheme="majorBidi" w:cstheme="majorBidi"/>
          <w:iCs/>
          <w:szCs w:val="18"/>
        </w:rPr>
        <w:fldChar w:fldCharType="separate"/>
      </w:r>
      <w:r w:rsidR="006B1EE8" w:rsidRPr="005244BD">
        <w:rPr>
          <w:rFonts w:asciiTheme="majorBidi" w:eastAsiaTheme="minorEastAsia" w:hAnsiTheme="majorBidi" w:cstheme="majorBidi"/>
          <w:iCs/>
          <w:noProof/>
          <w:szCs w:val="18"/>
        </w:rPr>
        <w:t>Zhou et al., 2000</w:t>
      </w:r>
      <w:r w:rsidR="006B1EE8" w:rsidRPr="005244BD">
        <w:rPr>
          <w:rFonts w:asciiTheme="majorBidi" w:eastAsiaTheme="minorEastAsia" w:hAnsiTheme="majorBidi" w:cstheme="majorBidi"/>
          <w:iCs/>
          <w:szCs w:val="18"/>
        </w:rPr>
        <w:fldChar w:fldCharType="end"/>
      </w:r>
      <w:r w:rsidR="006B1EE8" w:rsidRPr="005244BD">
        <w:rPr>
          <w:rFonts w:asciiTheme="majorBidi" w:eastAsiaTheme="minorEastAsia" w:hAnsiTheme="majorBidi" w:cstheme="majorBidi"/>
          <w:iCs/>
          <w:szCs w:val="18"/>
        </w:rPr>
        <w:t xml:space="preserve">, </w:t>
      </w:r>
      <w:r w:rsidR="006B1EE8" w:rsidRPr="005244BD">
        <w:rPr>
          <w:rFonts w:asciiTheme="majorBidi" w:eastAsiaTheme="minorEastAsia" w:hAnsiTheme="majorBidi" w:cstheme="majorBidi"/>
          <w:iCs/>
          <w:szCs w:val="18"/>
        </w:rPr>
        <w:fldChar w:fldCharType="begin" w:fldLock="1"/>
      </w:r>
      <w:r w:rsidR="00234BF0">
        <w:rPr>
          <w:rFonts w:asciiTheme="majorBidi" w:eastAsiaTheme="minorEastAsia" w:hAnsiTheme="majorBidi" w:cstheme="majorBidi"/>
          <w:iCs/>
          <w:szCs w:val="18"/>
        </w:rPr>
        <w:instrText>ADDIN CSL_CITATION {"citationItems":[{"id":"ITEM-1","itemData":{"author":[{"dropping-particle":"","family":"Zhao","given":"W","non-dropping-particle":"","parse-names":false,"suffix":""},{"dropping-particle":"","family":"Ioannidis","given":"M A","non-dropping-particle":"","parse-names":false,"suffix":""}],"container-title":"Water resources research","id":"ITEM-1","issue":"10","issued":{"date-parts":[["2003"]]},"publisher":"Wiley Online Library","title":"Pore network simulation of the dissolution of a single-component wetting nonaqueous phase liquid","type":"article-journal","volume":"39"},"uris":["http://www.mendeley.com/documents/?uuid=6ddae14c-3f90-4bdb-a28f-8459980d1053"]}],"mendeley":{"formattedCitation":"(W Zhao &amp; Ioannidis, 2003)","manualFormatting":"Zhao &amp; Ioannidis, 2003","plainTextFormattedCitation":"(W Zhao &amp; Ioannidis, 2003)","previouslyFormattedCitation":"(W Zhao &amp; Ioannidis, 2003)"},"properties":{"noteIndex":0},"schema":"https://github.com/citation-style-language/schema/raw/master/csl-citation.json"}</w:instrText>
      </w:r>
      <w:r w:rsidR="006B1EE8" w:rsidRPr="005244BD">
        <w:rPr>
          <w:rFonts w:asciiTheme="majorBidi" w:eastAsiaTheme="minorEastAsia" w:hAnsiTheme="majorBidi" w:cstheme="majorBidi"/>
          <w:iCs/>
          <w:szCs w:val="18"/>
        </w:rPr>
        <w:fldChar w:fldCharType="separate"/>
      </w:r>
      <w:r w:rsidR="006B1EE8" w:rsidRPr="005244BD">
        <w:rPr>
          <w:rFonts w:asciiTheme="majorBidi" w:eastAsiaTheme="minorEastAsia" w:hAnsiTheme="majorBidi" w:cstheme="majorBidi"/>
          <w:iCs/>
          <w:noProof/>
          <w:szCs w:val="18"/>
        </w:rPr>
        <w:t>Zhao &amp; Ioannidis, 2003</w:t>
      </w:r>
      <w:r w:rsidR="006B1EE8" w:rsidRPr="005244BD">
        <w:rPr>
          <w:rFonts w:asciiTheme="majorBidi" w:eastAsiaTheme="minorEastAsia" w:hAnsiTheme="majorBidi" w:cstheme="majorBidi"/>
          <w:iCs/>
          <w:szCs w:val="18"/>
        </w:rPr>
        <w:fldChar w:fldCharType="end"/>
      </w:r>
      <w:r w:rsidR="006B1EE8" w:rsidRPr="005244BD">
        <w:rPr>
          <w:rFonts w:asciiTheme="majorBidi" w:eastAsiaTheme="minorEastAsia" w:hAnsiTheme="majorBidi" w:cstheme="majorBidi"/>
          <w:iCs/>
          <w:szCs w:val="18"/>
        </w:rPr>
        <w:t xml:space="preserve">, </w:t>
      </w:r>
      <w:r w:rsidR="006B1EE8" w:rsidRPr="005244BD">
        <w:rPr>
          <w:rFonts w:asciiTheme="majorBidi" w:eastAsiaTheme="minorEastAsia" w:hAnsiTheme="majorBidi" w:cstheme="majorBidi"/>
          <w:iCs/>
          <w:szCs w:val="18"/>
        </w:rPr>
        <w:fldChar w:fldCharType="begin" w:fldLock="1"/>
      </w:r>
      <w:r w:rsidR="00234BF0">
        <w:rPr>
          <w:rFonts w:asciiTheme="majorBidi" w:eastAsiaTheme="minorEastAsia" w:hAnsiTheme="majorBidi" w:cstheme="majorBidi"/>
          <w:iCs/>
          <w:szCs w:val="18"/>
        </w:rPr>
        <w:instrText>ADDIN CSL_CITATION {"citationItems":[{"id":"ITEM-1","itemData":{"author":[{"dropping-particle":"","family":"Zhao","given":"Weishu","non-dropping-particle":"","parse-names":false,"suffix":""},{"dropping-particle":"","family":"Ioannidis","given":"Marios A","non-dropping-particle":"","parse-names":false,"suffix":""}],"container-title":"Advances in water resources","id":"ITEM-1","issue":"2","issued":{"date-parts":[["2007"]]},"page":"171-181","publisher":"Elsevier","title":"Effect of NAPL film stability on the dissolution of residual wetting NAPL in porous media: A pore-scale modeling study","type":"article-journal","volume":"30"},"uris":["http://www.mendeley.com/documents/?uuid=068f0572-8dd4-4617-b4cc-6cf218ef86a4"]}],"mendeley":{"formattedCitation":"(Weishu Zhao &amp; Ioannidis, 2007b)","manualFormatting":"Zhao &amp; Ioannidis, 2007b","plainTextFormattedCitation":"(Weishu Zhao &amp; Ioannidis, 2007b)","previouslyFormattedCitation":"(Weishu Zhao &amp; Ioannidis, 2007b)"},"properties":{"noteIndex":0},"schema":"https://github.com/citation-style-language/schema/raw/master/csl-citation.json"}</w:instrText>
      </w:r>
      <w:r w:rsidR="006B1EE8" w:rsidRPr="005244BD">
        <w:rPr>
          <w:rFonts w:asciiTheme="majorBidi" w:eastAsiaTheme="minorEastAsia" w:hAnsiTheme="majorBidi" w:cstheme="majorBidi"/>
          <w:iCs/>
          <w:szCs w:val="18"/>
        </w:rPr>
        <w:fldChar w:fldCharType="separate"/>
      </w:r>
      <w:r w:rsidR="006B1EE8" w:rsidRPr="005244BD">
        <w:rPr>
          <w:rFonts w:asciiTheme="majorBidi" w:eastAsiaTheme="minorEastAsia" w:hAnsiTheme="majorBidi" w:cstheme="majorBidi"/>
          <w:iCs/>
          <w:noProof/>
          <w:szCs w:val="18"/>
        </w:rPr>
        <w:t>Zhao &amp; Ioannidis, 2007b</w:t>
      </w:r>
      <w:r w:rsidR="006B1EE8" w:rsidRPr="005244BD">
        <w:rPr>
          <w:rFonts w:asciiTheme="majorBidi" w:eastAsiaTheme="minorEastAsia" w:hAnsiTheme="majorBidi" w:cstheme="majorBidi"/>
          <w:iCs/>
          <w:szCs w:val="18"/>
        </w:rPr>
        <w:fldChar w:fldCharType="end"/>
      </w:r>
      <w:r w:rsidR="006B1EE8" w:rsidRPr="005244BD">
        <w:rPr>
          <w:rFonts w:asciiTheme="majorBidi" w:eastAsiaTheme="minorEastAsia" w:hAnsiTheme="majorBidi" w:cstheme="majorBidi"/>
          <w:iCs/>
          <w:szCs w:val="18"/>
        </w:rPr>
        <w:t xml:space="preserve">, </w:t>
      </w:r>
      <w:r w:rsidR="006B1EE8" w:rsidRPr="005244BD">
        <w:rPr>
          <w:rFonts w:asciiTheme="majorBidi" w:eastAsiaTheme="minorEastAsia" w:hAnsiTheme="majorBidi" w:cstheme="majorBidi"/>
          <w:iCs/>
          <w:szCs w:val="18"/>
        </w:rPr>
        <w:fldChar w:fldCharType="begin" w:fldLock="1"/>
      </w:r>
      <w:r w:rsidR="00234BF0">
        <w:rPr>
          <w:rFonts w:asciiTheme="majorBidi" w:eastAsiaTheme="minorEastAsia" w:hAnsiTheme="majorBidi" w:cstheme="majorBidi"/>
          <w:iCs/>
          <w:szCs w:val="18"/>
        </w:rPr>
        <w:instrText>ADDIN CSL_CITATION {"citationItems":[{"id":"ITEM-1","itemData":{"author":[{"dropping-particle":"","family":"Zhao","given":"Weishu","non-dropping-particle":"","parse-names":false,"suffix":""},{"dropping-particle":"","family":"Ioannidis","given":"Marios A","non-dropping-particle":"","parse-names":false,"suffix":""}],"container-title":"Transport in porous media","id":"ITEM-1","issue":"3","issued":{"date-parts":[["2007"]]},"page":"495-509","publisher":"Springer","title":"Convective mass transfer across fluid interfaces in straight angular pores","type":"article-journal","volume":"66"},"uris":["http://www.mendeley.com/documents/?uuid=5c292901-d54e-4a99-b348-241f1d550de7"]}],"mendeley":{"formattedCitation":"(Weishu Zhao &amp; Ioannidis, 2007a)","manualFormatting":"Zhao &amp; Ioannidis, 2007a","plainTextFormattedCitation":"(Weishu Zhao &amp; Ioannidis, 2007a)","previouslyFormattedCitation":"(Weishu Zhao &amp; Ioannidis, 2007a)"},"properties":{"noteIndex":0},"schema":"https://github.com/citation-style-language/schema/raw/master/csl-citation.json"}</w:instrText>
      </w:r>
      <w:r w:rsidR="006B1EE8" w:rsidRPr="005244BD">
        <w:rPr>
          <w:rFonts w:asciiTheme="majorBidi" w:eastAsiaTheme="minorEastAsia" w:hAnsiTheme="majorBidi" w:cstheme="majorBidi"/>
          <w:iCs/>
          <w:szCs w:val="18"/>
        </w:rPr>
        <w:fldChar w:fldCharType="separate"/>
      </w:r>
      <w:r w:rsidR="006B1EE8" w:rsidRPr="005244BD">
        <w:rPr>
          <w:rFonts w:asciiTheme="majorBidi" w:eastAsiaTheme="minorEastAsia" w:hAnsiTheme="majorBidi" w:cstheme="majorBidi"/>
          <w:iCs/>
          <w:noProof/>
          <w:szCs w:val="18"/>
        </w:rPr>
        <w:t>Zhao &amp; Ioannidis, 2007a</w:t>
      </w:r>
      <w:r w:rsidR="006B1EE8" w:rsidRPr="005244BD">
        <w:rPr>
          <w:rFonts w:asciiTheme="majorBidi" w:eastAsiaTheme="minorEastAsia" w:hAnsiTheme="majorBidi" w:cstheme="majorBidi"/>
          <w:iCs/>
          <w:szCs w:val="18"/>
        </w:rPr>
        <w:fldChar w:fldCharType="end"/>
      </w:r>
      <w:r w:rsidR="006B1EE8" w:rsidRPr="005244BD">
        <w:rPr>
          <w:rFonts w:asciiTheme="majorBidi" w:eastAsiaTheme="minorEastAsia" w:hAnsiTheme="majorBidi" w:cstheme="majorBidi"/>
          <w:iCs/>
          <w:szCs w:val="18"/>
        </w:rPr>
        <w:t xml:space="preserve">, </w:t>
      </w:r>
      <w:r w:rsidR="006B1EE8" w:rsidRPr="005244BD">
        <w:rPr>
          <w:rFonts w:asciiTheme="majorBidi" w:eastAsiaTheme="minorEastAsia" w:hAnsiTheme="majorBidi" w:cstheme="majorBidi"/>
          <w:iCs/>
          <w:szCs w:val="18"/>
        </w:rPr>
        <w:fldChar w:fldCharType="begin" w:fldLock="1"/>
      </w:r>
      <w:r w:rsidR="00234BF0">
        <w:rPr>
          <w:rFonts w:asciiTheme="majorBidi" w:eastAsiaTheme="minorEastAsia" w:hAnsiTheme="majorBidi" w:cstheme="majorBidi"/>
          <w:iCs/>
          <w:szCs w:val="18"/>
        </w:rPr>
        <w:instrText>ADDIN CSL_CITATION {"citationItems":[{"id":"ITEM-1","itemData":{"author":[{"dropping-particle":"","family":"Zhao","given":"Weishu","non-dropping-particle":"","parse-names":false,"suffix":""},{"dropping-particle":"","family":"Ioannidis","given":"Marios A","non-dropping-particle":"","parse-names":false,"suffix":""}],"container-title":"Advances in water resources","id":"ITEM-1","issue":"1","issued":{"date-parts":[["2011"]]},"page":"2-14","publisher":"Elsevier","title":"Gas exsolution and flow during supersaturated water injection in porous media: I. Pore network modeling","type":"article-journal","volume":"34"},"uris":["http://www.mendeley.com/documents/?uuid=9be152ae-ea88-4e0c-929f-1459efb3537f"]}],"mendeley":{"formattedCitation":"(Weishu Zhao &amp; Ioannidis, 2011)","manualFormatting":"Zhao &amp; Ioannidis, 2011","plainTextFormattedCitation":"(Weishu Zhao &amp; Ioannidis, 2011)","previouslyFormattedCitation":"(Weishu Zhao &amp; Ioannidis, 2011)"},"properties":{"noteIndex":0},"schema":"https://github.com/citation-style-language/schema/raw/master/csl-citation.json"}</w:instrText>
      </w:r>
      <w:r w:rsidR="006B1EE8" w:rsidRPr="005244BD">
        <w:rPr>
          <w:rFonts w:asciiTheme="majorBidi" w:eastAsiaTheme="minorEastAsia" w:hAnsiTheme="majorBidi" w:cstheme="majorBidi"/>
          <w:iCs/>
          <w:szCs w:val="18"/>
        </w:rPr>
        <w:fldChar w:fldCharType="separate"/>
      </w:r>
      <w:r w:rsidR="006B1EE8" w:rsidRPr="005244BD">
        <w:rPr>
          <w:rFonts w:asciiTheme="majorBidi" w:eastAsiaTheme="minorEastAsia" w:hAnsiTheme="majorBidi" w:cstheme="majorBidi"/>
          <w:iCs/>
          <w:noProof/>
          <w:szCs w:val="18"/>
        </w:rPr>
        <w:t>Zhao &amp; Ioannidis, 2011</w:t>
      </w:r>
      <w:r w:rsidR="006B1EE8" w:rsidRPr="005244BD">
        <w:rPr>
          <w:rFonts w:asciiTheme="majorBidi" w:eastAsiaTheme="minorEastAsia" w:hAnsiTheme="majorBidi" w:cstheme="majorBidi"/>
          <w:iCs/>
          <w:szCs w:val="18"/>
        </w:rPr>
        <w:fldChar w:fldCharType="end"/>
      </w:r>
      <w:r w:rsidR="006B1EE8" w:rsidRPr="005244BD">
        <w:rPr>
          <w:rFonts w:asciiTheme="majorBidi" w:eastAsiaTheme="minorEastAsia" w:hAnsiTheme="majorBidi" w:cstheme="majorBidi"/>
          <w:iCs/>
          <w:szCs w:val="18"/>
        </w:rPr>
        <w:t xml:space="preserve">, </w:t>
      </w:r>
      <w:r w:rsidR="006B1EE8" w:rsidRPr="005244BD">
        <w:rPr>
          <w:rFonts w:asciiTheme="majorBidi" w:eastAsiaTheme="minorEastAsia" w:hAnsiTheme="majorBidi" w:cstheme="majorBidi"/>
          <w:iCs/>
          <w:szCs w:val="18"/>
        </w:rPr>
        <w:fldChar w:fldCharType="begin" w:fldLock="1"/>
      </w:r>
      <w:r w:rsidR="006B1EE8" w:rsidRPr="005244BD">
        <w:rPr>
          <w:rFonts w:asciiTheme="majorBidi" w:eastAsiaTheme="minorEastAsia" w:hAnsiTheme="majorBidi" w:cstheme="majorBidi"/>
          <w:iCs/>
          <w:szCs w:val="18"/>
        </w:rPr>
        <w:instrText>ADDIN CSL_CITATION {"citationItems":[{"id":"ITEM-1","itemData":{"author":[{"dropping-particle":"","family":"Huang","given":"Junqi","non-dropping-particle":"","parse-names":false,"suffix":""},{"dropping-particle":"","family":"Christ","given":"John A","non-dropping-particle":"","parse-names":false,"suffix":""},{"dropping-particle":"","family":"Goltz","given":"Mark N","non-dropping-particle":"","parse-names":false,"suffix":""},{"dropping-particle":"","family":"Demond","given":"Avery H","non-dropping-particle":"","parse-names":false,"suffix":""}],"container-title":"Water Resources Research","id":"ITEM-1","issue":"10","issued":{"date-parts":[["2015"]]},"page":"8182-8197","publisher":"Wiley Online Library","title":"Modeling NAPL dissolution from pendular rings in idealized porous media","type":"article-journal","volume":"51"},"uris":["http://www.mendeley.com/documents/?uuid=f842baa1-1eb5-4089-8268-40c7ccea245d"]}],"mendeley":{"formattedCitation":"(Huang et al., 2015)","manualFormatting":"Huang et al., 2015","plainTextFormattedCitation":"(Huang et al., 2015)","previouslyFormattedCitation":"(Huang et al., 2015)"},"properties":{"noteIndex":0},"schema":"https://github.com/citation-style-language/schema/raw/master/csl-citation.json"}</w:instrText>
      </w:r>
      <w:r w:rsidR="006B1EE8" w:rsidRPr="005244BD">
        <w:rPr>
          <w:rFonts w:asciiTheme="majorBidi" w:eastAsiaTheme="minorEastAsia" w:hAnsiTheme="majorBidi" w:cstheme="majorBidi"/>
          <w:iCs/>
          <w:szCs w:val="18"/>
        </w:rPr>
        <w:fldChar w:fldCharType="separate"/>
      </w:r>
      <w:r w:rsidR="006B1EE8" w:rsidRPr="005244BD">
        <w:rPr>
          <w:rFonts w:asciiTheme="majorBidi" w:eastAsiaTheme="minorEastAsia" w:hAnsiTheme="majorBidi" w:cstheme="majorBidi"/>
          <w:iCs/>
          <w:noProof/>
          <w:szCs w:val="18"/>
        </w:rPr>
        <w:t>Huang et al., 2015</w:t>
      </w:r>
      <w:r w:rsidR="006B1EE8" w:rsidRPr="005244BD">
        <w:rPr>
          <w:rFonts w:asciiTheme="majorBidi" w:eastAsiaTheme="minorEastAsia" w:hAnsiTheme="majorBidi" w:cstheme="majorBidi"/>
          <w:iCs/>
          <w:szCs w:val="18"/>
        </w:rPr>
        <w:fldChar w:fldCharType="end"/>
      </w:r>
      <w:r w:rsidR="006B1EE8" w:rsidRPr="005244BD">
        <w:rPr>
          <w:rFonts w:asciiTheme="majorBidi" w:eastAsiaTheme="minorEastAsia" w:hAnsiTheme="majorBidi" w:cstheme="majorBidi"/>
          <w:iCs/>
          <w:szCs w:val="18"/>
        </w:rPr>
        <w:t xml:space="preserve">, </w:t>
      </w:r>
      <w:r w:rsidR="006B1EE8" w:rsidRPr="005244BD">
        <w:rPr>
          <w:rFonts w:asciiTheme="majorBidi" w:eastAsiaTheme="minorEastAsia" w:hAnsiTheme="majorBidi" w:cstheme="majorBidi"/>
          <w:iCs/>
          <w:szCs w:val="18"/>
        </w:rPr>
        <w:fldChar w:fldCharType="begin" w:fldLock="1"/>
      </w:r>
      <w:r w:rsidR="006B1EE8" w:rsidRPr="005244BD">
        <w:rPr>
          <w:rFonts w:asciiTheme="majorBidi" w:eastAsiaTheme="minorEastAsia" w:hAnsiTheme="majorBidi" w:cstheme="majorBidi"/>
          <w:iCs/>
          <w:szCs w:val="18"/>
        </w:rPr>
        <w:instrText>ADDIN CSL_CITATION {"citationItems":[{"id":"ITEM-1","itemData":{"author":[{"dropping-particle":"","family":"Khasi","given":"Saeid","non-dropping-particle":"","parse-names":false,"suffix":""},{"dropping-particle":"","family":"Ramezanzadeh","given":"Mehdi","non-dropping-particle":"","parse-names":false,"suffix":""},{"dropping-particle":"","family":"Ghazanfari","given":"Mohammad H","non-dropping-particle":"","parse-names":false,"suffix":""}],"container-title":"Journal of contaminant hydrology","id":"ITEM-1","issued":{"date-parts":[["2020"]]},"page":"103565","publisher":"Elsevier","title":"Experimentally based pore network modeling of NAPL dissolution process in heterogeneous porous media","type":"article-journal","volume":"228"},"uris":["http://www.mendeley.com/documents/?uuid=73238970-30c0-4c63-92e1-38137717afba"]}],"mendeley":{"formattedCitation":"(Khasi et al., 2020)","manualFormatting":"Khasi et al., 2020)","plainTextFormattedCitation":"(Khasi et al., 2020)","previouslyFormattedCitation":"(Khasi et al., 2020)"},"properties":{"noteIndex":0},"schema":"https://github.com/citation-style-language/schema/raw/master/csl-citation.json"}</w:instrText>
      </w:r>
      <w:r w:rsidR="006B1EE8" w:rsidRPr="005244BD">
        <w:rPr>
          <w:rFonts w:asciiTheme="majorBidi" w:eastAsiaTheme="minorEastAsia" w:hAnsiTheme="majorBidi" w:cstheme="majorBidi"/>
          <w:iCs/>
          <w:szCs w:val="18"/>
        </w:rPr>
        <w:fldChar w:fldCharType="separate"/>
      </w:r>
      <w:r w:rsidR="006B1EE8" w:rsidRPr="005244BD">
        <w:rPr>
          <w:rFonts w:asciiTheme="majorBidi" w:eastAsiaTheme="minorEastAsia" w:hAnsiTheme="majorBidi" w:cstheme="majorBidi"/>
          <w:iCs/>
          <w:noProof/>
          <w:szCs w:val="18"/>
        </w:rPr>
        <w:t>Khasi et al., 2020)</w:t>
      </w:r>
      <w:r w:rsidR="006B1EE8" w:rsidRPr="005244BD">
        <w:rPr>
          <w:rFonts w:asciiTheme="majorBidi" w:eastAsiaTheme="minorEastAsia" w:hAnsiTheme="majorBidi" w:cstheme="majorBidi"/>
          <w:iCs/>
          <w:szCs w:val="18"/>
        </w:rPr>
        <w:fldChar w:fldCharType="end"/>
      </w:r>
      <w:r w:rsidR="006B1EE8" w:rsidRPr="005244BD">
        <w:rPr>
          <w:rFonts w:asciiTheme="majorBidi" w:eastAsiaTheme="minorEastAsia" w:hAnsiTheme="majorBidi" w:cstheme="majorBidi"/>
          <w:iCs/>
          <w:szCs w:val="18"/>
        </w:rPr>
        <w:t xml:space="preserve">. Moreover, ganglion movement and snap-off during the NAPL dissolution and biodegradation </w:t>
      </w:r>
      <w:r w:rsidR="007B2500">
        <w:rPr>
          <w:rFonts w:asciiTheme="majorBidi" w:eastAsiaTheme="minorEastAsia" w:hAnsiTheme="majorBidi" w:cstheme="majorBidi"/>
          <w:iCs/>
          <w:szCs w:val="18"/>
        </w:rPr>
        <w:t>are important</w:t>
      </w:r>
      <w:r w:rsidR="006B1EE8" w:rsidRPr="005244BD">
        <w:rPr>
          <w:rFonts w:asciiTheme="majorBidi" w:eastAsiaTheme="minorEastAsia" w:hAnsiTheme="majorBidi" w:cstheme="majorBidi"/>
          <w:iCs/>
          <w:szCs w:val="18"/>
        </w:rPr>
        <w:t xml:space="preserve"> mechanism</w:t>
      </w:r>
      <w:r w:rsidR="007B2500">
        <w:rPr>
          <w:rFonts w:asciiTheme="majorBidi" w:eastAsiaTheme="minorEastAsia" w:hAnsiTheme="majorBidi" w:cstheme="majorBidi"/>
          <w:iCs/>
          <w:szCs w:val="18"/>
        </w:rPr>
        <w:t>s</w:t>
      </w:r>
      <w:r w:rsidR="006B1EE8" w:rsidRPr="005244BD">
        <w:rPr>
          <w:rFonts w:asciiTheme="majorBidi" w:eastAsiaTheme="minorEastAsia" w:hAnsiTheme="majorBidi" w:cstheme="majorBidi"/>
          <w:iCs/>
          <w:szCs w:val="18"/>
        </w:rPr>
        <w:t xml:space="preserve"> which need to be considered to have a more accurate pore network modelling </w:t>
      </w:r>
      <w:r w:rsidR="007B2500">
        <w:rPr>
          <w:rFonts w:asciiTheme="majorBidi" w:eastAsiaTheme="minorEastAsia" w:hAnsiTheme="majorBidi" w:cstheme="majorBidi"/>
          <w:iCs/>
          <w:szCs w:val="18"/>
        </w:rPr>
        <w:t>for</w:t>
      </w:r>
      <w:r w:rsidR="006B1EE8" w:rsidRPr="005244BD">
        <w:rPr>
          <w:rFonts w:asciiTheme="majorBidi" w:eastAsiaTheme="minorEastAsia" w:hAnsiTheme="majorBidi" w:cstheme="majorBidi"/>
          <w:iCs/>
          <w:szCs w:val="18"/>
        </w:rPr>
        <w:t xml:space="preserve"> the prediction of contamina</w:t>
      </w:r>
      <w:r w:rsidR="006B1EE8">
        <w:rPr>
          <w:rFonts w:asciiTheme="majorBidi" w:eastAsiaTheme="minorEastAsia" w:hAnsiTheme="majorBidi" w:cstheme="majorBidi"/>
          <w:iCs/>
          <w:szCs w:val="18"/>
        </w:rPr>
        <w:t>nt</w:t>
      </w:r>
      <w:r w:rsidR="006B1EE8" w:rsidRPr="005244BD">
        <w:rPr>
          <w:rFonts w:asciiTheme="majorBidi" w:eastAsiaTheme="minorEastAsia" w:hAnsiTheme="majorBidi" w:cstheme="majorBidi"/>
          <w:iCs/>
          <w:szCs w:val="18"/>
        </w:rPr>
        <w:t xml:space="preserve"> remediation. </w:t>
      </w:r>
    </w:p>
    <w:p w14:paraId="35B0BD8B" w14:textId="23F18183" w:rsidR="00A45586" w:rsidRPr="005244BD" w:rsidRDefault="006B1EE8" w:rsidP="000F0AFC">
      <w:pPr>
        <w:spacing w:before="240" w:line="480" w:lineRule="auto"/>
        <w:jc w:val="both"/>
        <w:rPr>
          <w:rFonts w:asciiTheme="majorBidi" w:eastAsiaTheme="minorEastAsia" w:hAnsiTheme="majorBidi" w:cstheme="majorBidi"/>
          <w:iCs/>
          <w:szCs w:val="18"/>
        </w:rPr>
      </w:pPr>
      <w:r w:rsidRPr="005244BD">
        <w:rPr>
          <w:rFonts w:asciiTheme="majorBidi" w:eastAsiaTheme="minorEastAsia" w:hAnsiTheme="majorBidi" w:cstheme="majorBidi"/>
          <w:iCs/>
          <w:szCs w:val="18"/>
        </w:rPr>
        <w:t xml:space="preserve">The concept of ganglion movement and snap-off requires the </w:t>
      </w:r>
      <w:r w:rsidR="00D31554">
        <w:rPr>
          <w:rFonts w:asciiTheme="majorBidi" w:eastAsiaTheme="minorEastAsia" w:hAnsiTheme="majorBidi" w:cstheme="majorBidi"/>
          <w:iCs/>
          <w:szCs w:val="18"/>
        </w:rPr>
        <w:t xml:space="preserve">implementation of a </w:t>
      </w:r>
      <w:r w:rsidRPr="005244BD">
        <w:rPr>
          <w:rFonts w:asciiTheme="majorBidi" w:eastAsiaTheme="minorEastAsia" w:hAnsiTheme="majorBidi" w:cstheme="majorBidi"/>
          <w:iCs/>
          <w:szCs w:val="18"/>
        </w:rPr>
        <w:t xml:space="preserve">dynamic pore network modelling </w:t>
      </w:r>
      <w:r w:rsidRPr="005244BD">
        <w:rPr>
          <w:rFonts w:asciiTheme="majorBidi" w:eastAsiaTheme="minorEastAsia" w:hAnsiTheme="majorBidi" w:cstheme="majorBidi"/>
          <w:iCs/>
          <w:szCs w:val="18"/>
        </w:rPr>
        <w:fldChar w:fldCharType="begin" w:fldLock="1"/>
      </w:r>
      <w:r w:rsidRPr="005244BD">
        <w:rPr>
          <w:rFonts w:asciiTheme="majorBidi" w:eastAsiaTheme="minorEastAsia" w:hAnsiTheme="majorBidi" w:cstheme="majorBidi"/>
          <w:iCs/>
          <w:szCs w:val="18"/>
        </w:rPr>
        <w:instrText>ADDIN CSL_CITATION {"citationItems":[{"id":"ITEM-1","itemData":{"author":[{"dropping-particle":"V","family":"Chrysikopoulos","given":"Constantinos","non-dropping-particle":"","parse-names":false,"suffix":""},{"dropping-particle":"","family":"Vogler","given":"Eric T","non-dropping-particle":"","parse-names":false,"suffix":""}],"container-title":"Transport in Porous Media","id":"ITEM-1","issue":"1","issued":{"date-parts":[["2006"]]},"page":"103-121","publisher":"Springer","title":"Acoustically enhanced ganglia dissolution and mobilization in a monolayer of glass beads","type":"article-journal","volume":"64"},"uris":["http://www.mendeley.com/documents/?uuid=2527e6bd-a6d3-4eb3-b97f-692b30afdd77"]}],"mendeley":{"formattedCitation":"(Chrysikopoulos &amp; Vogler, 2006)","manualFormatting":"(Chrysikopoulos</w:instrText>
      </w:r>
      <w:r w:rsidRPr="00D31554">
        <w:rPr>
          <w:rFonts w:asciiTheme="majorBidi" w:eastAsiaTheme="minorEastAsia" w:hAnsiTheme="majorBidi" w:cstheme="majorBidi"/>
          <w:iCs/>
          <w:szCs w:val="18"/>
        </w:rPr>
        <w:instrText xml:space="preserve"> &amp; Vogler, 2006","pl</w:instrText>
      </w:r>
      <w:r w:rsidRPr="00BE5554">
        <w:rPr>
          <w:rFonts w:asciiTheme="majorBidi" w:eastAsiaTheme="minorEastAsia" w:hAnsiTheme="majorBidi" w:cstheme="majorBidi"/>
          <w:iCs/>
          <w:szCs w:val="18"/>
        </w:rPr>
        <w:instrText>ainTextFormattedCitation":"(Chrysikopoulos &amp; Vogler, 2006)","previouslyFormattedCitation":"(Chrysikopoulos &amp; Vogler, 2006)"},"properties":{"noteIndex":0},"schema":"https://github.com/citation-style-language/schema/raw/master/csl-citation.json"}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Pr="00BE5554">
        <w:rPr>
          <w:rFonts w:asciiTheme="majorBidi" w:eastAsiaTheme="minorEastAsia" w:hAnsiTheme="majorBidi" w:cstheme="majorBidi"/>
          <w:iCs/>
          <w:noProof/>
          <w:szCs w:val="18"/>
        </w:rPr>
        <w:t>(Chrysikopoulos &amp; Vogler, 2006</w:t>
      </w:r>
      <w:r w:rsidRPr="005244BD">
        <w:rPr>
          <w:rFonts w:asciiTheme="majorBidi" w:eastAsiaTheme="minorEastAsia" w:hAnsiTheme="majorBidi" w:cstheme="majorBidi"/>
          <w:iCs/>
          <w:szCs w:val="18"/>
        </w:rPr>
        <w:fldChar w:fldCharType="end"/>
      </w:r>
      <w:r w:rsidRPr="00BE5554">
        <w:rPr>
          <w:rFonts w:asciiTheme="majorBidi" w:eastAsiaTheme="minorEastAsia" w:hAnsiTheme="majorBidi" w:cstheme="majorBidi"/>
          <w:iCs/>
          <w:szCs w:val="18"/>
        </w:rPr>
        <w:t xml:space="preserve">, </w:t>
      </w:r>
      <w:r w:rsidRPr="005244BD">
        <w:rPr>
          <w:rFonts w:asciiTheme="majorBidi" w:eastAsiaTheme="minorEastAsia" w:hAnsiTheme="majorBidi" w:cstheme="majorBidi"/>
          <w:iCs/>
          <w:szCs w:val="18"/>
        </w:rPr>
        <w:fldChar w:fldCharType="begin" w:fldLock="1"/>
      </w:r>
      <w:r w:rsidR="00234BF0">
        <w:rPr>
          <w:rFonts w:asciiTheme="majorBidi" w:eastAsiaTheme="minorEastAsia" w:hAnsiTheme="majorBidi" w:cstheme="majorBidi"/>
          <w:iCs/>
          <w:szCs w:val="18"/>
        </w:rPr>
        <w:instrText>ADDIN CSL_CITATION {"citationItems":[{"id":"ITEM-1","itemData":{"author":[{"dropping-particle":"","family":"Joekar-Niasar","given":"V","non-dropping-particle":"","parse-names":false,"suffix":""},{"dropping-particle":"","family":"Hassanizadeh","given":"S Majid","non-dropping-particle":"","parse-names":false,"suffix":""},{"dropping-particle":"","family":"Dahle","given":"H K","non-dropping-particle":"","parse-names":false,"suffix":""}],"container-title":"Journal of Fluid Mechanics","id":"ITEM-1","issued":{"date-parts":[["2010"]]},"page":"38-71","publisher":"Cambridge University Press","title":"Non-equilibrium effects in capillarity and interfacial area in two-phase flow: dynamic pore-network modelling","type":"article-journal","volume":"655"},"uris":["http://www.mendeley.com/documents/?uuid=7165b9c8-5f49-4159-b1e2-2f144c40665b"]}],"mendeley":{"forma</w:instrText>
      </w:r>
      <w:r w:rsidR="00234BF0" w:rsidRPr="00EE0F85">
        <w:rPr>
          <w:rFonts w:asciiTheme="majorBidi" w:eastAsiaTheme="minorEastAsia" w:hAnsiTheme="majorBidi" w:cstheme="majorBidi"/>
          <w:iCs/>
          <w:szCs w:val="18"/>
          <w:lang w:val="es-MX"/>
        </w:rPr>
        <w:instrText>ttedCitation":"(V Joekar-Niasar et al., 2010)","manualFormatting":"Joekar-Niasar et al., 2010","plainTextFormattedCitation":"(V Joekar-Niasar et al., 2010)","previouslyFormattedCitation":"(V Joekar-Niasar et al., 2010)"},"properties":{"noteIndex":0},"schema":"https://github.com/citation-style-language/schema/raw/master/csl-citation.json"}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Pr="00EE0F85">
        <w:rPr>
          <w:rFonts w:asciiTheme="majorBidi" w:eastAsiaTheme="minorEastAsia" w:hAnsiTheme="majorBidi" w:cstheme="majorBidi"/>
          <w:iCs/>
          <w:noProof/>
          <w:szCs w:val="18"/>
          <w:lang w:val="es-MX"/>
        </w:rPr>
        <w:t>Joekar-Niasar et al., 2010</w:t>
      </w:r>
      <w:r w:rsidRPr="005244BD">
        <w:rPr>
          <w:rFonts w:asciiTheme="majorBidi" w:eastAsiaTheme="minorEastAsia" w:hAnsiTheme="majorBidi" w:cstheme="majorBidi"/>
          <w:iCs/>
          <w:szCs w:val="18"/>
        </w:rPr>
        <w:fldChar w:fldCharType="end"/>
      </w:r>
      <w:r w:rsidRPr="00EE0F85">
        <w:rPr>
          <w:rFonts w:asciiTheme="majorBidi" w:eastAsiaTheme="minorEastAsia" w:hAnsiTheme="majorBidi" w:cstheme="majorBidi"/>
          <w:iCs/>
          <w:szCs w:val="18"/>
          <w:lang w:val="es-MX"/>
        </w:rPr>
        <w:t xml:space="preserve">, </w:t>
      </w:r>
      <w:r w:rsidRPr="005244BD">
        <w:rPr>
          <w:rFonts w:asciiTheme="majorBidi" w:eastAsiaTheme="minorEastAsia" w:hAnsiTheme="majorBidi" w:cstheme="majorBidi"/>
          <w:iCs/>
          <w:szCs w:val="18"/>
        </w:rPr>
        <w:fldChar w:fldCharType="begin" w:fldLock="1"/>
      </w:r>
      <w:r w:rsidR="00234BF0" w:rsidRPr="00EE0F85">
        <w:rPr>
          <w:rFonts w:asciiTheme="majorBidi" w:eastAsiaTheme="minorEastAsia" w:hAnsiTheme="majorBidi" w:cstheme="majorBidi"/>
          <w:iCs/>
          <w:szCs w:val="18"/>
          <w:lang w:val="es-MX"/>
        </w:rPr>
        <w:instrText xml:space="preserve">ADDIN CSL_CITATION {"citationItems":[{"id":"ITEM-1","itemData":{"author":[{"dropping-particle":"","family":"Joekar-Niasar","given":"Vahid","non-dropping-particle":"","parse-names":false,"suffix":""},{"dropping-particle":"","family":"Hassanizadeh","given":"S Majid","non-dropping-particle":"","parse-names":false,"suffix":""}],"container-title":"International Journal of Multiphase Flow","id":"ITEM-1","issue":"2","issued":{"date-parts":[["2011"]]},"page":"198-214","publisher":"Elsevier","title":"Effect of fluids properties on non-equilibrium capillarity </w:instrText>
      </w:r>
      <w:r w:rsidR="00234BF0">
        <w:rPr>
          <w:rFonts w:asciiTheme="majorBidi" w:eastAsiaTheme="minorEastAsia" w:hAnsiTheme="majorBidi" w:cstheme="majorBidi"/>
          <w:iCs/>
          <w:szCs w:val="18"/>
          <w:lang w:val="es-MX"/>
        </w:rPr>
        <w:instrText>effects: Dynamic pore-network modeling","type":"article-journal","volume":"37"},"uris":["http://www.mendeley.com/documents/?uuid=47da7891-dd38-4657-9ae4-7a3882740a4d"]}],"mendeley":{"formattedCitation":"(Vahid Joekar-Niasar &amp; Hassanizadeh, 2011)","manualFormatting":"Joekar-Niasar &amp; Hassanizadeh, 2011","plainTextFormattedCitation":"(Vahid Joekar-Niasar &amp; Hassanizadeh, 2011)","previouslyFormattedCitation":"(Vahid Joekar-Niasar &amp; Hassanizadeh, 2011)"},"properties":{"noteIndex":0},"schema":"https://github.com/citation-style-language/schema/raw/master/csl-citation.json"}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Pr="00D31554">
        <w:rPr>
          <w:rFonts w:asciiTheme="majorBidi" w:eastAsiaTheme="minorEastAsia" w:hAnsiTheme="majorBidi" w:cstheme="majorBidi"/>
          <w:iCs/>
          <w:noProof/>
          <w:szCs w:val="18"/>
          <w:lang w:val="es-MX"/>
        </w:rPr>
        <w:t>Joekar-Niasar &amp; Hassanizadeh, 2011</w:t>
      </w:r>
      <w:r w:rsidRPr="005244BD">
        <w:rPr>
          <w:rFonts w:asciiTheme="majorBidi" w:eastAsiaTheme="minorEastAsia" w:hAnsiTheme="majorBidi" w:cstheme="majorBidi"/>
          <w:iCs/>
          <w:szCs w:val="18"/>
        </w:rPr>
        <w:fldChar w:fldCharType="end"/>
      </w:r>
      <w:r w:rsidRPr="00D31554">
        <w:rPr>
          <w:rFonts w:asciiTheme="majorBidi" w:eastAsiaTheme="minorEastAsia" w:hAnsiTheme="majorBidi" w:cstheme="majorBidi"/>
          <w:iCs/>
          <w:szCs w:val="18"/>
          <w:lang w:val="es-MX"/>
        </w:rPr>
        <w:t xml:space="preserve">, </w:t>
      </w:r>
      <w:r w:rsidRPr="005244BD">
        <w:rPr>
          <w:rFonts w:asciiTheme="majorBidi" w:eastAsiaTheme="minorEastAsia" w:hAnsiTheme="majorBidi" w:cstheme="majorBidi"/>
          <w:iCs/>
          <w:szCs w:val="18"/>
        </w:rPr>
        <w:fldChar w:fldCharType="begin" w:fldLock="1"/>
      </w:r>
      <w:r w:rsidR="00234BF0">
        <w:rPr>
          <w:rFonts w:asciiTheme="majorBidi" w:eastAsiaTheme="minorEastAsia" w:hAnsiTheme="majorBidi" w:cstheme="majorBidi"/>
          <w:iCs/>
          <w:szCs w:val="18"/>
          <w:lang w:val="es-MX"/>
        </w:rPr>
        <w:instrText>ADDIN CSL_CITATION {"citationItems":[{"id":"ITEM-1","itemData":{"author":[{"dropping-particle":"","family":"Joekar-Niasar","given":"V","non-dropping-particle":"","parse-names":false,"suffix":""},{"dropping-particle":"","family":"Hassanizadeh","given":"S M","non-dropping-particle":"","parse-names":false,"suffix":""}],"container-title":"Critical reviews in environmental science and technology","id":"ITEM-1","issue":"18","issued":{"date-parts":[["2012"]]},"page":"1895-1976","publisher":"Taylor &amp; Francis","title":"Analysis of fundamentals of two-phase flow in porous media using dynamic pore-network models: A review","type":"article-journal","volume":"42"},"uris":["http://www.mendeley.com/doc</w:instrText>
      </w:r>
      <w:r w:rsidR="00234BF0" w:rsidRPr="003C518F">
        <w:rPr>
          <w:rFonts w:asciiTheme="majorBidi" w:eastAsiaTheme="minorEastAsia" w:hAnsiTheme="majorBidi" w:cstheme="majorBidi"/>
          <w:iCs/>
          <w:szCs w:val="18"/>
          <w:lang w:val="es-MX"/>
        </w:rPr>
        <w:instrText>uments/?uuid=fd469d9a-3780-463e-a4e0-164bd67851d9"]}],"mendeley":{"formattedCitation":"(V Joekar-Niasar &amp; Hassanizadeh, 2012)","manualFormatting":"Joekar-Niasar &amp; Hassanizadeh, 2012","plainTextFormattedCitation":"(V Joekar-Niasar &amp; Hassanizadeh, 2012)","previouslyFormattedCitation":"(V Joekar-Niasar &amp; Hassanizadeh, 2012)"},"properties":{"noteIndex":0},"schema":"https://github.com/citation-style-language/schema/raw/master/csl-citation.json"}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Pr="003C518F">
        <w:rPr>
          <w:rFonts w:asciiTheme="majorBidi" w:eastAsiaTheme="minorEastAsia" w:hAnsiTheme="majorBidi" w:cstheme="majorBidi"/>
          <w:iCs/>
          <w:noProof/>
          <w:szCs w:val="18"/>
          <w:lang w:val="es-MX"/>
        </w:rPr>
        <w:t>Joekar-Niasar &amp; Hassanizadeh, 2012</w:t>
      </w:r>
      <w:r w:rsidRPr="005244BD">
        <w:rPr>
          <w:rFonts w:asciiTheme="majorBidi" w:eastAsiaTheme="minorEastAsia" w:hAnsiTheme="majorBidi" w:cstheme="majorBidi"/>
          <w:iCs/>
          <w:szCs w:val="18"/>
        </w:rPr>
        <w:fldChar w:fldCharType="end"/>
      </w:r>
      <w:r w:rsidRPr="003C518F">
        <w:rPr>
          <w:rFonts w:asciiTheme="majorBidi" w:eastAsiaTheme="minorEastAsia" w:hAnsiTheme="majorBidi" w:cstheme="majorBidi"/>
          <w:iCs/>
          <w:szCs w:val="18"/>
          <w:lang w:val="es-MX"/>
        </w:rPr>
        <w:t xml:space="preserve">, </w:t>
      </w:r>
      <w:r w:rsidRPr="005244BD">
        <w:rPr>
          <w:rFonts w:asciiTheme="majorBidi" w:eastAsiaTheme="minorEastAsia" w:hAnsiTheme="majorBidi" w:cstheme="majorBidi"/>
          <w:iCs/>
          <w:szCs w:val="18"/>
        </w:rPr>
        <w:fldChar w:fldCharType="begin" w:fldLock="1"/>
      </w:r>
      <w:r w:rsidRPr="003C518F">
        <w:rPr>
          <w:rFonts w:asciiTheme="majorBidi" w:eastAsiaTheme="minorEastAsia" w:hAnsiTheme="majorBidi" w:cstheme="majorBidi"/>
          <w:iCs/>
          <w:szCs w:val="18"/>
          <w:lang w:val="es-MX"/>
        </w:rPr>
        <w:instrText>ADDIN CSL_CITATION {"citationItems":[{"id":"ITEM-1","itemData":{"author":[{"dropping-particle":"","family":"Aghaei","given":"Arash","non-dropping-particle":"","parse-names":false,"suffix":""},{"dropping-particle":"","family":"Piri","given":"Mohammad","non-dropping-particle":"","pars</w:instrText>
      </w:r>
      <w:r w:rsidRPr="00BE5554">
        <w:rPr>
          <w:rFonts w:asciiTheme="majorBidi" w:eastAsiaTheme="minorEastAsia" w:hAnsiTheme="majorBidi" w:cstheme="majorBidi"/>
          <w:iCs/>
          <w:szCs w:val="18"/>
        </w:rPr>
        <w:instrText>e-names":false,"suffix":""}],"container-title":"Journal of hydrology","id":"ITEM-1","issued":{"date-parts":[["2015"]]},"page":"488-509","publisher":"Elsevier","title":"Direct pore-to-core up-scaling of displacement processes: Dynamic pore network modeling and experimentation","type":"article-journal","volume":"522"},"uris":["http://www.mendeley.com/documents/?uuid=5294c2c4-54e4-4074-9ae5-393c18fe33e2"]}],"mendeley":{"formattedCitation":"(Aghaei &amp; Piri, 2015)","manualFormatting":"Aghaei &amp; Piri, 2015)","plainTextFormattedCitation":"(Aghaei &amp; Piri, 2015)","previouslyFormattedCitation":"(Aghaei &amp; Piri, 2015)"},"properties":{"noteIndex":0},"schema":"https://github.com/citation-style-language/schema/raw/master/csl-citation.json"}</w:instrText>
      </w:r>
      <w:r w:rsidRPr="005244BD">
        <w:rPr>
          <w:rFonts w:asciiTheme="majorBidi" w:eastAsiaTheme="minorEastAsia" w:hAnsiTheme="majorBidi" w:cstheme="majorBidi"/>
          <w:iCs/>
          <w:szCs w:val="18"/>
        </w:rPr>
        <w:fldChar w:fldCharType="separate"/>
      </w:r>
      <w:r w:rsidRPr="00BE5554">
        <w:rPr>
          <w:rFonts w:asciiTheme="majorBidi" w:eastAsiaTheme="minorEastAsia" w:hAnsiTheme="majorBidi" w:cstheme="majorBidi"/>
          <w:iCs/>
          <w:noProof/>
          <w:szCs w:val="18"/>
        </w:rPr>
        <w:t>Aghaei &amp; Piri, 2015)</w:t>
      </w:r>
      <w:r w:rsidRPr="005244BD">
        <w:rPr>
          <w:rFonts w:asciiTheme="majorBidi" w:eastAsiaTheme="minorEastAsia" w:hAnsiTheme="majorBidi" w:cstheme="majorBidi"/>
          <w:iCs/>
          <w:szCs w:val="18"/>
        </w:rPr>
        <w:fldChar w:fldCharType="end"/>
      </w:r>
      <w:r w:rsidRPr="00BE5554">
        <w:rPr>
          <w:rFonts w:asciiTheme="majorBidi" w:eastAsiaTheme="minorEastAsia" w:hAnsiTheme="majorBidi" w:cstheme="majorBidi"/>
          <w:iCs/>
          <w:szCs w:val="18"/>
        </w:rPr>
        <w:t>.</w:t>
      </w:r>
      <w:r w:rsidR="00D31554" w:rsidRPr="00BE5554">
        <w:rPr>
          <w:rFonts w:asciiTheme="majorBidi" w:eastAsiaTheme="minorEastAsia" w:hAnsiTheme="majorBidi" w:cstheme="majorBidi"/>
          <w:iCs/>
          <w:szCs w:val="18"/>
        </w:rPr>
        <w:t xml:space="preserve"> </w:t>
      </w:r>
      <w:r w:rsidR="00A45586" w:rsidRPr="005244BD">
        <w:rPr>
          <w:rFonts w:asciiTheme="majorBidi" w:eastAsiaTheme="minorEastAsia" w:hAnsiTheme="majorBidi" w:cstheme="majorBidi"/>
          <w:iCs/>
          <w:szCs w:val="18"/>
        </w:rPr>
        <w:t>In this work</w:t>
      </w:r>
      <w:r w:rsidR="00D31554">
        <w:rPr>
          <w:rFonts w:asciiTheme="majorBidi" w:eastAsiaTheme="minorEastAsia" w:hAnsiTheme="majorBidi" w:cstheme="majorBidi"/>
          <w:iCs/>
          <w:szCs w:val="18"/>
        </w:rPr>
        <w:t>, however,</w:t>
      </w:r>
      <w:r w:rsidR="00A45586" w:rsidRPr="005244BD">
        <w:rPr>
          <w:rFonts w:asciiTheme="majorBidi" w:eastAsiaTheme="minorEastAsia" w:hAnsiTheme="majorBidi" w:cstheme="majorBidi"/>
          <w:iCs/>
          <w:szCs w:val="18"/>
        </w:rPr>
        <w:t xml:space="preserve"> we </w:t>
      </w:r>
      <w:r w:rsidR="005244BD">
        <w:rPr>
          <w:rFonts w:asciiTheme="majorBidi" w:eastAsiaTheme="minorEastAsia" w:hAnsiTheme="majorBidi" w:cstheme="majorBidi"/>
          <w:iCs/>
          <w:szCs w:val="18"/>
        </w:rPr>
        <w:t>use</w:t>
      </w:r>
      <w:r w:rsidR="00A45586" w:rsidRPr="005244BD">
        <w:rPr>
          <w:rFonts w:asciiTheme="majorBidi" w:eastAsiaTheme="minorEastAsia" w:hAnsiTheme="majorBidi" w:cstheme="majorBidi"/>
          <w:iCs/>
          <w:szCs w:val="18"/>
        </w:rPr>
        <w:t xml:space="preserve"> the concept of NAPL dissolution through the stagnant throat in which </w:t>
      </w:r>
      <w:r w:rsidR="00FF05F4">
        <w:rPr>
          <w:rFonts w:asciiTheme="majorBidi" w:eastAsiaTheme="minorEastAsia" w:hAnsiTheme="majorBidi" w:cstheme="majorBidi"/>
          <w:iCs/>
          <w:szCs w:val="18"/>
        </w:rPr>
        <w:t>the</w:t>
      </w:r>
      <w:r w:rsidR="00A45586" w:rsidRPr="005244BD">
        <w:rPr>
          <w:rFonts w:asciiTheme="majorBidi" w:eastAsiaTheme="minorEastAsia" w:hAnsiTheme="majorBidi" w:cstheme="majorBidi"/>
          <w:iCs/>
          <w:szCs w:val="18"/>
        </w:rPr>
        <w:t xml:space="preserve"> corner flow of aqueous phase in the NAPL-filled flow</w:t>
      </w:r>
      <w:r w:rsidR="00FF05F4">
        <w:rPr>
          <w:rFonts w:asciiTheme="majorBidi" w:eastAsiaTheme="minorEastAsia" w:hAnsiTheme="majorBidi" w:cstheme="majorBidi"/>
          <w:iCs/>
          <w:szCs w:val="18"/>
        </w:rPr>
        <w:t xml:space="preserve"> is ignored</w:t>
      </w:r>
      <w:r w:rsidR="007B2500">
        <w:rPr>
          <w:rFonts w:asciiTheme="majorBidi" w:eastAsiaTheme="minorEastAsia" w:hAnsiTheme="majorBidi" w:cstheme="majorBidi"/>
          <w:iCs/>
          <w:szCs w:val="18"/>
        </w:rPr>
        <w:t>.</w:t>
      </w:r>
      <w:r w:rsidR="00A45586" w:rsidRPr="005244BD">
        <w:rPr>
          <w:rFonts w:asciiTheme="majorBidi" w:eastAsiaTheme="minorEastAsia" w:hAnsiTheme="majorBidi" w:cstheme="majorBidi"/>
          <w:iCs/>
          <w:szCs w:val="18"/>
        </w:rPr>
        <w:t xml:space="preserve"> </w:t>
      </w:r>
      <w:r w:rsidR="007B2500">
        <w:rPr>
          <w:rFonts w:asciiTheme="majorBidi" w:eastAsiaTheme="minorEastAsia" w:hAnsiTheme="majorBidi" w:cstheme="majorBidi"/>
          <w:iCs/>
          <w:szCs w:val="18"/>
        </w:rPr>
        <w:t>W</w:t>
      </w:r>
      <w:r w:rsidR="00A45586" w:rsidRPr="005244BD">
        <w:rPr>
          <w:rFonts w:asciiTheme="majorBidi" w:eastAsiaTheme="minorEastAsia" w:hAnsiTheme="majorBidi" w:cstheme="majorBidi"/>
          <w:iCs/>
          <w:szCs w:val="18"/>
        </w:rPr>
        <w:t>e use</w:t>
      </w:r>
      <w:r w:rsidR="007B2500">
        <w:rPr>
          <w:rFonts w:asciiTheme="majorBidi" w:eastAsiaTheme="minorEastAsia" w:hAnsiTheme="majorBidi" w:cstheme="majorBidi"/>
          <w:iCs/>
          <w:szCs w:val="18"/>
        </w:rPr>
        <w:t xml:space="preserve"> a</w:t>
      </w:r>
      <w:r w:rsidR="00A45586" w:rsidRPr="005244BD">
        <w:rPr>
          <w:rFonts w:asciiTheme="majorBidi" w:eastAsiaTheme="minorEastAsia" w:hAnsiTheme="majorBidi" w:cstheme="majorBidi"/>
          <w:iCs/>
          <w:szCs w:val="18"/>
        </w:rPr>
        <w:t xml:space="preserve"> quasi-static pore network model with an immobile NAPL phase. Acknowledging the simplicity or over-simplicity of </w:t>
      </w:r>
      <w:r w:rsidR="00D31554">
        <w:rPr>
          <w:rFonts w:asciiTheme="majorBidi" w:eastAsiaTheme="minorEastAsia" w:hAnsiTheme="majorBidi" w:cstheme="majorBidi"/>
          <w:iCs/>
          <w:szCs w:val="18"/>
        </w:rPr>
        <w:t xml:space="preserve">this </w:t>
      </w:r>
      <w:r w:rsidR="00A45586" w:rsidRPr="005244BD">
        <w:rPr>
          <w:rFonts w:asciiTheme="majorBidi" w:eastAsiaTheme="minorEastAsia" w:hAnsiTheme="majorBidi" w:cstheme="majorBidi"/>
          <w:iCs/>
          <w:szCs w:val="18"/>
        </w:rPr>
        <w:t>modelling a</w:t>
      </w:r>
      <w:r w:rsidR="00D31554">
        <w:rPr>
          <w:rFonts w:asciiTheme="majorBidi" w:eastAsiaTheme="minorEastAsia" w:hAnsiTheme="majorBidi" w:cstheme="majorBidi"/>
          <w:iCs/>
          <w:szCs w:val="18"/>
        </w:rPr>
        <w:t>pproach</w:t>
      </w:r>
      <w:r w:rsidR="00FF05F4">
        <w:rPr>
          <w:rFonts w:asciiTheme="majorBidi" w:eastAsiaTheme="minorEastAsia" w:hAnsiTheme="majorBidi" w:cstheme="majorBidi"/>
          <w:iCs/>
          <w:szCs w:val="18"/>
        </w:rPr>
        <w:t xml:space="preserve"> (with further implications on results that will be discussed in Section 3)</w:t>
      </w:r>
      <w:r w:rsidR="00A45586" w:rsidRPr="005244BD">
        <w:rPr>
          <w:rFonts w:asciiTheme="majorBidi" w:eastAsiaTheme="minorEastAsia" w:hAnsiTheme="majorBidi" w:cstheme="majorBidi"/>
          <w:iCs/>
          <w:szCs w:val="18"/>
        </w:rPr>
        <w:t xml:space="preserve">, </w:t>
      </w:r>
      <w:r w:rsidR="00FF05F4">
        <w:rPr>
          <w:rFonts w:asciiTheme="majorBidi" w:eastAsiaTheme="minorEastAsia" w:hAnsiTheme="majorBidi" w:cstheme="majorBidi"/>
          <w:iCs/>
          <w:szCs w:val="18"/>
        </w:rPr>
        <w:t>we</w:t>
      </w:r>
      <w:r w:rsidR="00A45586" w:rsidRPr="005244BD">
        <w:rPr>
          <w:rFonts w:asciiTheme="majorBidi" w:eastAsiaTheme="minorEastAsia" w:hAnsiTheme="majorBidi" w:cstheme="majorBidi"/>
          <w:iCs/>
          <w:szCs w:val="18"/>
        </w:rPr>
        <w:t xml:space="preserve"> point out that although the results of each pore network modelling algorithms (either </w:t>
      </w:r>
      <w:r w:rsidR="00D31554">
        <w:rPr>
          <w:rFonts w:asciiTheme="majorBidi" w:eastAsiaTheme="minorEastAsia" w:hAnsiTheme="majorBidi" w:cstheme="majorBidi"/>
          <w:iCs/>
          <w:szCs w:val="18"/>
        </w:rPr>
        <w:t xml:space="preserve">using </w:t>
      </w:r>
      <w:r w:rsidR="00A45586" w:rsidRPr="005244BD">
        <w:rPr>
          <w:rFonts w:asciiTheme="majorBidi" w:eastAsiaTheme="minorEastAsia" w:hAnsiTheme="majorBidi" w:cstheme="majorBidi"/>
          <w:iCs/>
          <w:szCs w:val="18"/>
        </w:rPr>
        <w:t xml:space="preserve">concept of stagnant NAPL dissolution or concept of advection-corner NAPL dissolution) </w:t>
      </w:r>
      <w:r w:rsidR="006C5469">
        <w:rPr>
          <w:rFonts w:asciiTheme="majorBidi" w:eastAsiaTheme="minorEastAsia" w:hAnsiTheme="majorBidi" w:cstheme="majorBidi"/>
          <w:iCs/>
          <w:szCs w:val="18"/>
        </w:rPr>
        <w:t xml:space="preserve">will be </w:t>
      </w:r>
      <w:r w:rsidR="00A45586" w:rsidRPr="005244BD">
        <w:rPr>
          <w:rFonts w:asciiTheme="majorBidi" w:eastAsiaTheme="minorEastAsia" w:hAnsiTheme="majorBidi" w:cstheme="majorBidi"/>
          <w:iCs/>
          <w:szCs w:val="18"/>
        </w:rPr>
        <w:t xml:space="preserve">different, the </w:t>
      </w:r>
      <w:r w:rsidR="00976444">
        <w:rPr>
          <w:rFonts w:asciiTheme="majorBidi" w:eastAsiaTheme="minorEastAsia" w:hAnsiTheme="majorBidi" w:cstheme="majorBidi"/>
          <w:iCs/>
          <w:szCs w:val="18"/>
        </w:rPr>
        <w:t xml:space="preserve">incremental </w:t>
      </w:r>
      <w:r w:rsidR="00A45586" w:rsidRPr="005244BD">
        <w:rPr>
          <w:rFonts w:asciiTheme="majorBidi" w:eastAsiaTheme="minorEastAsia" w:hAnsiTheme="majorBidi" w:cstheme="majorBidi"/>
          <w:iCs/>
          <w:szCs w:val="18"/>
        </w:rPr>
        <w:t xml:space="preserve">impact of biodegradation in the NAPL remediation in pore network structures </w:t>
      </w:r>
      <w:r w:rsidR="00E41BD3" w:rsidRPr="00E41BD3">
        <w:rPr>
          <w:rFonts w:asciiTheme="majorBidi" w:eastAsiaTheme="minorEastAsia" w:hAnsiTheme="majorBidi" w:cstheme="majorBidi"/>
          <w:i/>
          <w:szCs w:val="18"/>
        </w:rPr>
        <w:t>may</w:t>
      </w:r>
      <w:r w:rsidR="006C5469">
        <w:rPr>
          <w:rFonts w:asciiTheme="majorBidi" w:eastAsiaTheme="minorEastAsia" w:hAnsiTheme="majorBidi" w:cstheme="majorBidi"/>
          <w:iCs/>
          <w:szCs w:val="18"/>
        </w:rPr>
        <w:t xml:space="preserve"> be</w:t>
      </w:r>
      <w:r w:rsidR="00E41BD3">
        <w:rPr>
          <w:rFonts w:asciiTheme="majorBidi" w:eastAsiaTheme="minorEastAsia" w:hAnsiTheme="majorBidi" w:cstheme="majorBidi"/>
          <w:iCs/>
          <w:szCs w:val="18"/>
        </w:rPr>
        <w:t>come</w:t>
      </w:r>
      <w:r w:rsidR="00A45586" w:rsidRPr="005244BD">
        <w:rPr>
          <w:rFonts w:asciiTheme="majorBidi" w:eastAsiaTheme="minorEastAsia" w:hAnsiTheme="majorBidi" w:cstheme="majorBidi"/>
          <w:iCs/>
          <w:szCs w:val="18"/>
        </w:rPr>
        <w:t xml:space="preserve"> most likely the same</w:t>
      </w:r>
      <w:r w:rsidR="00D31554">
        <w:rPr>
          <w:rFonts w:asciiTheme="majorBidi" w:eastAsiaTheme="minorEastAsia" w:hAnsiTheme="majorBidi" w:cstheme="majorBidi"/>
          <w:iCs/>
          <w:szCs w:val="18"/>
        </w:rPr>
        <w:t xml:space="preserve">. </w:t>
      </w:r>
      <w:r w:rsidR="00A45586" w:rsidRPr="005244BD">
        <w:rPr>
          <w:rFonts w:asciiTheme="majorBidi" w:eastAsiaTheme="minorEastAsia" w:hAnsiTheme="majorBidi" w:cstheme="majorBidi"/>
          <w:iCs/>
          <w:szCs w:val="18"/>
        </w:rPr>
        <w:t xml:space="preserve">Moreover, the particular focus of this work is to highlight implementation of NAPL biodegradation in the pore network modelling </w:t>
      </w:r>
      <w:r w:rsidR="00976444">
        <w:rPr>
          <w:rFonts w:asciiTheme="majorBidi" w:eastAsiaTheme="minorEastAsia" w:hAnsiTheme="majorBidi" w:cstheme="majorBidi"/>
          <w:iCs/>
          <w:szCs w:val="18"/>
        </w:rPr>
        <w:t>under the</w:t>
      </w:r>
      <w:r w:rsidR="00A45586" w:rsidRPr="005244BD">
        <w:rPr>
          <w:rFonts w:asciiTheme="majorBidi" w:eastAsiaTheme="minorEastAsia" w:hAnsiTheme="majorBidi" w:cstheme="majorBidi"/>
          <w:iCs/>
          <w:szCs w:val="18"/>
        </w:rPr>
        <w:t xml:space="preserve"> heterogeneity</w:t>
      </w:r>
      <w:r w:rsidR="00976444">
        <w:rPr>
          <w:rFonts w:asciiTheme="majorBidi" w:eastAsiaTheme="minorEastAsia" w:hAnsiTheme="majorBidi" w:cstheme="majorBidi"/>
          <w:iCs/>
          <w:szCs w:val="18"/>
        </w:rPr>
        <w:t xml:space="preserve"> at pore-scale</w:t>
      </w:r>
      <w:r w:rsidR="00A45586" w:rsidRPr="005244BD">
        <w:rPr>
          <w:rFonts w:asciiTheme="majorBidi" w:eastAsiaTheme="minorEastAsia" w:hAnsiTheme="majorBidi" w:cstheme="majorBidi"/>
          <w:iCs/>
          <w:szCs w:val="18"/>
        </w:rPr>
        <w:t>,</w:t>
      </w:r>
      <w:r w:rsidR="00976444">
        <w:rPr>
          <w:rFonts w:asciiTheme="majorBidi" w:eastAsiaTheme="minorEastAsia" w:hAnsiTheme="majorBidi" w:cstheme="majorBidi"/>
          <w:iCs/>
          <w:szCs w:val="18"/>
        </w:rPr>
        <w:t xml:space="preserve"> and their interplay with</w:t>
      </w:r>
      <w:r w:rsidR="00A45586" w:rsidRPr="005244BD">
        <w:rPr>
          <w:rFonts w:asciiTheme="majorBidi" w:eastAsiaTheme="minorEastAsia" w:hAnsiTheme="majorBidi" w:cstheme="majorBidi"/>
          <w:iCs/>
          <w:szCs w:val="18"/>
        </w:rPr>
        <w:t xml:space="preserve"> dissolution, and biofilm growth, albeit with a simple pore network modelling. </w:t>
      </w:r>
      <w:r w:rsidR="00D31554">
        <w:rPr>
          <w:rFonts w:asciiTheme="majorBidi" w:eastAsiaTheme="minorEastAsia" w:hAnsiTheme="majorBidi" w:cstheme="majorBidi"/>
          <w:iCs/>
          <w:szCs w:val="18"/>
        </w:rPr>
        <w:t>That is, in a comparison basis, the diff</w:t>
      </w:r>
      <w:r w:rsidR="00976444">
        <w:rPr>
          <w:rFonts w:asciiTheme="majorBidi" w:eastAsiaTheme="minorEastAsia" w:hAnsiTheme="majorBidi" w:cstheme="majorBidi"/>
          <w:iCs/>
          <w:szCs w:val="18"/>
        </w:rPr>
        <w:t>erence of biodegradation impact</w:t>
      </w:r>
      <w:r w:rsidR="00D31554">
        <w:rPr>
          <w:rFonts w:asciiTheme="majorBidi" w:eastAsiaTheme="minorEastAsia" w:hAnsiTheme="majorBidi" w:cstheme="majorBidi"/>
          <w:iCs/>
          <w:szCs w:val="18"/>
        </w:rPr>
        <w:t xml:space="preserve"> between two heterogeneous pore </w:t>
      </w:r>
      <w:r w:rsidR="00D31554">
        <w:rPr>
          <w:rFonts w:asciiTheme="majorBidi" w:eastAsiaTheme="minorEastAsia" w:hAnsiTheme="majorBidi" w:cstheme="majorBidi"/>
          <w:iCs/>
          <w:szCs w:val="18"/>
        </w:rPr>
        <w:lastRenderedPageBreak/>
        <w:t xml:space="preserve">networks </w:t>
      </w:r>
      <w:r w:rsidR="00976444" w:rsidRPr="00976444">
        <w:rPr>
          <w:rFonts w:asciiTheme="majorBidi" w:eastAsiaTheme="minorEastAsia" w:hAnsiTheme="majorBidi" w:cstheme="majorBidi"/>
          <w:i/>
          <w:szCs w:val="18"/>
        </w:rPr>
        <w:t>may</w:t>
      </w:r>
      <w:r w:rsidR="00D31554">
        <w:rPr>
          <w:rFonts w:asciiTheme="majorBidi" w:eastAsiaTheme="minorEastAsia" w:hAnsiTheme="majorBidi" w:cstheme="majorBidi"/>
          <w:iCs/>
          <w:szCs w:val="18"/>
        </w:rPr>
        <w:t xml:space="preserve"> not significantly change from one algorithm to another. </w:t>
      </w:r>
      <w:r w:rsidR="00976444">
        <w:rPr>
          <w:rFonts w:asciiTheme="majorBidi" w:eastAsiaTheme="minorEastAsia" w:hAnsiTheme="majorBidi" w:cstheme="majorBidi"/>
          <w:iCs/>
          <w:szCs w:val="18"/>
        </w:rPr>
        <w:t>However, further work in future is needed to fully delineate the impact of microscopic heterogeneity on biodegradation using dynamic pore network modelling</w:t>
      </w:r>
      <w:r w:rsidR="00FF05F4">
        <w:rPr>
          <w:rFonts w:asciiTheme="majorBidi" w:eastAsiaTheme="minorEastAsia" w:hAnsiTheme="majorBidi" w:cstheme="majorBidi"/>
          <w:iCs/>
          <w:szCs w:val="18"/>
        </w:rPr>
        <w:t xml:space="preserve"> with corner diffusion incorporated</w:t>
      </w:r>
      <w:r w:rsidR="00976444">
        <w:rPr>
          <w:rFonts w:asciiTheme="majorBidi" w:eastAsiaTheme="minorEastAsia" w:hAnsiTheme="majorBidi" w:cstheme="majorBidi"/>
          <w:iCs/>
          <w:szCs w:val="18"/>
        </w:rPr>
        <w:t xml:space="preserve">. </w:t>
      </w:r>
      <w:r w:rsidR="00D31554">
        <w:rPr>
          <w:rFonts w:asciiTheme="majorBidi" w:eastAsiaTheme="minorEastAsia" w:hAnsiTheme="majorBidi" w:cstheme="majorBidi"/>
          <w:iCs/>
          <w:szCs w:val="18"/>
        </w:rPr>
        <w:t>To this end</w:t>
      </w:r>
      <w:r w:rsidR="00A45586" w:rsidRPr="005244BD">
        <w:rPr>
          <w:rFonts w:asciiTheme="majorBidi" w:eastAsiaTheme="minorEastAsia" w:hAnsiTheme="majorBidi" w:cstheme="majorBidi"/>
          <w:iCs/>
          <w:szCs w:val="18"/>
        </w:rPr>
        <w:t xml:space="preserve">, </w:t>
      </w:r>
      <w:r w:rsidR="00D31554">
        <w:rPr>
          <w:rFonts w:asciiTheme="majorBidi" w:eastAsiaTheme="minorEastAsia" w:hAnsiTheme="majorBidi" w:cstheme="majorBidi"/>
          <w:iCs/>
          <w:szCs w:val="18"/>
        </w:rPr>
        <w:t xml:space="preserve">in this work </w:t>
      </w:r>
      <w:r w:rsidR="00A45586" w:rsidRPr="005244BD">
        <w:rPr>
          <w:rFonts w:asciiTheme="majorBidi" w:eastAsiaTheme="minorEastAsia" w:hAnsiTheme="majorBidi" w:cstheme="majorBidi"/>
          <w:iCs/>
          <w:szCs w:val="18"/>
        </w:rPr>
        <w:t>it is assumed that the NAPL dissolution into water occurs where the NAPL-water interface exists in the stagnant throats</w:t>
      </w:r>
      <w:r w:rsidR="006C5469">
        <w:rPr>
          <w:rFonts w:asciiTheme="majorBidi" w:eastAsiaTheme="minorEastAsia" w:hAnsiTheme="majorBidi" w:cstheme="majorBidi"/>
          <w:iCs/>
          <w:szCs w:val="18"/>
        </w:rPr>
        <w:t xml:space="preserve"> only and corner diffusion model is ignored</w:t>
      </w:r>
      <w:r w:rsidR="00A45586" w:rsidRPr="005244BD">
        <w:rPr>
          <w:rFonts w:asciiTheme="majorBidi" w:eastAsiaTheme="minorEastAsia" w:hAnsiTheme="majorBidi" w:cstheme="majorBidi"/>
          <w:iCs/>
          <w:szCs w:val="18"/>
        </w:rPr>
        <w:t>. In such throats the aqueous flow rate is zero and the advection regime does not take place.</w:t>
      </w:r>
    </w:p>
    <w:p w14:paraId="5FE61D57" w14:textId="7D38FAA6" w:rsidR="006C11AC" w:rsidRPr="005244BD" w:rsidRDefault="006C11AC" w:rsidP="00A302E9">
      <w:pPr>
        <w:spacing w:line="480" w:lineRule="auto"/>
        <w:jc w:val="both"/>
        <w:rPr>
          <w:rFonts w:asciiTheme="majorBidi" w:eastAsiaTheme="minorEastAsia" w:hAnsiTheme="majorBidi" w:cstheme="majorBidi"/>
          <w:szCs w:val="18"/>
        </w:rPr>
      </w:pPr>
      <w:r w:rsidRPr="005244BD">
        <w:rPr>
          <w:rFonts w:asciiTheme="majorBidi" w:eastAsiaTheme="minorEastAsia" w:hAnsiTheme="majorBidi" w:cstheme="majorBidi"/>
          <w:iCs/>
          <w:szCs w:val="18"/>
        </w:rPr>
        <w:t xml:space="preserve">A </w:t>
      </w:r>
      <w:r w:rsidRPr="005244BD">
        <w:rPr>
          <w:rFonts w:ascii="Times New Roman" w:hAnsi="Times New Roman" w:cs="Times New Roman"/>
        </w:rPr>
        <w:t>linear</w:t>
      </w:r>
      <w:r w:rsidRPr="005244BD">
        <w:rPr>
          <w:rFonts w:asciiTheme="majorBidi" w:eastAsiaTheme="minorEastAsia" w:hAnsiTheme="majorBidi" w:cstheme="majorBidi"/>
          <w:iCs/>
          <w:szCs w:val="18"/>
        </w:rPr>
        <w:t xml:space="preserve"> driving force is considered for mass transfer from </w:t>
      </w:r>
      <w:r w:rsidR="00E32042" w:rsidRPr="005244BD">
        <w:rPr>
          <w:rFonts w:asciiTheme="majorBidi" w:eastAsiaTheme="minorEastAsia" w:hAnsiTheme="majorBidi" w:cstheme="majorBidi"/>
          <w:iCs/>
          <w:szCs w:val="18"/>
        </w:rPr>
        <w:t>NAPL</w:t>
      </w:r>
      <w:r w:rsidRPr="005244BD">
        <w:rPr>
          <w:rFonts w:asciiTheme="majorBidi" w:eastAsiaTheme="minorEastAsia" w:hAnsiTheme="majorBidi" w:cstheme="majorBidi"/>
          <w:iCs/>
          <w:szCs w:val="18"/>
        </w:rPr>
        <w:t xml:space="preserve">-filled pore to the </w:t>
      </w:r>
      <w:r w:rsidR="00E32042" w:rsidRPr="005244BD">
        <w:rPr>
          <w:rFonts w:asciiTheme="majorBidi" w:eastAsiaTheme="minorEastAsia" w:hAnsiTheme="majorBidi" w:cstheme="majorBidi"/>
          <w:iCs/>
          <w:szCs w:val="18"/>
        </w:rPr>
        <w:t>water</w:t>
      </w:r>
      <w:r w:rsidRPr="005244BD">
        <w:rPr>
          <w:rFonts w:asciiTheme="majorBidi" w:eastAsiaTheme="minorEastAsia" w:hAnsiTheme="majorBidi" w:cstheme="majorBidi"/>
          <w:iCs/>
          <w:szCs w:val="18"/>
        </w:rPr>
        <w:t xml:space="preserve">-filled </w:t>
      </w:r>
      <w:r w:rsidR="00E32042" w:rsidRPr="005244BD">
        <w:rPr>
          <w:rFonts w:asciiTheme="majorBidi" w:eastAsiaTheme="minorEastAsia" w:hAnsiTheme="majorBidi" w:cstheme="majorBidi"/>
          <w:iCs/>
          <w:szCs w:val="18"/>
        </w:rPr>
        <w:t>pore</w:t>
      </w:r>
      <w:r w:rsidRPr="005244BD">
        <w:rPr>
          <w:rFonts w:asciiTheme="majorBidi" w:eastAsiaTheme="minorEastAsia" w:hAnsiTheme="majorBidi" w:cstheme="majorBidi"/>
          <w:iCs/>
          <w:szCs w:val="18"/>
        </w:rPr>
        <w:t xml:space="preserve"> and the NAPL mass transfer is described using the term </w:t>
      </w:r>
      <m:oMath>
        <m:f>
          <m:fPr>
            <m:type m:val="lin"/>
            <m:ctrlPr>
              <w:rPr>
                <w:rFonts w:ascii="Cambria Math" w:eastAsiaTheme="minorEastAsia" w:hAnsi="Cambria Math" w:cstheme="majorBidi"/>
                <w:iCs/>
                <w:szCs w:val="18"/>
              </w:rPr>
            </m:ctrlPr>
          </m:fPr>
          <m:num>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DA</m:t>
                </m:r>
              </m:e>
              <m:sub>
                <m:r>
                  <w:rPr>
                    <w:rFonts w:ascii="Cambria Math" w:eastAsiaTheme="minorEastAsia" w:hAnsi="Cambria Math" w:cstheme="majorBidi"/>
                    <w:szCs w:val="18"/>
                  </w:rPr>
                  <m:t>ij</m:t>
                </m:r>
              </m:sub>
            </m:sSub>
            <m:d>
              <m:dPr>
                <m:ctrlPr>
                  <w:rPr>
                    <w:rFonts w:ascii="Cambria Math" w:eastAsiaTheme="minorEastAsia" w:hAnsi="Cambria Math" w:cstheme="majorBidi"/>
                    <w:szCs w:val="18"/>
                  </w:rPr>
                </m:ctrlPr>
              </m:dPr>
              <m:e>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C</m:t>
                    </m:r>
                  </m:e>
                  <m:sub>
                    <m:r>
                      <w:rPr>
                        <w:rFonts w:ascii="Cambria Math" w:eastAsiaTheme="minorEastAsia" w:hAnsi="Cambria Math" w:cstheme="majorBidi"/>
                        <w:szCs w:val="18"/>
                      </w:rPr>
                      <m:t>s</m:t>
                    </m:r>
                  </m:sub>
                </m:sSub>
                <m:r>
                  <m:rPr>
                    <m:sty m:val="p"/>
                  </m:rPr>
                  <w:rPr>
                    <w:rFonts w:ascii="Cambria Math" w:eastAsiaTheme="minorEastAsia" w:hAnsi="Cambria Math" w:cstheme="majorBidi"/>
                    <w:szCs w:val="18"/>
                  </w:rPr>
                  <m:t>-</m:t>
                </m:r>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m:t>
                    </m:r>
                  </m:sub>
                  <m:sup>
                    <m:r>
                      <w:rPr>
                        <w:rFonts w:ascii="Cambria Math" w:eastAsiaTheme="minorEastAsia" w:hAnsi="Cambria Math" w:cstheme="majorBidi"/>
                        <w:szCs w:val="18"/>
                      </w:rPr>
                      <m:t>t</m:t>
                    </m:r>
                  </m:sup>
                </m:sSubSup>
              </m:e>
            </m:d>
          </m:num>
          <m:den>
            <m:r>
              <w:rPr>
                <w:rFonts w:ascii="Cambria Math" w:eastAsiaTheme="minorEastAsia" w:hAnsi="Cambria Math" w:cstheme="majorBidi"/>
                <w:szCs w:val="18"/>
              </w:rPr>
              <m:t>l</m:t>
            </m:r>
          </m:den>
        </m:f>
      </m:oMath>
      <w:r w:rsidRPr="005244BD">
        <w:rPr>
          <w:rFonts w:asciiTheme="majorBidi" w:eastAsiaTheme="minorEastAsia" w:hAnsiTheme="majorBidi" w:cstheme="majorBidi"/>
          <w:iCs/>
          <w:szCs w:val="18"/>
        </w:rPr>
        <w:t xml:space="preserve"> in the stagnant throats, where </w:t>
      </w:r>
      <m:oMath>
        <m:r>
          <w:rPr>
            <w:rFonts w:ascii="Cambria Math" w:eastAsiaTheme="minorEastAsia" w:hAnsi="Cambria Math" w:cstheme="majorBidi"/>
            <w:szCs w:val="18"/>
          </w:rPr>
          <m:t>D</m:t>
        </m:r>
      </m:oMath>
      <w:r w:rsidRPr="005244BD">
        <w:rPr>
          <w:rFonts w:asciiTheme="majorBidi" w:eastAsiaTheme="minorEastAsia" w:hAnsiTheme="majorBidi" w:cstheme="majorBidi"/>
          <w:iCs/>
          <w:szCs w:val="18"/>
        </w:rPr>
        <w:t xml:space="preserve"> is the diffusion coefficient, </w:t>
      </w:r>
      <m:oMath>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A</m:t>
            </m:r>
          </m:e>
          <m:sub>
            <m:r>
              <w:rPr>
                <w:rFonts w:ascii="Cambria Math" w:eastAsiaTheme="minorEastAsia" w:hAnsi="Cambria Math" w:cstheme="majorBidi"/>
                <w:szCs w:val="18"/>
              </w:rPr>
              <m:t>ij</m:t>
            </m:r>
          </m:sub>
        </m:sSub>
      </m:oMath>
      <w:r w:rsidRPr="005244BD">
        <w:rPr>
          <w:rFonts w:asciiTheme="majorBidi" w:eastAsiaTheme="minorEastAsia" w:hAnsiTheme="majorBidi" w:cstheme="majorBidi"/>
          <w:iCs/>
          <w:szCs w:val="18"/>
        </w:rPr>
        <w:t xml:space="preserve"> is the throat cross-section area between pore </w:t>
      </w:r>
      <m:oMath>
        <m:r>
          <w:rPr>
            <w:rFonts w:ascii="Cambria Math" w:eastAsiaTheme="minorEastAsia" w:hAnsi="Cambria Math" w:cstheme="majorBidi"/>
            <w:szCs w:val="18"/>
          </w:rPr>
          <m:t>i</m:t>
        </m:r>
      </m:oMath>
      <w:r w:rsidRPr="005244BD">
        <w:rPr>
          <w:rFonts w:asciiTheme="majorBidi" w:eastAsiaTheme="minorEastAsia" w:hAnsiTheme="majorBidi" w:cstheme="majorBidi"/>
          <w:iCs/>
          <w:szCs w:val="18"/>
          <w:vertAlign w:val="superscript"/>
        </w:rPr>
        <w:t>th</w:t>
      </w:r>
      <w:r w:rsidRPr="005244BD">
        <w:rPr>
          <w:rFonts w:asciiTheme="majorBidi" w:eastAsiaTheme="minorEastAsia" w:hAnsiTheme="majorBidi" w:cstheme="majorBidi"/>
          <w:iCs/>
          <w:szCs w:val="18"/>
        </w:rPr>
        <w:t xml:space="preserve"> and </w:t>
      </w:r>
      <m:oMath>
        <m:r>
          <w:rPr>
            <w:rFonts w:ascii="Cambria Math" w:eastAsiaTheme="minorEastAsia" w:hAnsi="Cambria Math" w:cstheme="majorBidi"/>
            <w:szCs w:val="18"/>
          </w:rPr>
          <m:t>j</m:t>
        </m:r>
      </m:oMath>
      <w:r w:rsidRPr="005244BD">
        <w:rPr>
          <w:rFonts w:asciiTheme="majorBidi" w:eastAsiaTheme="minorEastAsia" w:hAnsiTheme="majorBidi" w:cstheme="majorBidi"/>
          <w:iCs/>
          <w:szCs w:val="18"/>
          <w:vertAlign w:val="superscript"/>
        </w:rPr>
        <w:t>th</w:t>
      </w:r>
      <w:r w:rsidRPr="005244BD">
        <w:rPr>
          <w:rFonts w:asciiTheme="majorBidi" w:eastAsiaTheme="minorEastAsia" w:hAnsiTheme="majorBidi" w:cstheme="majorBidi"/>
          <w:iCs/>
          <w:szCs w:val="18"/>
        </w:rPr>
        <w:t xml:space="preserve">, </w:t>
      </w:r>
      <m:oMath>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C</m:t>
            </m:r>
          </m:e>
          <m:sub>
            <m:r>
              <w:rPr>
                <w:rFonts w:ascii="Cambria Math" w:eastAsiaTheme="minorEastAsia" w:hAnsi="Cambria Math" w:cstheme="majorBidi"/>
                <w:szCs w:val="18"/>
              </w:rPr>
              <m:t>s</m:t>
            </m:r>
          </m:sub>
        </m:sSub>
      </m:oMath>
      <w:r w:rsidRPr="005244BD">
        <w:rPr>
          <w:rFonts w:asciiTheme="majorBidi" w:eastAsiaTheme="minorEastAsia" w:hAnsiTheme="majorBidi" w:cstheme="majorBidi"/>
          <w:iCs/>
          <w:szCs w:val="18"/>
        </w:rPr>
        <w:t xml:space="preserve"> is the solubility of NAPL in the </w:t>
      </w:r>
      <w:r w:rsidR="00FF731E" w:rsidRPr="005244BD">
        <w:rPr>
          <w:rFonts w:asciiTheme="majorBidi" w:eastAsiaTheme="minorEastAsia" w:hAnsiTheme="majorBidi" w:cstheme="majorBidi"/>
          <w:iCs/>
          <w:szCs w:val="18"/>
        </w:rPr>
        <w:t>water</w:t>
      </w:r>
      <w:r w:rsidRPr="005244BD">
        <w:rPr>
          <w:rFonts w:asciiTheme="majorBidi" w:eastAsiaTheme="minorEastAsia" w:hAnsiTheme="majorBidi" w:cstheme="majorBidi"/>
          <w:iCs/>
          <w:szCs w:val="18"/>
        </w:rPr>
        <w:t xml:space="preserve">, and </w:t>
      </w:r>
      <m:oMath>
        <m:r>
          <w:rPr>
            <w:rFonts w:ascii="Cambria Math" w:eastAsiaTheme="minorEastAsia" w:hAnsi="Cambria Math" w:cstheme="majorBidi"/>
            <w:szCs w:val="18"/>
          </w:rPr>
          <m:t>l</m:t>
        </m:r>
      </m:oMath>
      <w:r w:rsidRPr="005244BD">
        <w:rPr>
          <w:rFonts w:asciiTheme="majorBidi" w:eastAsiaTheme="minorEastAsia" w:hAnsiTheme="majorBidi" w:cstheme="majorBidi"/>
          <w:szCs w:val="18"/>
        </w:rPr>
        <w:t xml:space="preserve"> is the throat length. This linear mass transfer simplifies the multistep partitioning </w:t>
      </w:r>
      <w:r w:rsidR="00FF731E" w:rsidRPr="005244BD">
        <w:rPr>
          <w:rFonts w:asciiTheme="majorBidi" w:eastAsiaTheme="minorEastAsia" w:hAnsiTheme="majorBidi" w:cstheme="majorBidi"/>
          <w:szCs w:val="18"/>
        </w:rPr>
        <w:t xml:space="preserve">and diffusion </w:t>
      </w:r>
      <w:r w:rsidRPr="005244BD">
        <w:rPr>
          <w:rFonts w:asciiTheme="majorBidi" w:eastAsiaTheme="minorEastAsia" w:hAnsiTheme="majorBidi" w:cstheme="majorBidi"/>
          <w:szCs w:val="18"/>
        </w:rPr>
        <w:t xml:space="preserve">of NAPL species from the NAPL phase to the aqueous phase (three steps of interphase mass transfer as shown in </w:t>
      </w:r>
      <w:r w:rsidRPr="005244BD">
        <w:rPr>
          <w:rFonts w:asciiTheme="majorBidi" w:eastAsiaTheme="minorEastAsia" w:hAnsiTheme="majorBidi" w:cstheme="majorBidi"/>
          <w:iCs/>
        </w:rPr>
        <w:fldChar w:fldCharType="begin"/>
      </w:r>
      <w:r w:rsidRPr="005244BD">
        <w:rPr>
          <w:rFonts w:asciiTheme="majorBidi" w:eastAsiaTheme="minorEastAsia" w:hAnsiTheme="majorBidi" w:cstheme="majorBidi"/>
          <w:iCs/>
        </w:rPr>
        <w:instrText xml:space="preserve"> REF _Ref15380272 \h  \* MERGEFORMAT </w:instrText>
      </w:r>
      <w:r w:rsidRPr="005244BD">
        <w:rPr>
          <w:rFonts w:asciiTheme="majorBidi" w:eastAsiaTheme="minorEastAsia" w:hAnsiTheme="majorBidi" w:cstheme="majorBidi"/>
          <w:iCs/>
        </w:rPr>
      </w:r>
      <w:r w:rsidRPr="005244BD">
        <w:rPr>
          <w:rFonts w:asciiTheme="majorBidi" w:eastAsiaTheme="minorEastAsia" w:hAnsiTheme="majorBidi" w:cstheme="majorBidi"/>
          <w:iCs/>
        </w:rPr>
        <w:fldChar w:fldCharType="separate"/>
      </w:r>
      <w:r w:rsidR="00EE0F85" w:rsidRPr="00EE0F85">
        <w:rPr>
          <w:rFonts w:asciiTheme="majorBidi" w:eastAsiaTheme="minorEastAsia" w:hAnsiTheme="majorBidi" w:cstheme="majorBidi"/>
          <w:b/>
          <w:bCs/>
          <w:iCs/>
        </w:rPr>
        <w:t>Figure</w:t>
      </w:r>
      <w:r w:rsidR="00EE0F85" w:rsidRPr="005244BD">
        <w:rPr>
          <w:rFonts w:asciiTheme="majorBidi" w:eastAsiaTheme="minorEastAsia" w:hAnsiTheme="majorBidi" w:cstheme="majorBidi"/>
          <w:b/>
          <w:bCs/>
          <w:iCs/>
          <w:sz w:val="20"/>
          <w:szCs w:val="20"/>
        </w:rPr>
        <w:t xml:space="preserve"> </w:t>
      </w:r>
      <w:r w:rsidR="00EE0F85">
        <w:rPr>
          <w:rFonts w:asciiTheme="majorBidi" w:eastAsiaTheme="minorEastAsia" w:hAnsiTheme="majorBidi" w:cstheme="majorBidi"/>
          <w:b/>
          <w:bCs/>
          <w:iCs/>
          <w:noProof/>
          <w:sz w:val="20"/>
          <w:szCs w:val="20"/>
        </w:rPr>
        <w:t>1</w:t>
      </w:r>
      <w:r w:rsidRPr="005244BD">
        <w:rPr>
          <w:rFonts w:asciiTheme="majorBidi" w:eastAsiaTheme="minorEastAsia" w:hAnsiTheme="majorBidi" w:cstheme="majorBidi"/>
          <w:iCs/>
        </w:rPr>
        <w:fldChar w:fldCharType="end"/>
      </w:r>
      <w:r w:rsidRPr="005244BD">
        <w:rPr>
          <w:rFonts w:asciiTheme="majorBidi" w:eastAsiaTheme="minorEastAsia" w:hAnsiTheme="majorBidi" w:cstheme="majorBidi"/>
          <w:iCs/>
        </w:rPr>
        <w:t>(b)</w:t>
      </w:r>
      <w:r w:rsidR="00035E8B" w:rsidRPr="005244BD">
        <w:rPr>
          <w:rFonts w:asciiTheme="majorBidi" w:eastAsiaTheme="minorEastAsia" w:hAnsiTheme="majorBidi" w:cstheme="majorBidi"/>
          <w:iCs/>
        </w:rPr>
        <w:t xml:space="preserve"> corresponding to (1) diffusion of NAPL species in its own phase from </w:t>
      </w:r>
      <m:oMath>
        <m:sSubSup>
          <m:sSubSupPr>
            <m:ctrlPr>
              <w:rPr>
                <w:rFonts w:ascii="Cambria Math" w:eastAsiaTheme="minorEastAsia" w:hAnsi="Cambria Math" w:cstheme="majorBidi"/>
                <w:i/>
                <w:iCs/>
              </w:rPr>
            </m:ctrlPr>
          </m:sSubSupPr>
          <m:e>
            <m:r>
              <w:rPr>
                <w:rFonts w:ascii="Cambria Math" w:eastAsiaTheme="minorEastAsia" w:hAnsi="Cambria Math" w:cstheme="majorBidi"/>
              </w:rPr>
              <m:t>C</m:t>
            </m:r>
          </m:e>
          <m:sub>
            <m:r>
              <m:rPr>
                <m:sty m:val="p"/>
              </m:rPr>
              <w:rPr>
                <w:rFonts w:ascii="Cambria Math" w:eastAsiaTheme="minorEastAsia" w:hAnsi="Cambria Math" w:cstheme="majorBidi"/>
              </w:rPr>
              <m:t>NAPL</m:t>
            </m:r>
          </m:sub>
          <m:sup>
            <m:r>
              <w:rPr>
                <w:rFonts w:ascii="Cambria Math" w:eastAsiaTheme="minorEastAsia" w:hAnsi="Cambria Math" w:cstheme="majorBidi"/>
              </w:rPr>
              <m:t>n</m:t>
            </m:r>
          </m:sup>
        </m:sSubSup>
      </m:oMath>
      <w:r w:rsidR="007143B8" w:rsidRPr="005244BD">
        <w:rPr>
          <w:rFonts w:asciiTheme="majorBidi" w:eastAsiaTheme="minorEastAsia" w:hAnsiTheme="majorBidi" w:cstheme="majorBidi"/>
          <w:iCs/>
        </w:rPr>
        <w:t xml:space="preserve"> to </w:t>
      </w:r>
      <m:oMath>
        <m:sSubSup>
          <m:sSubSupPr>
            <m:ctrlPr>
              <w:rPr>
                <w:rFonts w:ascii="Cambria Math" w:eastAsiaTheme="minorEastAsia" w:hAnsi="Cambria Math" w:cstheme="majorBidi"/>
                <w:i/>
                <w:iCs/>
              </w:rPr>
            </m:ctrlPr>
          </m:sSubSupPr>
          <m:e>
            <m:r>
              <w:rPr>
                <w:rFonts w:ascii="Cambria Math" w:eastAsiaTheme="minorEastAsia" w:hAnsi="Cambria Math" w:cstheme="majorBidi"/>
              </w:rPr>
              <m:t>C</m:t>
            </m:r>
          </m:e>
          <m:sub>
            <m:r>
              <m:rPr>
                <m:sty m:val="p"/>
              </m:rPr>
              <w:rPr>
                <w:rFonts w:ascii="Cambria Math" w:eastAsiaTheme="minorEastAsia" w:hAnsi="Cambria Math" w:cstheme="majorBidi"/>
              </w:rPr>
              <m:t>NAPL</m:t>
            </m:r>
          </m:sub>
          <m:sup>
            <m:r>
              <m:rPr>
                <m:sty m:val="p"/>
              </m:rPr>
              <w:rPr>
                <w:rFonts w:ascii="Cambria Math" w:eastAsiaTheme="minorEastAsia" w:hAnsi="Cambria Math" w:cstheme="majorBidi"/>
              </w:rPr>
              <m:t>int</m:t>
            </m:r>
          </m:sup>
        </m:sSubSup>
      </m:oMath>
      <w:r w:rsidR="007143B8" w:rsidRPr="005244BD">
        <w:rPr>
          <w:rFonts w:asciiTheme="majorBidi" w:eastAsiaTheme="minorEastAsia" w:hAnsiTheme="majorBidi" w:cstheme="majorBidi"/>
          <w:iCs/>
        </w:rPr>
        <w:t xml:space="preserve"> (NAPL concentration at the interface)</w:t>
      </w:r>
      <w:r w:rsidR="00035E8B" w:rsidRPr="005244BD">
        <w:rPr>
          <w:rFonts w:asciiTheme="majorBidi" w:eastAsiaTheme="minorEastAsia" w:hAnsiTheme="majorBidi" w:cstheme="majorBidi"/>
          <w:iCs/>
        </w:rPr>
        <w:t>, (2) partitioning through thermodynamic equilibrium in the interface</w:t>
      </w:r>
      <w:r w:rsidR="007143B8" w:rsidRPr="005244BD">
        <w:rPr>
          <w:rFonts w:asciiTheme="majorBidi" w:eastAsiaTheme="minorEastAsia" w:hAnsiTheme="majorBidi" w:cstheme="majorBidi"/>
          <w:iCs/>
        </w:rPr>
        <w:t xml:space="preserve"> from </w:t>
      </w:r>
      <m:oMath>
        <m:sSubSup>
          <m:sSubSupPr>
            <m:ctrlPr>
              <w:rPr>
                <w:rFonts w:ascii="Cambria Math" w:eastAsiaTheme="minorEastAsia" w:hAnsi="Cambria Math" w:cstheme="majorBidi"/>
                <w:i/>
                <w:iCs/>
              </w:rPr>
            </m:ctrlPr>
          </m:sSubSupPr>
          <m:e>
            <m:r>
              <w:rPr>
                <w:rFonts w:ascii="Cambria Math" w:eastAsiaTheme="minorEastAsia" w:hAnsi="Cambria Math" w:cstheme="majorBidi"/>
              </w:rPr>
              <m:t>C</m:t>
            </m:r>
          </m:e>
          <m:sub>
            <m:r>
              <m:rPr>
                <m:sty m:val="p"/>
              </m:rPr>
              <w:rPr>
                <w:rFonts w:ascii="Cambria Math" w:eastAsiaTheme="minorEastAsia" w:hAnsi="Cambria Math" w:cstheme="majorBidi"/>
              </w:rPr>
              <m:t>NAPL</m:t>
            </m:r>
          </m:sub>
          <m:sup>
            <m:r>
              <m:rPr>
                <m:sty m:val="p"/>
              </m:rPr>
              <w:rPr>
                <w:rFonts w:ascii="Cambria Math" w:eastAsiaTheme="minorEastAsia" w:hAnsi="Cambria Math" w:cstheme="majorBidi"/>
              </w:rPr>
              <m:t>int</m:t>
            </m:r>
          </m:sup>
        </m:sSubSup>
      </m:oMath>
      <w:r w:rsidR="007143B8" w:rsidRPr="005244BD">
        <w:rPr>
          <w:rFonts w:asciiTheme="majorBidi" w:eastAsiaTheme="minorEastAsia" w:hAnsiTheme="majorBidi" w:cstheme="majorBidi"/>
          <w:iCs/>
        </w:rPr>
        <w:t xml:space="preserve"> to </w:t>
      </w:r>
      <m:oMath>
        <m:sSub>
          <m:sSubPr>
            <m:ctrlPr>
              <w:rPr>
                <w:rFonts w:ascii="Cambria Math" w:eastAsiaTheme="minorEastAsia" w:hAnsi="Cambria Math" w:cstheme="majorBidi"/>
                <w:i/>
                <w:iCs/>
              </w:rPr>
            </m:ctrlPr>
          </m:sSubPr>
          <m:e>
            <m:r>
              <w:rPr>
                <w:rFonts w:ascii="Cambria Math" w:eastAsiaTheme="minorEastAsia" w:hAnsi="Cambria Math" w:cstheme="majorBidi"/>
              </w:rPr>
              <m:t>C</m:t>
            </m:r>
          </m:e>
          <m:sub>
            <m:r>
              <w:rPr>
                <w:rFonts w:ascii="Cambria Math" w:eastAsiaTheme="minorEastAsia" w:hAnsi="Cambria Math" w:cstheme="majorBidi"/>
              </w:rPr>
              <m:t>s</m:t>
            </m:r>
          </m:sub>
        </m:sSub>
      </m:oMath>
      <w:r w:rsidR="006D6722" w:rsidRPr="005244BD">
        <w:rPr>
          <w:rFonts w:asciiTheme="majorBidi" w:eastAsiaTheme="minorEastAsia" w:hAnsiTheme="majorBidi" w:cstheme="majorBidi"/>
          <w:iCs/>
        </w:rPr>
        <w:t xml:space="preserve"> (solubility/equilibrium concentration)</w:t>
      </w:r>
      <w:r w:rsidR="00035E8B" w:rsidRPr="005244BD">
        <w:rPr>
          <w:rFonts w:asciiTheme="majorBidi" w:eastAsiaTheme="minorEastAsia" w:hAnsiTheme="majorBidi" w:cstheme="majorBidi"/>
          <w:iCs/>
        </w:rPr>
        <w:t>, and (3) diffusion of NAPL species in the aqueous phase</w:t>
      </w:r>
      <w:r w:rsidR="006D6722" w:rsidRPr="005244BD">
        <w:rPr>
          <w:rFonts w:asciiTheme="majorBidi" w:eastAsiaTheme="minorEastAsia" w:hAnsiTheme="majorBidi" w:cstheme="majorBidi"/>
          <w:iCs/>
        </w:rPr>
        <w:t xml:space="preserve"> from </w:t>
      </w:r>
      <m:oMath>
        <m:sSub>
          <m:sSubPr>
            <m:ctrlPr>
              <w:rPr>
                <w:rFonts w:ascii="Cambria Math" w:eastAsiaTheme="minorEastAsia" w:hAnsi="Cambria Math" w:cstheme="majorBidi"/>
                <w:i/>
                <w:iCs/>
              </w:rPr>
            </m:ctrlPr>
          </m:sSubPr>
          <m:e>
            <m:r>
              <w:rPr>
                <w:rFonts w:ascii="Cambria Math" w:eastAsiaTheme="minorEastAsia" w:hAnsi="Cambria Math" w:cstheme="majorBidi"/>
              </w:rPr>
              <m:t>C</m:t>
            </m:r>
          </m:e>
          <m:sub>
            <m:r>
              <w:rPr>
                <w:rFonts w:ascii="Cambria Math" w:eastAsiaTheme="minorEastAsia" w:hAnsi="Cambria Math" w:cstheme="majorBidi"/>
              </w:rPr>
              <m:t>s</m:t>
            </m:r>
          </m:sub>
        </m:sSub>
      </m:oMath>
      <w:r w:rsidR="006D6722" w:rsidRPr="005244BD">
        <w:rPr>
          <w:rFonts w:asciiTheme="majorBidi" w:eastAsiaTheme="minorEastAsia" w:hAnsiTheme="majorBidi" w:cstheme="majorBidi"/>
          <w:iCs/>
        </w:rPr>
        <w:t xml:space="preserve"> to the actual concentration of NAPL in the aqueous phase, </w:t>
      </w:r>
      <m:oMath>
        <m:sSubSup>
          <m:sSubSupPr>
            <m:ctrlPr>
              <w:rPr>
                <w:rFonts w:ascii="Cambria Math" w:eastAsiaTheme="minorEastAsia" w:hAnsi="Cambria Math" w:cstheme="majorBidi"/>
                <w:i/>
                <w:iCs/>
              </w:rPr>
            </m:ctrlPr>
          </m:sSubSupPr>
          <m:e>
            <m:r>
              <w:rPr>
                <w:rFonts w:ascii="Cambria Math" w:eastAsiaTheme="minorEastAsia" w:hAnsi="Cambria Math" w:cstheme="majorBidi"/>
              </w:rPr>
              <m:t>C</m:t>
            </m:r>
          </m:e>
          <m:sub>
            <m:r>
              <w:rPr>
                <w:rFonts w:ascii="Cambria Math" w:eastAsiaTheme="minorEastAsia" w:hAnsi="Cambria Math" w:cstheme="majorBidi"/>
              </w:rPr>
              <m:t>i</m:t>
            </m:r>
          </m:sub>
          <m:sup>
            <m:r>
              <w:rPr>
                <w:rFonts w:ascii="Cambria Math" w:eastAsiaTheme="minorEastAsia" w:hAnsi="Cambria Math" w:cstheme="majorBidi"/>
              </w:rPr>
              <m:t>t</m:t>
            </m:r>
          </m:sup>
        </m:sSubSup>
      </m:oMath>
      <w:r w:rsidRPr="005244BD">
        <w:rPr>
          <w:rFonts w:asciiTheme="majorBidi" w:eastAsiaTheme="minorEastAsia" w:hAnsiTheme="majorBidi" w:cstheme="majorBidi"/>
          <w:iCs/>
        </w:rPr>
        <w:t>)</w:t>
      </w:r>
      <w:r w:rsidR="00035E8B" w:rsidRPr="005244BD">
        <w:rPr>
          <w:rFonts w:asciiTheme="majorBidi" w:eastAsiaTheme="minorEastAsia" w:hAnsiTheme="majorBidi" w:cstheme="majorBidi"/>
          <w:iCs/>
        </w:rPr>
        <w:t>. The approach has been previously</w:t>
      </w:r>
      <w:r w:rsidRPr="005244BD">
        <w:rPr>
          <w:rFonts w:asciiTheme="majorBidi" w:eastAsiaTheme="minorEastAsia" w:hAnsiTheme="majorBidi" w:cstheme="majorBidi"/>
          <w:szCs w:val="18"/>
        </w:rPr>
        <w:t xml:space="preserve"> employed elsewhere </w:t>
      </w:r>
      <w:r w:rsidRPr="005244BD">
        <w:rPr>
          <w:rFonts w:asciiTheme="majorBidi" w:eastAsiaTheme="minorEastAsia" w:hAnsiTheme="majorBidi" w:cstheme="majorBidi"/>
          <w:szCs w:val="18"/>
        </w:rPr>
        <w:fldChar w:fldCharType="begin" w:fldLock="1"/>
      </w:r>
      <w:r w:rsidR="00BF6D87" w:rsidRPr="005244BD">
        <w:rPr>
          <w:rFonts w:asciiTheme="majorBidi" w:eastAsiaTheme="minorEastAsia" w:hAnsiTheme="majorBidi" w:cstheme="majorBidi"/>
          <w:szCs w:val="18"/>
        </w:rPr>
        <w:instrText>ADDIN CSL_CITATION {"citationItems":[{"id":"ITEM-1","itemData":{"author":[{"dropping-particle":"","family":"Jia","given":"C","non-dropping-particle":"","parse-names":false,"suffix":""},{"dropping-particle":"","family":"Shing","given":"K","non-dropping-particle":"","parse-names":false,"suffix":""},{"dropping-particle":"","family":"Yortsos","given":"Y C","non-dropping-particle":"","parse-names":false,"suffix":""}],"container-title":"Journal of Contaminant Hydrology","id":"ITEM-1","issue":"4","issued":{"date-parts":[["1999"]]},"page":"363-387","publisher":"Elsevier","title":"Visualization and simulation of non-aqueous phase liquids solubilization in pore networks","type":"article-journal","volume":"35"},"uris":["http://www.mendeley.com/documents/?uuid=e5757a4a-8d36-4de7-9365-2b6c6562d851","http://www.mendeley.com/documents/?uuid=6906f770-6e90-4cea-abab-1e8d53e7a11e"]}],"mendeley":{"formattedCitation":"(Jia et al., 1999)","manualFormatting":"(Jia et al., 1999","plainTextFormattedCitation":"(Jia et al., 1999)","previouslyFormattedCitation":"(Jia et al., 1999)"},"properties":{"noteIndex":0},"schema":"https://github.com/citation-style-language/schema/raw/master/csl-citation.json"}</w:instrText>
      </w:r>
      <w:r w:rsidRPr="005244BD">
        <w:rPr>
          <w:rFonts w:asciiTheme="majorBidi" w:eastAsiaTheme="minorEastAsia" w:hAnsiTheme="majorBidi" w:cstheme="majorBidi"/>
          <w:szCs w:val="18"/>
        </w:rPr>
        <w:fldChar w:fldCharType="separate"/>
      </w:r>
      <w:r w:rsidRPr="005244BD">
        <w:rPr>
          <w:rFonts w:asciiTheme="majorBidi" w:eastAsiaTheme="minorEastAsia" w:hAnsiTheme="majorBidi" w:cstheme="majorBidi"/>
          <w:noProof/>
          <w:szCs w:val="18"/>
        </w:rPr>
        <w:t>(Jia et al., 1999</w:t>
      </w:r>
      <w:r w:rsidRPr="005244BD">
        <w:rPr>
          <w:rFonts w:asciiTheme="majorBidi" w:eastAsiaTheme="minorEastAsia" w:hAnsiTheme="majorBidi" w:cstheme="majorBidi"/>
          <w:szCs w:val="18"/>
        </w:rPr>
        <w:fldChar w:fldCharType="end"/>
      </w:r>
      <w:r w:rsidR="004E651B" w:rsidRPr="005244BD">
        <w:rPr>
          <w:rFonts w:asciiTheme="majorBidi" w:eastAsiaTheme="minorEastAsia" w:hAnsiTheme="majorBidi" w:cstheme="majorBidi"/>
          <w:szCs w:val="18"/>
        </w:rPr>
        <w:t xml:space="preserve">, </w:t>
      </w:r>
      <w:r w:rsidRPr="005244BD">
        <w:rPr>
          <w:rFonts w:asciiTheme="majorBidi" w:eastAsiaTheme="minorEastAsia" w:hAnsiTheme="majorBidi" w:cstheme="majorBidi"/>
          <w:szCs w:val="18"/>
        </w:rPr>
        <w:fldChar w:fldCharType="begin" w:fldLock="1"/>
      </w:r>
      <w:r w:rsidR="00BF6D87" w:rsidRPr="005244BD">
        <w:rPr>
          <w:rFonts w:asciiTheme="majorBidi" w:eastAsiaTheme="minorEastAsia" w:hAnsiTheme="majorBidi" w:cstheme="majorBidi"/>
          <w:szCs w:val="18"/>
        </w:rPr>
        <w:instrText>ADDIN CSL_CITATION {"citationItems":[{"id":"ITEM-1","itemData":{"author":[{"dropping-particle":"","family":"Held","given":"Rudolf J","non-dropping-particle":"","parse-names":false,"suffix":""},{"dropping-particle":"","family":"Celia","given":"Michael A","non-dropping-particle":"","parse-names":false,"suffix":""}],"container-title":"Water Resources Research","id":"ITEM-1","issue":"3","issued":{"date-parts":[["2001"]]},"page":"539-549","publisher":"Wiley Online Library","title":"Pore-scale modeling and upscaling of nonaqueous phase liquid mass transfer","type":"article-journal","volume":"37"},"uris":["http://www.mendeley.com/documents/?uuid=46c4ae6f-5b0b-4575-97b4-5d9b7184f0cd","http://www.mendeley.com/documents/?uuid=b8cd8cdf-d94d-41fe-a94b-745dc9f74b49"]}],"mendeley":{"formattedCitation":"(Held &amp; Celia, 2001)","manualFormatting":"Held &amp; Celia, 2001","plainTextFormattedCitation":"(Held &amp; Celia, 2001)","previouslyFormattedCitation":"(Held &amp; Celia, 2001)"},"properties":{"noteIndex":0},"schema":"https://github.com/citation-style-language/schema/raw/master/csl-citation.json"}</w:instrText>
      </w:r>
      <w:r w:rsidRPr="005244BD">
        <w:rPr>
          <w:rFonts w:asciiTheme="majorBidi" w:eastAsiaTheme="minorEastAsia" w:hAnsiTheme="majorBidi" w:cstheme="majorBidi"/>
          <w:szCs w:val="18"/>
        </w:rPr>
        <w:fldChar w:fldCharType="separate"/>
      </w:r>
      <w:r w:rsidRPr="005244BD">
        <w:rPr>
          <w:rFonts w:asciiTheme="majorBidi" w:eastAsiaTheme="minorEastAsia" w:hAnsiTheme="majorBidi" w:cstheme="majorBidi"/>
          <w:noProof/>
          <w:szCs w:val="18"/>
        </w:rPr>
        <w:t>Held &amp; Celia, 2001</w:t>
      </w:r>
      <w:r w:rsidRPr="005244BD">
        <w:rPr>
          <w:rFonts w:asciiTheme="majorBidi" w:eastAsiaTheme="minorEastAsia" w:hAnsiTheme="majorBidi" w:cstheme="majorBidi"/>
          <w:szCs w:val="18"/>
        </w:rPr>
        <w:fldChar w:fldCharType="end"/>
      </w:r>
      <w:r w:rsidR="004E651B" w:rsidRPr="005244BD">
        <w:rPr>
          <w:rFonts w:asciiTheme="majorBidi" w:eastAsiaTheme="minorEastAsia" w:hAnsiTheme="majorBidi" w:cstheme="majorBidi"/>
          <w:szCs w:val="18"/>
        </w:rPr>
        <w:t xml:space="preserve">, </w:t>
      </w:r>
      <w:r w:rsidRPr="005244BD">
        <w:rPr>
          <w:rFonts w:asciiTheme="majorBidi" w:eastAsiaTheme="minorEastAsia" w:hAnsiTheme="majorBidi" w:cstheme="majorBidi"/>
          <w:szCs w:val="18"/>
        </w:rPr>
        <w:fldChar w:fldCharType="begin" w:fldLock="1"/>
      </w:r>
      <w:r w:rsidR="00BF6D87" w:rsidRPr="005244BD">
        <w:rPr>
          <w:rFonts w:asciiTheme="majorBidi" w:eastAsiaTheme="minorEastAsia" w:hAnsiTheme="majorBidi" w:cstheme="majorBidi"/>
          <w:szCs w:val="18"/>
        </w:rPr>
        <w:instrText>ADDIN CSL_CITATION {"citationItems":[{"id":"ITEM-1","itemData":{"author":[{"dropping-particle":"","family":"Detwiler","given":"Russell L","non-dropping-particle":"","parse-names":false,"suffix":""},{"dropping-particle":"","family":"Rajaram","given":"Harihar","non-dropping-particle":"","parse-names":false,"suffix":""},{"dropping-particle":"","family":"Glass","given":"Robert J","non-dropping-particle":"","parse-names":false,"suffix":""}],"container-title":"Water Resources Research","id":"ITEM-1","issue":"12","issued":{"date-parts":[["2001"]]},"page":"3115-3129","publisher":"Wiley Online Library","title":"Nonaqueous-phase-liquid dissolution in variable-aperture fractures: Development of a depth-averaged computational model with comparison to a physical experiment","type":"article-journal","volume":"37"},"uris":["http://www.mendeley.com/documents/?uuid=ac58638c-5c45-4f6c-b0cd-e28414fa50f1","http://www.mendeley.com/documents/?uuid=13ba0c77-dbff-4afd-a14a-3894939cbd43"]}],"mendeley":{"formattedCitation":"(Detwiler et al., 2001)","manualFormatting":"Detwiler et al., 2001)","plainTextFormattedCitation":"(Detwiler et al., 2001)","previouslyFormattedCitation":"(Detwiler et al., 2001)"},"properties":{"noteIndex":0},"schema":"https://github.com/citation-style-language/schema/raw/master/csl-citation.json"}</w:instrText>
      </w:r>
      <w:r w:rsidRPr="005244BD">
        <w:rPr>
          <w:rFonts w:asciiTheme="majorBidi" w:eastAsiaTheme="minorEastAsia" w:hAnsiTheme="majorBidi" w:cstheme="majorBidi"/>
          <w:szCs w:val="18"/>
        </w:rPr>
        <w:fldChar w:fldCharType="separate"/>
      </w:r>
      <w:r w:rsidRPr="005244BD">
        <w:rPr>
          <w:rFonts w:asciiTheme="majorBidi" w:eastAsiaTheme="minorEastAsia" w:hAnsiTheme="majorBidi" w:cstheme="majorBidi"/>
          <w:noProof/>
          <w:szCs w:val="18"/>
        </w:rPr>
        <w:t>Detwiler et al., 2001)</w:t>
      </w:r>
      <w:r w:rsidRPr="005244BD">
        <w:rPr>
          <w:rFonts w:asciiTheme="majorBidi" w:eastAsiaTheme="minorEastAsia" w:hAnsiTheme="majorBidi" w:cstheme="majorBidi"/>
          <w:szCs w:val="18"/>
        </w:rPr>
        <w:fldChar w:fldCharType="end"/>
      </w:r>
      <w:r w:rsidRPr="005244BD">
        <w:rPr>
          <w:rFonts w:asciiTheme="majorBidi" w:eastAsiaTheme="minorEastAsia" w:hAnsiTheme="majorBidi" w:cstheme="majorBidi"/>
          <w:szCs w:val="18"/>
        </w:rPr>
        <w:t xml:space="preserve">. It is assumed that the first two steps are not rate-limited. When a biofilm exists on the NAPL surfaces, while NAPL can be degraded within the biofilm, an extra mass transfer limitation will occur </w:t>
      </w:r>
      <w:r w:rsidRPr="005244BD">
        <w:rPr>
          <w:rFonts w:asciiTheme="majorBidi" w:eastAsiaTheme="minorEastAsia" w:hAnsiTheme="majorBidi" w:cstheme="majorBidi"/>
          <w:szCs w:val="18"/>
        </w:rPr>
        <w:fldChar w:fldCharType="begin" w:fldLock="1"/>
      </w:r>
      <w:r w:rsidR="00BF6D87" w:rsidRPr="005244BD">
        <w:rPr>
          <w:rFonts w:asciiTheme="majorBidi" w:eastAsiaTheme="minorEastAsia" w:hAnsiTheme="majorBidi" w:cstheme="majorBidi"/>
          <w:szCs w:val="18"/>
        </w:rPr>
        <w:instrText>ADDIN CSL_CITATION {"citationItems":[{"id":"ITEM-1","itemData":{"author":[{"dropping-particle":"","family":"Mulder","given":"H","non-dropping-particle":"","parse-names":false,"suffix":""},{"dropping-particle":"","family":"Breure","given":"A M","non-dropping-particle":"","parse-names":false,"suffix":""},{"dropping-particle":"","family":"Honschooten","given":"D","non-dropping-particle":"Van","parse-names":false,"suffix":""},{"dropping-particle":"","family":"Grotenhuis","given":"J T C","non-dropping-particle":"","parse-names":false,"suffix":""},{"dropping-particle":"","family":"Andel","given":"J G","non-dropping-particle":"Van","parse-names":false,"suffix":""},{"dropping-particle":"","family":"Rulkens","given":"W H","non-dropping-particle":"","parse-names":false,"suffix":""}],"container-title":"Applied microbiology and biotechnology","id":"ITEM-1","issue":"2","issued":{"date-parts":[["1998"]]},"page":"277-283","publisher":"Springer","title":"Effect of biofilm formation by Pseudomonas 8909N on the bioavailability of solid naphthalene","type":"article-journal","volume":"50"},"uris":["http://www.mendeley.com/documents/?uuid=c4ddacd0-da3b-467e-afba-87a837dc901a","http://www.mendeley.com/documents/?uuid=6699c157-8491-4a2f-8926-e7e0cb839a41"]}],"mendeley":{"formattedCitation":"(Mulder et al., 1998)","plainTextFormattedCitation":"(Mulder et al., 1998)","previouslyFormattedCitation":"(Mulder et al., 1998)"},"properties":{"noteIndex":0},"schema":"https://github.com/citation-style-language/schema/raw/master/csl-citation.json"}</w:instrText>
      </w:r>
      <w:r w:rsidRPr="005244BD">
        <w:rPr>
          <w:rFonts w:asciiTheme="majorBidi" w:eastAsiaTheme="minorEastAsia" w:hAnsiTheme="majorBidi" w:cstheme="majorBidi"/>
          <w:szCs w:val="18"/>
        </w:rPr>
        <w:fldChar w:fldCharType="separate"/>
      </w:r>
      <w:r w:rsidRPr="005244BD">
        <w:rPr>
          <w:rFonts w:asciiTheme="majorBidi" w:eastAsiaTheme="minorEastAsia" w:hAnsiTheme="majorBidi" w:cstheme="majorBidi"/>
          <w:noProof/>
          <w:szCs w:val="18"/>
        </w:rPr>
        <w:t>(Mulder et al., 1998)</w:t>
      </w:r>
      <w:r w:rsidRPr="005244BD">
        <w:rPr>
          <w:rFonts w:asciiTheme="majorBidi" w:eastAsiaTheme="minorEastAsia" w:hAnsiTheme="majorBidi" w:cstheme="majorBidi"/>
          <w:szCs w:val="18"/>
        </w:rPr>
        <w:fldChar w:fldCharType="end"/>
      </w:r>
      <w:r w:rsidRPr="005244BD">
        <w:rPr>
          <w:rFonts w:asciiTheme="majorBidi" w:eastAsiaTheme="minorEastAsia" w:hAnsiTheme="majorBidi" w:cstheme="majorBidi"/>
          <w:szCs w:val="18"/>
        </w:rPr>
        <w:t>. For the sake of simplicity, this mass transfer resistance is discarded and a micro-colony description is considered on the NAPL surface to prevent the total covering of NAPL blob by biofilm.</w:t>
      </w:r>
      <w:r w:rsidR="0082095B" w:rsidRPr="005244BD">
        <w:rPr>
          <w:rFonts w:asciiTheme="majorBidi" w:eastAsiaTheme="minorEastAsia" w:hAnsiTheme="majorBidi" w:cstheme="majorBidi"/>
          <w:szCs w:val="18"/>
        </w:rPr>
        <w:t xml:space="preserve"> Therefore, for the diffusion of NAPL into the biofilm for the biodegradation, it is assumed no rate limited in diffusion of NAPL species in its own phase. </w:t>
      </w:r>
      <w:r w:rsidR="00F71673" w:rsidRPr="005244BD">
        <w:rPr>
          <w:rFonts w:asciiTheme="majorBidi" w:eastAsiaTheme="minorEastAsia" w:hAnsiTheme="majorBidi" w:cstheme="majorBidi"/>
          <w:iCs/>
          <w:szCs w:val="18"/>
        </w:rPr>
        <w:t xml:space="preserve">The partitioning of nutrient from the NAPL phase to the biofilm phase is schematically shown in </w:t>
      </w:r>
      <w:r w:rsidR="00F71673" w:rsidRPr="005244BD">
        <w:rPr>
          <w:rFonts w:asciiTheme="majorBidi" w:eastAsiaTheme="minorEastAsia" w:hAnsiTheme="majorBidi" w:cstheme="majorBidi"/>
          <w:iCs/>
        </w:rPr>
        <w:fldChar w:fldCharType="begin"/>
      </w:r>
      <w:r w:rsidR="00F71673" w:rsidRPr="005244BD">
        <w:rPr>
          <w:rFonts w:asciiTheme="majorBidi" w:eastAsiaTheme="minorEastAsia" w:hAnsiTheme="majorBidi" w:cstheme="majorBidi"/>
          <w:iCs/>
        </w:rPr>
        <w:instrText xml:space="preserve"> REF _Ref15380272 \h  \* MERGEFORMAT </w:instrText>
      </w:r>
      <w:r w:rsidR="00F71673" w:rsidRPr="005244BD">
        <w:rPr>
          <w:rFonts w:asciiTheme="majorBidi" w:eastAsiaTheme="minorEastAsia" w:hAnsiTheme="majorBidi" w:cstheme="majorBidi"/>
          <w:iCs/>
        </w:rPr>
      </w:r>
      <w:r w:rsidR="00F71673" w:rsidRPr="005244BD">
        <w:rPr>
          <w:rFonts w:asciiTheme="majorBidi" w:eastAsiaTheme="minorEastAsia" w:hAnsiTheme="majorBidi" w:cstheme="majorBidi"/>
          <w:iCs/>
        </w:rPr>
        <w:fldChar w:fldCharType="separate"/>
      </w:r>
      <w:r w:rsidR="00EE0F85" w:rsidRPr="00EE0F85">
        <w:rPr>
          <w:rFonts w:asciiTheme="majorBidi" w:eastAsiaTheme="minorEastAsia" w:hAnsiTheme="majorBidi" w:cstheme="majorBidi"/>
          <w:b/>
          <w:bCs/>
          <w:iCs/>
        </w:rPr>
        <w:t>Figure</w:t>
      </w:r>
      <w:r w:rsidR="00EE0F85" w:rsidRPr="005244BD">
        <w:rPr>
          <w:rFonts w:asciiTheme="majorBidi" w:eastAsiaTheme="minorEastAsia" w:hAnsiTheme="majorBidi" w:cstheme="majorBidi"/>
          <w:b/>
          <w:bCs/>
          <w:iCs/>
          <w:sz w:val="20"/>
          <w:szCs w:val="20"/>
        </w:rPr>
        <w:t xml:space="preserve"> </w:t>
      </w:r>
      <w:r w:rsidR="00EE0F85">
        <w:rPr>
          <w:rFonts w:asciiTheme="majorBidi" w:eastAsiaTheme="minorEastAsia" w:hAnsiTheme="majorBidi" w:cstheme="majorBidi"/>
          <w:b/>
          <w:bCs/>
          <w:iCs/>
          <w:noProof/>
          <w:sz w:val="20"/>
          <w:szCs w:val="20"/>
        </w:rPr>
        <w:t>1</w:t>
      </w:r>
      <w:r w:rsidR="00F71673" w:rsidRPr="005244BD">
        <w:rPr>
          <w:rFonts w:asciiTheme="majorBidi" w:eastAsiaTheme="minorEastAsia" w:hAnsiTheme="majorBidi" w:cstheme="majorBidi"/>
          <w:iCs/>
        </w:rPr>
        <w:fldChar w:fldCharType="end"/>
      </w:r>
      <w:r w:rsidR="00F71673" w:rsidRPr="005244BD">
        <w:rPr>
          <w:rFonts w:asciiTheme="majorBidi" w:eastAsiaTheme="minorEastAsia" w:hAnsiTheme="majorBidi" w:cstheme="majorBidi"/>
          <w:iCs/>
        </w:rPr>
        <w:t xml:space="preserve">(c). Although there is mass transfer limitation occurring within a boundary layer between biofilm and the bulk liquid </w:t>
      </w:r>
      <w:r w:rsidR="00F71673" w:rsidRPr="005244BD">
        <w:rPr>
          <w:rFonts w:asciiTheme="majorBidi" w:eastAsiaTheme="minorEastAsia" w:hAnsiTheme="majorBidi" w:cstheme="majorBidi"/>
          <w:iCs/>
        </w:rPr>
        <w:fldChar w:fldCharType="begin" w:fldLock="1"/>
      </w:r>
      <w:r w:rsidR="00BF6D87" w:rsidRPr="005244BD">
        <w:rPr>
          <w:rFonts w:asciiTheme="majorBidi" w:eastAsiaTheme="minorEastAsia" w:hAnsiTheme="majorBidi" w:cstheme="majorBidi"/>
          <w:iCs/>
        </w:rPr>
        <w:instrText>ADDIN CSL_CITATION {"citationItems":[{"id":"ITEM-1","itemData":{"author":[{"dropping-particle":"","family":"Pizarro","given":"Gonzalo","non-dropping-particle":"","parse-names":false,"suffix":""},{"dropping-particle":"","family":"Griffeath","given":"David","non-dropping-particle":"","parse-names":false,"suffix":""},{"dropping-particle":"","family":"Noguera","given":"Daniel R","non-dropping-particle":"","parse-names":false,"suffix":""}],"container-title":"Journal of Environmental Engineering","id":"ITEM-1","issue":"9","issued":{"date-parts":[["2001"]]},"page":"782-789","publisher":"American Society of Civil Engineers","title":"Quantitative cellular automaton model for biofilms","type":"article-journal","volume":"127"},"uris":["http://www.mendeley.com/documents/?uuid=99992fe1-a47f-4f5d-9312-8cbfa6ed663c","http://www.mendeley.com/documents/?uuid=893bf76d-63af-4f87-836e-3d186979cc2f"]}],"mendeley":{"formattedCitation":"(Pizarro et al., 2001)","plainTextFormattedCitation":"(Pizarro et al., 2001)","previouslyFormattedCitation":"(Pizarro et al., 2001)"},"properties":{"noteIndex":0},"schema":"https://github.com/citation-style-language/schema/raw/master/csl-citation.json"}</w:instrText>
      </w:r>
      <w:r w:rsidR="00F71673" w:rsidRPr="005244BD">
        <w:rPr>
          <w:rFonts w:asciiTheme="majorBidi" w:eastAsiaTheme="minorEastAsia" w:hAnsiTheme="majorBidi" w:cstheme="majorBidi"/>
          <w:iCs/>
        </w:rPr>
        <w:fldChar w:fldCharType="separate"/>
      </w:r>
      <w:r w:rsidR="00F71673" w:rsidRPr="005244BD">
        <w:rPr>
          <w:rFonts w:asciiTheme="majorBidi" w:eastAsiaTheme="minorEastAsia" w:hAnsiTheme="majorBidi" w:cstheme="majorBidi"/>
          <w:iCs/>
          <w:noProof/>
        </w:rPr>
        <w:t>(Pizarro et al., 2001)</w:t>
      </w:r>
      <w:r w:rsidR="00F71673" w:rsidRPr="005244BD">
        <w:rPr>
          <w:rFonts w:asciiTheme="majorBidi" w:eastAsiaTheme="minorEastAsia" w:hAnsiTheme="majorBidi" w:cstheme="majorBidi"/>
          <w:iCs/>
        </w:rPr>
        <w:fldChar w:fldCharType="end"/>
      </w:r>
      <w:r w:rsidR="00F71673" w:rsidRPr="005244BD">
        <w:rPr>
          <w:rFonts w:asciiTheme="majorBidi" w:eastAsiaTheme="minorEastAsia" w:hAnsiTheme="majorBidi" w:cstheme="majorBidi"/>
          <w:iCs/>
        </w:rPr>
        <w:t>, we assume an instant partitioning of NAPL into biofilm using a partitioning coefficient.</w:t>
      </w:r>
      <w:r w:rsidR="00F71673" w:rsidRPr="005244BD">
        <w:rPr>
          <w:rFonts w:asciiTheme="majorBidi" w:eastAsiaTheme="minorEastAsia" w:hAnsiTheme="majorBidi" w:cstheme="majorBidi"/>
          <w:szCs w:val="18"/>
        </w:rPr>
        <w:t xml:space="preserve"> </w:t>
      </w:r>
      <w:r w:rsidR="0082095B" w:rsidRPr="005244BD">
        <w:rPr>
          <w:rFonts w:asciiTheme="majorBidi" w:eastAsiaTheme="minorEastAsia" w:hAnsiTheme="majorBidi" w:cstheme="majorBidi"/>
          <w:szCs w:val="18"/>
        </w:rPr>
        <w:t xml:space="preserve">However, a </w:t>
      </w:r>
      <w:r w:rsidR="0082095B" w:rsidRPr="005244BD">
        <w:rPr>
          <w:rFonts w:asciiTheme="majorBidi" w:eastAsiaTheme="minorEastAsia" w:hAnsiTheme="majorBidi" w:cstheme="majorBidi"/>
          <w:szCs w:val="18"/>
        </w:rPr>
        <w:lastRenderedPageBreak/>
        <w:t>limitation for biomass build up is considered based on the amount of NAPL exists and the space volume available in the pores and throats</w:t>
      </w:r>
    </w:p>
    <w:p w14:paraId="7BCD62C6" w14:textId="5E834380" w:rsidR="00A3491C" w:rsidRPr="005244BD" w:rsidRDefault="00870821" w:rsidP="000A53F6">
      <w:pPr>
        <w:spacing w:line="480" w:lineRule="auto"/>
        <w:jc w:val="both"/>
        <w:rPr>
          <w:rFonts w:asciiTheme="majorBidi" w:eastAsiaTheme="minorEastAsia" w:hAnsiTheme="majorBidi" w:cstheme="majorBidi"/>
          <w:iCs/>
        </w:rPr>
      </w:pPr>
      <w:r w:rsidRPr="005244BD">
        <w:rPr>
          <w:rFonts w:asciiTheme="majorBidi" w:eastAsiaTheme="minorEastAsia" w:hAnsiTheme="majorBidi" w:cstheme="majorBidi"/>
          <w:iCs/>
        </w:rPr>
        <w:t>T</w:t>
      </w:r>
      <w:r w:rsidR="00A3491C" w:rsidRPr="005244BD">
        <w:rPr>
          <w:rFonts w:asciiTheme="majorBidi" w:eastAsiaTheme="minorEastAsia" w:hAnsiTheme="majorBidi" w:cstheme="majorBidi"/>
          <w:iCs/>
        </w:rPr>
        <w:t>he diffusion and partitioning of NAPL species into the aqueous and biofilm phases, NAPL dissolution and biodegradation</w:t>
      </w:r>
      <w:r w:rsidR="00866B76" w:rsidRPr="005244BD">
        <w:rPr>
          <w:rFonts w:asciiTheme="majorBidi" w:eastAsiaTheme="minorEastAsia" w:hAnsiTheme="majorBidi" w:cstheme="majorBidi"/>
          <w:iCs/>
        </w:rPr>
        <w:t xml:space="preserve"> (in the throats, water-filled pores, and NAPL-filled pores)</w:t>
      </w:r>
      <w:r w:rsidR="00A3491C" w:rsidRPr="005244BD">
        <w:rPr>
          <w:rFonts w:asciiTheme="majorBidi" w:eastAsiaTheme="minorEastAsia" w:hAnsiTheme="majorBidi" w:cstheme="majorBidi"/>
          <w:iCs/>
        </w:rPr>
        <w:t xml:space="preserve"> are numerically simulated within three-dimensional unstructured pore networks. </w:t>
      </w:r>
      <w:r w:rsidR="00866B76" w:rsidRPr="005244BD">
        <w:rPr>
          <w:rFonts w:asciiTheme="majorBidi" w:eastAsiaTheme="minorEastAsia" w:hAnsiTheme="majorBidi" w:cstheme="majorBidi"/>
          <w:iCs/>
        </w:rPr>
        <w:t>In addition, biofilm could grow in each throat, water-filled pore, and NAPL-filled pore dynamically affect</w:t>
      </w:r>
      <w:r w:rsidRPr="005244BD">
        <w:rPr>
          <w:rFonts w:asciiTheme="majorBidi" w:eastAsiaTheme="minorEastAsia" w:hAnsiTheme="majorBidi" w:cstheme="majorBidi"/>
          <w:iCs/>
        </w:rPr>
        <w:t>ing</w:t>
      </w:r>
      <w:r w:rsidR="00866B76" w:rsidRPr="005244BD">
        <w:rPr>
          <w:rFonts w:asciiTheme="majorBidi" w:eastAsiaTheme="minorEastAsia" w:hAnsiTheme="majorBidi" w:cstheme="majorBidi"/>
          <w:iCs/>
        </w:rPr>
        <w:t xml:space="preserve"> the aqueous phase velocity.</w:t>
      </w:r>
      <w:r w:rsidR="00A4600E" w:rsidRPr="005244BD">
        <w:t xml:space="preserve"> </w:t>
      </w:r>
      <w:r w:rsidR="00A4600E" w:rsidRPr="005244BD">
        <w:rPr>
          <w:rFonts w:asciiTheme="majorBidi" w:eastAsiaTheme="minorEastAsia" w:hAnsiTheme="majorBidi" w:cstheme="majorBidi"/>
          <w:iCs/>
        </w:rPr>
        <w:t>It is assumed that water exists in the stagnant throats which connect NAPL-filled pore and water filled pore, i.e., a possible layer of water could exit at the interface of NAPL-filled pore in which provide a possible growth of biofilm.</w:t>
      </w:r>
      <w:r w:rsidR="00866B76" w:rsidRPr="005244BD">
        <w:rPr>
          <w:rFonts w:asciiTheme="majorBidi" w:eastAsiaTheme="minorEastAsia" w:hAnsiTheme="majorBidi" w:cstheme="majorBidi"/>
          <w:iCs/>
        </w:rPr>
        <w:t xml:space="preserve"> </w:t>
      </w:r>
      <w:r w:rsidR="00A3491C" w:rsidRPr="005244BD">
        <w:rPr>
          <w:rFonts w:asciiTheme="majorBidi" w:eastAsiaTheme="minorEastAsia" w:hAnsiTheme="majorBidi" w:cstheme="majorBidi"/>
          <w:iCs/>
        </w:rPr>
        <w:t xml:space="preserve">The following sections describe the </w:t>
      </w:r>
      <w:r w:rsidR="006A50CD" w:rsidRPr="005244BD">
        <w:rPr>
          <w:rFonts w:asciiTheme="majorBidi" w:eastAsiaTheme="minorEastAsia" w:hAnsiTheme="majorBidi" w:cstheme="majorBidi"/>
          <w:iCs/>
        </w:rPr>
        <w:t xml:space="preserve">numerical modelling of </w:t>
      </w:r>
      <w:r w:rsidR="00962869" w:rsidRPr="005244BD">
        <w:rPr>
          <w:rFonts w:asciiTheme="majorBidi" w:eastAsiaTheme="minorEastAsia" w:hAnsiTheme="majorBidi" w:cstheme="majorBidi"/>
          <w:iCs/>
        </w:rPr>
        <w:t xml:space="preserve">the NAPL </w:t>
      </w:r>
      <w:r w:rsidR="006A50CD" w:rsidRPr="005244BD">
        <w:rPr>
          <w:rFonts w:asciiTheme="majorBidi" w:eastAsiaTheme="minorEastAsia" w:hAnsiTheme="majorBidi" w:cstheme="majorBidi"/>
          <w:iCs/>
        </w:rPr>
        <w:t>dissolution and biodegradation</w:t>
      </w:r>
      <w:r w:rsidR="00962869" w:rsidRPr="005244BD">
        <w:rPr>
          <w:rFonts w:asciiTheme="majorBidi" w:eastAsiaTheme="minorEastAsia" w:hAnsiTheme="majorBidi" w:cstheme="majorBidi"/>
          <w:iCs/>
        </w:rPr>
        <w:t>,</w:t>
      </w:r>
      <w:r w:rsidR="006A50CD" w:rsidRPr="005244BD">
        <w:rPr>
          <w:rFonts w:asciiTheme="majorBidi" w:eastAsiaTheme="minorEastAsia" w:hAnsiTheme="majorBidi" w:cstheme="majorBidi"/>
          <w:iCs/>
        </w:rPr>
        <w:t xml:space="preserve"> </w:t>
      </w:r>
      <w:r w:rsidR="00962869" w:rsidRPr="005244BD">
        <w:rPr>
          <w:rFonts w:asciiTheme="majorBidi" w:eastAsiaTheme="minorEastAsia" w:hAnsiTheme="majorBidi" w:cstheme="majorBidi"/>
          <w:iCs/>
        </w:rPr>
        <w:t>and biofilm phase</w:t>
      </w:r>
      <w:r w:rsidR="006A50CD" w:rsidRPr="005244BD">
        <w:rPr>
          <w:rFonts w:asciiTheme="majorBidi" w:eastAsiaTheme="minorEastAsia" w:hAnsiTheme="majorBidi" w:cstheme="majorBidi"/>
          <w:iCs/>
        </w:rPr>
        <w:t xml:space="preserve"> </w:t>
      </w:r>
      <w:r w:rsidR="00962869" w:rsidRPr="005244BD">
        <w:rPr>
          <w:rFonts w:asciiTheme="majorBidi" w:eastAsiaTheme="minorEastAsia" w:hAnsiTheme="majorBidi" w:cstheme="majorBidi"/>
          <w:iCs/>
        </w:rPr>
        <w:t>growth at the pore scale</w:t>
      </w:r>
      <w:r w:rsidR="006A50CD" w:rsidRPr="005244BD">
        <w:rPr>
          <w:rFonts w:asciiTheme="majorBidi" w:eastAsiaTheme="minorEastAsia" w:hAnsiTheme="majorBidi" w:cstheme="majorBidi"/>
          <w:iCs/>
          <w:color w:val="0070C0"/>
        </w:rPr>
        <w:t>.</w:t>
      </w:r>
    </w:p>
    <w:p w14:paraId="4F6A6898" w14:textId="58BE4381" w:rsidR="0096219B" w:rsidRPr="005244BD" w:rsidRDefault="000437E0" w:rsidP="009D6FEB">
      <w:pPr>
        <w:keepNext/>
        <w:spacing w:after="0"/>
        <w:jc w:val="center"/>
      </w:pPr>
      <w:r w:rsidRPr="005244BD">
        <w:rPr>
          <w:noProof/>
          <w:lang w:eastAsia="en-GB"/>
        </w:rPr>
        <w:drawing>
          <wp:inline distT="0" distB="0" distL="0" distR="0" wp14:anchorId="67FDC2F4" wp14:editId="16195288">
            <wp:extent cx="4304746" cy="259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4746" cy="2592000"/>
                    </a:xfrm>
                    <a:prstGeom prst="rect">
                      <a:avLst/>
                    </a:prstGeom>
                    <a:noFill/>
                  </pic:spPr>
                </pic:pic>
              </a:graphicData>
            </a:graphic>
          </wp:inline>
        </w:drawing>
      </w:r>
    </w:p>
    <w:p w14:paraId="4F9A10D6" w14:textId="2E82F4F6" w:rsidR="006A50CD" w:rsidRPr="005244BD" w:rsidRDefault="0096219B" w:rsidP="00DD2FD6">
      <w:pPr>
        <w:spacing w:after="0" w:line="480" w:lineRule="auto"/>
        <w:jc w:val="both"/>
        <w:rPr>
          <w:rFonts w:asciiTheme="majorBidi" w:eastAsiaTheme="minorEastAsia" w:hAnsiTheme="majorBidi" w:cstheme="majorBidi"/>
          <w:iCs/>
          <w:sz w:val="20"/>
          <w:szCs w:val="20"/>
        </w:rPr>
      </w:pPr>
      <w:bookmarkStart w:id="3" w:name="_Ref15380272"/>
      <w:r w:rsidRPr="005244BD">
        <w:rPr>
          <w:rFonts w:asciiTheme="majorBidi" w:eastAsiaTheme="minorEastAsia" w:hAnsiTheme="majorBidi" w:cstheme="majorBidi"/>
          <w:b/>
          <w:bCs/>
          <w:iCs/>
          <w:sz w:val="20"/>
          <w:szCs w:val="20"/>
        </w:rPr>
        <w:t xml:space="preserve">Figure </w:t>
      </w:r>
      <w:r w:rsidR="00E00CA8" w:rsidRPr="005244BD">
        <w:rPr>
          <w:rFonts w:asciiTheme="majorBidi" w:eastAsiaTheme="minorEastAsia" w:hAnsiTheme="majorBidi" w:cstheme="majorBidi"/>
          <w:b/>
          <w:bCs/>
          <w:iCs/>
          <w:sz w:val="20"/>
          <w:szCs w:val="20"/>
        </w:rPr>
        <w:fldChar w:fldCharType="begin"/>
      </w:r>
      <w:r w:rsidR="00E00CA8" w:rsidRPr="005244BD">
        <w:rPr>
          <w:rFonts w:asciiTheme="majorBidi" w:eastAsiaTheme="minorEastAsia" w:hAnsiTheme="majorBidi" w:cstheme="majorBidi"/>
          <w:b/>
          <w:bCs/>
          <w:iCs/>
          <w:sz w:val="20"/>
          <w:szCs w:val="20"/>
        </w:rPr>
        <w:instrText xml:space="preserve"> SEQ Figure \* ARABIC </w:instrText>
      </w:r>
      <w:r w:rsidR="00E00CA8" w:rsidRPr="005244BD">
        <w:rPr>
          <w:rFonts w:asciiTheme="majorBidi" w:eastAsiaTheme="minorEastAsia" w:hAnsiTheme="majorBidi" w:cstheme="majorBidi"/>
          <w:b/>
          <w:bCs/>
          <w:iCs/>
          <w:sz w:val="20"/>
          <w:szCs w:val="20"/>
        </w:rPr>
        <w:fldChar w:fldCharType="separate"/>
      </w:r>
      <w:r w:rsidR="00EE0F85">
        <w:rPr>
          <w:rFonts w:asciiTheme="majorBidi" w:eastAsiaTheme="minorEastAsia" w:hAnsiTheme="majorBidi" w:cstheme="majorBidi"/>
          <w:b/>
          <w:bCs/>
          <w:iCs/>
          <w:noProof/>
          <w:sz w:val="20"/>
          <w:szCs w:val="20"/>
        </w:rPr>
        <w:t>1</w:t>
      </w:r>
      <w:r w:rsidR="00E00CA8" w:rsidRPr="005244BD">
        <w:rPr>
          <w:rFonts w:asciiTheme="majorBidi" w:eastAsiaTheme="minorEastAsia" w:hAnsiTheme="majorBidi" w:cstheme="majorBidi"/>
          <w:b/>
          <w:bCs/>
          <w:iCs/>
          <w:sz w:val="20"/>
          <w:szCs w:val="20"/>
        </w:rPr>
        <w:fldChar w:fldCharType="end"/>
      </w:r>
      <w:bookmarkEnd w:id="3"/>
      <w:r w:rsidRPr="005244BD">
        <w:rPr>
          <w:rFonts w:asciiTheme="majorBidi" w:eastAsiaTheme="minorEastAsia" w:hAnsiTheme="majorBidi" w:cstheme="majorBidi"/>
          <w:b/>
          <w:bCs/>
          <w:iCs/>
          <w:sz w:val="20"/>
          <w:szCs w:val="20"/>
        </w:rPr>
        <w:t>.</w:t>
      </w:r>
      <w:r w:rsidRPr="005244BD">
        <w:rPr>
          <w:rFonts w:asciiTheme="majorBidi" w:eastAsiaTheme="minorEastAsia" w:hAnsiTheme="majorBidi" w:cstheme="majorBidi"/>
          <w:iCs/>
          <w:sz w:val="20"/>
          <w:szCs w:val="20"/>
        </w:rPr>
        <w:t xml:space="preserve"> </w:t>
      </w:r>
      <w:r w:rsidR="00DD2FD6" w:rsidRPr="005244BD">
        <w:rPr>
          <w:rFonts w:asciiTheme="majorBidi" w:eastAsiaTheme="minorEastAsia" w:hAnsiTheme="majorBidi" w:cstheme="majorBidi"/>
          <w:iCs/>
          <w:sz w:val="20"/>
          <w:szCs w:val="20"/>
        </w:rPr>
        <w:t xml:space="preserve">(a) </w:t>
      </w:r>
      <w:r w:rsidR="00D81D91" w:rsidRPr="005244BD">
        <w:rPr>
          <w:rFonts w:asciiTheme="majorBidi" w:eastAsiaTheme="minorEastAsia" w:hAnsiTheme="majorBidi" w:cstheme="majorBidi"/>
          <w:iCs/>
          <w:sz w:val="20"/>
          <w:szCs w:val="20"/>
        </w:rPr>
        <w:t>Schematic</w:t>
      </w:r>
      <w:r w:rsidR="0080000E" w:rsidRPr="005244BD">
        <w:rPr>
          <w:rFonts w:asciiTheme="majorBidi" w:eastAsiaTheme="minorEastAsia" w:hAnsiTheme="majorBidi" w:cstheme="majorBidi"/>
          <w:iCs/>
          <w:sz w:val="20"/>
          <w:szCs w:val="20"/>
        </w:rPr>
        <w:t xml:space="preserve"> of an aquifer contaminated by NAPL in the presence of biofilm together with </w:t>
      </w:r>
      <w:r w:rsidR="00DD2FD6" w:rsidRPr="005244BD">
        <w:rPr>
          <w:rFonts w:asciiTheme="majorBidi" w:eastAsiaTheme="minorEastAsia" w:hAnsiTheme="majorBidi" w:cstheme="majorBidi"/>
          <w:iCs/>
          <w:sz w:val="20"/>
          <w:szCs w:val="20"/>
        </w:rPr>
        <w:t xml:space="preserve">(b) </w:t>
      </w:r>
      <w:r w:rsidR="0080000E" w:rsidRPr="005244BD">
        <w:rPr>
          <w:rFonts w:asciiTheme="majorBidi" w:eastAsiaTheme="minorEastAsia" w:hAnsiTheme="majorBidi" w:cstheme="majorBidi"/>
          <w:iCs/>
          <w:sz w:val="20"/>
          <w:szCs w:val="20"/>
        </w:rPr>
        <w:t xml:space="preserve">a schematic of NAPL species diffusion process to </w:t>
      </w:r>
      <w:r w:rsidR="00DD2FD6" w:rsidRPr="005244BD">
        <w:rPr>
          <w:rFonts w:asciiTheme="majorBidi" w:eastAsiaTheme="minorEastAsia" w:hAnsiTheme="majorBidi" w:cstheme="majorBidi"/>
          <w:iCs/>
          <w:sz w:val="20"/>
          <w:szCs w:val="20"/>
        </w:rPr>
        <w:t xml:space="preserve">the </w:t>
      </w:r>
      <w:r w:rsidR="000437E0" w:rsidRPr="005244BD">
        <w:rPr>
          <w:rFonts w:asciiTheme="majorBidi" w:eastAsiaTheme="minorEastAsia" w:hAnsiTheme="majorBidi" w:cstheme="majorBidi"/>
          <w:iCs/>
          <w:sz w:val="20"/>
          <w:szCs w:val="20"/>
        </w:rPr>
        <w:t xml:space="preserve">aqueous </w:t>
      </w:r>
      <w:r w:rsidR="00DD2FD6" w:rsidRPr="005244BD">
        <w:rPr>
          <w:rFonts w:asciiTheme="majorBidi" w:eastAsiaTheme="minorEastAsia" w:hAnsiTheme="majorBidi" w:cstheme="majorBidi"/>
          <w:iCs/>
          <w:sz w:val="20"/>
          <w:szCs w:val="20"/>
        </w:rPr>
        <w:t xml:space="preserve">phase and (c) </w:t>
      </w:r>
      <w:r w:rsidR="000437E0" w:rsidRPr="005244BD">
        <w:rPr>
          <w:rFonts w:asciiTheme="majorBidi" w:eastAsiaTheme="minorEastAsia" w:hAnsiTheme="majorBidi" w:cstheme="majorBidi"/>
          <w:iCs/>
          <w:sz w:val="20"/>
          <w:szCs w:val="20"/>
        </w:rPr>
        <w:t>NAPL partitioning into the biofilm</w:t>
      </w:r>
      <w:r w:rsidR="0080000E" w:rsidRPr="005244BD">
        <w:rPr>
          <w:rFonts w:asciiTheme="majorBidi" w:eastAsiaTheme="minorEastAsia" w:hAnsiTheme="majorBidi" w:cstheme="majorBidi"/>
          <w:iCs/>
          <w:sz w:val="20"/>
          <w:szCs w:val="20"/>
        </w:rPr>
        <w:t xml:space="preserve"> phase. </w:t>
      </w:r>
    </w:p>
    <w:p w14:paraId="3E559BCF" w14:textId="31DA69E5" w:rsidR="003E07B9" w:rsidRPr="005244BD" w:rsidRDefault="003E07B9" w:rsidP="008D22A3">
      <w:pPr>
        <w:pStyle w:val="Heading3"/>
        <w:spacing w:after="240"/>
        <w:rPr>
          <w:rFonts w:asciiTheme="majorBidi" w:hAnsiTheme="majorBidi"/>
          <w:b w:val="0"/>
          <w:bCs w:val="0"/>
        </w:rPr>
      </w:pPr>
      <w:bookmarkStart w:id="4" w:name="OLE_LINK1"/>
      <w:r w:rsidRPr="005244BD">
        <w:rPr>
          <w:rFonts w:asciiTheme="majorBidi" w:hAnsiTheme="majorBidi"/>
          <w:b w:val="0"/>
          <w:bCs w:val="0"/>
        </w:rPr>
        <w:t>2.1.</w:t>
      </w:r>
      <w:r w:rsidR="00BC5D51" w:rsidRPr="005244BD">
        <w:rPr>
          <w:rFonts w:asciiTheme="majorBidi" w:hAnsiTheme="majorBidi"/>
          <w:b w:val="0"/>
          <w:bCs w:val="0"/>
        </w:rPr>
        <w:t>1.</w:t>
      </w:r>
      <w:r w:rsidRPr="005244BD">
        <w:rPr>
          <w:rFonts w:asciiTheme="majorBidi" w:hAnsiTheme="majorBidi"/>
          <w:b w:val="0"/>
          <w:bCs w:val="0"/>
        </w:rPr>
        <w:t xml:space="preserve"> </w:t>
      </w:r>
      <w:r w:rsidR="008D22A3" w:rsidRPr="005244BD">
        <w:rPr>
          <w:rFonts w:asciiTheme="majorBidi" w:hAnsiTheme="majorBidi"/>
          <w:b w:val="0"/>
          <w:bCs w:val="0"/>
        </w:rPr>
        <w:t>NAPL</w:t>
      </w:r>
      <w:r w:rsidRPr="005244BD">
        <w:rPr>
          <w:rFonts w:asciiTheme="majorBidi" w:hAnsiTheme="majorBidi"/>
          <w:b w:val="0"/>
          <w:bCs w:val="0"/>
        </w:rPr>
        <w:t xml:space="preserve"> transport </w:t>
      </w:r>
      <w:r w:rsidR="008D22A3" w:rsidRPr="005244BD">
        <w:rPr>
          <w:rFonts w:asciiTheme="majorBidi" w:hAnsiTheme="majorBidi"/>
          <w:b w:val="0"/>
          <w:bCs w:val="0"/>
        </w:rPr>
        <w:t>in the aqueous phase</w:t>
      </w:r>
    </w:p>
    <w:p w14:paraId="1CE03974" w14:textId="70E2B722" w:rsidR="00082277" w:rsidRPr="005244BD" w:rsidRDefault="009C404F">
      <w:pPr>
        <w:spacing w:line="480" w:lineRule="auto"/>
        <w:jc w:val="both"/>
        <w:rPr>
          <w:rFonts w:asciiTheme="majorBidi" w:eastAsiaTheme="minorEastAsia" w:hAnsiTheme="majorBidi" w:cstheme="majorBidi"/>
          <w:iCs/>
          <w:szCs w:val="18"/>
        </w:rPr>
      </w:pPr>
      <w:r w:rsidRPr="005244BD">
        <w:rPr>
          <w:rFonts w:ascii="Times New Roman" w:hAnsi="Times New Roman" w:cs="Times New Roman"/>
        </w:rPr>
        <w:t xml:space="preserve">The methodology presented in the following has been used elsewhere </w:t>
      </w:r>
      <w:r w:rsidR="00CB3493" w:rsidRPr="005244BD">
        <w:rPr>
          <w:rFonts w:ascii="Times New Roman" w:hAnsi="Times New Roman" w:cs="Times New Roman"/>
        </w:rPr>
        <w:fldChar w:fldCharType="begin" w:fldLock="1"/>
      </w:r>
      <w:r w:rsidR="00BF6D87" w:rsidRPr="005244BD">
        <w:rPr>
          <w:rFonts w:ascii="Times New Roman" w:hAnsi="Times New Roman" w:cs="Times New Roman"/>
        </w:rPr>
        <w:instrText>ADDIN CSL_CITATION {"citationItems":[{"id":"ITEM-1","itemData":{"author":[{"dropping-particle":"","family":"Held","given":"Rudolf J","non-dropping-particle":"","parse-names":false,"suffix":""},{"dropping-particle":"","family":"Celia","given":"Michael A","non-dropping-particle":"","parse-names":false,"suffix":""}],"container-title":"Water Resources Research","id":"ITEM-1","issue":"3","issued":{"date-parts":[["2001"]]},"page":"539-549","publisher":"Wiley Online Library","title":"Pore-scale modeling and upscaling of nonaqueous phase liquid mass transfer","type":"article-journal","volume":"37"},"uris":["http://www.mendeley.com/documents/?uuid=b8cd8cdf-d94d-41fe-a94b-745dc9f74b49","http://www.mendeley.com/documents/?uuid=46c4ae6f-5b0b-4575-97b4-5d9b7184f0cd"]}],"mendeley":{"formattedCitation":"(Held &amp; Celia, 2001)","manualFormatting":"(Held &amp; Celia, 2001","plainTextFormattedCitation":"(Held &amp; Celia, 2001)","previouslyFormattedCitation":"(Held &amp; Celia, 2001)"},"properties":{"noteIndex":0},"schema":"https://github.com/citation-style-language/schema/raw/master/csl-citation.json"}</w:instrText>
      </w:r>
      <w:r w:rsidR="00CB3493" w:rsidRPr="005244BD">
        <w:rPr>
          <w:rFonts w:ascii="Times New Roman" w:hAnsi="Times New Roman" w:cs="Times New Roman"/>
        </w:rPr>
        <w:fldChar w:fldCharType="separate"/>
      </w:r>
      <w:r w:rsidR="007E3CAF" w:rsidRPr="005244BD">
        <w:rPr>
          <w:rFonts w:ascii="Times New Roman" w:hAnsi="Times New Roman" w:cs="Times New Roman"/>
          <w:noProof/>
        </w:rPr>
        <w:t>(Held &amp; Celia, 2001</w:t>
      </w:r>
      <w:r w:rsidR="00CB3493" w:rsidRPr="005244BD">
        <w:rPr>
          <w:rFonts w:ascii="Times New Roman" w:hAnsi="Times New Roman" w:cs="Times New Roman"/>
        </w:rPr>
        <w:fldChar w:fldCharType="end"/>
      </w:r>
      <w:r w:rsidR="004E651B" w:rsidRPr="005244BD">
        <w:rPr>
          <w:rFonts w:ascii="Times New Roman" w:hAnsi="Times New Roman" w:cs="Times New Roman"/>
        </w:rPr>
        <w:t xml:space="preserve">, </w:t>
      </w:r>
      <w:r w:rsidR="00CB3493" w:rsidRPr="005244BD">
        <w:rPr>
          <w:rFonts w:ascii="Times New Roman" w:hAnsi="Times New Roman" w:cs="Times New Roman"/>
        </w:rPr>
        <w:fldChar w:fldCharType="begin" w:fldLock="1"/>
      </w:r>
      <w:r w:rsidR="00BF6D87" w:rsidRPr="005244BD">
        <w:rPr>
          <w:rFonts w:ascii="Times New Roman" w:hAnsi="Times New Roman" w:cs="Times New Roman"/>
        </w:rPr>
        <w:instrText>ADDIN CSL_CITATION {"citationItems":[{"id":"ITEM-1","itemData":{"author":[{"dropping-particle":"","family":"Agaoglu","given":"Berken","non-dropping-particle":"","parse-names":false,"suffix":""},{"dropping-particle":"","family":"Scheytt","given":"Traugott","non-dropping-particle":"","parse-names":false,"suffix":""},{"dropping-particle":"","family":"Copty","given":"Nadim K","non-dropping-particle":"","parse-names":false,"suffix":""}],"container-title":"Advances in water resources","id":"ITEM-1","issued":{"date-parts":[["2016"]]},"page":"138-151","publisher":"Elsevier","title":"Impact of NAPL architecture on interphase mass transfer: A pore network study","type":"article-journal","volume":"95"},"uris":["http://www.mendeley.com/documents/?uuid=03422afb-8793-4db5-bba5-b11d64e89b6c","http://www.mendeley.com/documents/?uuid=b48cc73a-f5d0-4696-aed1-22ad34f86115"]}],"mendeley":{"formattedCitation":"(Agaoglu et al., 2016)","manualFormatting":"Agaoglu et al., 2016","plainTextFormattedCitation":"(Agaoglu et al., 2016)","previouslyFormattedCitation":"(Agaoglu et al., 2016)"},"properties":{"noteIndex":0},"schema":"https://github.com/citation-style-language/schema/raw/master/csl-citation.json"}</w:instrText>
      </w:r>
      <w:r w:rsidR="00CB3493" w:rsidRPr="005244BD">
        <w:rPr>
          <w:rFonts w:ascii="Times New Roman" w:hAnsi="Times New Roman" w:cs="Times New Roman"/>
        </w:rPr>
        <w:fldChar w:fldCharType="separate"/>
      </w:r>
      <w:r w:rsidR="007E3CAF" w:rsidRPr="005244BD">
        <w:rPr>
          <w:rFonts w:ascii="Times New Roman" w:hAnsi="Times New Roman" w:cs="Times New Roman"/>
          <w:noProof/>
        </w:rPr>
        <w:t>Agaoglu et al., 2016</w:t>
      </w:r>
      <w:r w:rsidR="00CB3493" w:rsidRPr="005244BD">
        <w:rPr>
          <w:rFonts w:ascii="Times New Roman" w:hAnsi="Times New Roman" w:cs="Times New Roman"/>
        </w:rPr>
        <w:fldChar w:fldCharType="end"/>
      </w:r>
      <w:r w:rsidR="004E651B" w:rsidRPr="005244BD">
        <w:rPr>
          <w:rFonts w:ascii="Times New Roman" w:hAnsi="Times New Roman" w:cs="Times New Roman"/>
        </w:rPr>
        <w:t xml:space="preserve">, </w:t>
      </w:r>
      <w:r w:rsidR="00CB3493" w:rsidRPr="005244BD">
        <w:rPr>
          <w:rFonts w:ascii="Times New Roman" w:hAnsi="Times New Roman" w:cs="Times New Roman"/>
        </w:rPr>
        <w:fldChar w:fldCharType="begin" w:fldLock="1"/>
      </w:r>
      <w:r w:rsidR="00BF6D87" w:rsidRPr="005244BD">
        <w:rPr>
          <w:rFonts w:ascii="Times New Roman" w:hAnsi="Times New Roman" w:cs="Times New Roman"/>
        </w:rPr>
        <w:instrText>ADDIN CSL_CITATION {"citationItems":[{"id":"ITEM-1","itemData":{"author":[{"dropping-particle":"","family":"Sarikurt","given":"Derya Aydin","non-dropping-particle":"","parse-names":false,"suffix":""},{"dropping-particle":"","family":"Gokdemir","given":"Cagri","non-dropping-particle":"","parse-names":false,"suffix":""},{"dropping-particle":"","family":"Copty","given":"Nadim K","non-dropping-particle":"","parse-names":false,"suffix":""}],"container-title":"Journal of contaminant hydrology","id":"ITEM-1","issued":{"date-parts":[["2017"]]},"page":"67-74","publisher":"Elsevier","title":"Sherwood correlation for dissolution of pooled NAPL in porous media","type":"article-journal","volume":"206"},"uris":["http://www.mendeley.com/documents/?uuid=dbec697b-fdda-431e-9d1f-9c8b0b79d3ad"]}],"mendeley":{"formattedCitation":"(Sarikurt et al., 2017)","manualFormatting":"Sarikurt et al., 2017","plainTextFormattedCitation":"(Sarikurt et al., 2017)","previouslyFormattedCitation":"(Sarikurt et al., 2017)"},"properties":{"noteIndex":0},"schema":"https://github.com/citation-style-language/schema/raw/master/csl-citation.json"}</w:instrText>
      </w:r>
      <w:r w:rsidR="00CB3493" w:rsidRPr="005244BD">
        <w:rPr>
          <w:rFonts w:ascii="Times New Roman" w:hAnsi="Times New Roman" w:cs="Times New Roman"/>
        </w:rPr>
        <w:fldChar w:fldCharType="separate"/>
      </w:r>
      <w:r w:rsidR="007E3CAF" w:rsidRPr="005244BD">
        <w:rPr>
          <w:rFonts w:ascii="Times New Roman" w:hAnsi="Times New Roman" w:cs="Times New Roman"/>
          <w:noProof/>
        </w:rPr>
        <w:t>Sarikurt et al., 2017</w:t>
      </w:r>
      <w:r w:rsidR="00CB3493" w:rsidRPr="005244BD">
        <w:rPr>
          <w:rFonts w:ascii="Times New Roman" w:hAnsi="Times New Roman" w:cs="Times New Roman"/>
        </w:rPr>
        <w:fldChar w:fldCharType="end"/>
      </w:r>
      <w:r w:rsidR="004E651B" w:rsidRPr="005244BD">
        <w:rPr>
          <w:rFonts w:ascii="Times New Roman" w:hAnsi="Times New Roman" w:cs="Times New Roman"/>
        </w:rPr>
        <w:t xml:space="preserve">, </w:t>
      </w:r>
      <w:r w:rsidR="007E3CAF" w:rsidRPr="005244BD">
        <w:rPr>
          <w:rFonts w:ascii="Times New Roman" w:hAnsi="Times New Roman" w:cs="Times New Roman"/>
        </w:rPr>
        <w:fldChar w:fldCharType="begin" w:fldLock="1"/>
      </w:r>
      <w:r w:rsidR="00BF6D87" w:rsidRPr="005244BD">
        <w:rPr>
          <w:rFonts w:ascii="Times New Roman" w:hAnsi="Times New Roman" w:cs="Times New Roman"/>
        </w:rPr>
        <w:instrText>ADDIN CSL_CITATION {"citationItems":[{"id":"ITEM-1","itemData":{"author":[{"dropping-particle":"","family":"Aminnaji","given":"Morteza","non-dropping-particle":"","parse-names":false,"suffix":""},{"dropping-particle":"","family":"Rabbani","given":"Arash","non-dropping-particle":"","parse-names":false,"suffix":""},{"dropping-particle":"","family":"Niasar","given":"Vahid J","non-dropping-particle":"","parse-names":false,"suffix":""},{"dropping-particle":"","family":"Babaei","given":"Masoud","non-dropping-particle":"","parse-names":false,"suffix":""}],"container-title":"Water Resources Research","id":"ITEM-1","issued":{"date-parts":[["2019"]]},"publisher":"Wiley Online Library","title":"Effects of pore-scale heterogeneity on macroscopic NAPL dissolution efficiency: A two-scale numerical simulation study","type":"article-journal"},"uris":["http://www.mendeley.com/documents/?uuid=de640a62-50f8-4232-9b02-049e5fbb54c7","http://www.mendeley.com/documents/?uuid=06a2ffc3-de7c-49ec-a291-cec6342865f1"]}],"mendeley":{"formattedCitation":"(Aminnaji et al., 2019)","manualFormatting":"Aminnaji et al., 2019)","plainTextFormattedCitation":"(Aminnaji et al., 2019)","previouslyFormattedCitation":"(Aminnaji et al., 2019)"},"properties":{"noteIndex":0},"schema":"https://github.com/citation-style-language/schema/raw/master/csl-citation.json"}</w:instrText>
      </w:r>
      <w:r w:rsidR="007E3CAF" w:rsidRPr="005244BD">
        <w:rPr>
          <w:rFonts w:ascii="Times New Roman" w:hAnsi="Times New Roman" w:cs="Times New Roman"/>
        </w:rPr>
        <w:fldChar w:fldCharType="separate"/>
      </w:r>
      <w:r w:rsidR="007E3CAF" w:rsidRPr="005244BD">
        <w:rPr>
          <w:rFonts w:ascii="Times New Roman" w:hAnsi="Times New Roman" w:cs="Times New Roman"/>
          <w:noProof/>
        </w:rPr>
        <w:t>Aminnaji et al., 2019)</w:t>
      </w:r>
      <w:r w:rsidR="007E3CAF" w:rsidRPr="005244BD">
        <w:rPr>
          <w:rFonts w:ascii="Times New Roman" w:hAnsi="Times New Roman" w:cs="Times New Roman"/>
        </w:rPr>
        <w:fldChar w:fldCharType="end"/>
      </w:r>
      <w:r w:rsidRPr="005244BD">
        <w:rPr>
          <w:rFonts w:ascii="Times New Roman" w:hAnsi="Times New Roman" w:cs="Times New Roman"/>
        </w:rPr>
        <w:t xml:space="preserve">. </w:t>
      </w:r>
      <w:bookmarkEnd w:id="4"/>
      <w:r w:rsidR="000A53F6" w:rsidRPr="005244BD">
        <w:rPr>
          <w:rFonts w:ascii="Times New Roman" w:hAnsi="Times New Roman" w:cs="Times New Roman"/>
        </w:rPr>
        <w:t xml:space="preserve">The NAPL phase is assumed as an immobile phase in which </w:t>
      </w:r>
      <w:r w:rsidR="00560FCC">
        <w:rPr>
          <w:rFonts w:ascii="Times New Roman" w:hAnsi="Times New Roman" w:cs="Times New Roman"/>
        </w:rPr>
        <w:t xml:space="preserve">the </w:t>
      </w:r>
      <w:r w:rsidR="00082277" w:rsidRPr="005244BD">
        <w:rPr>
          <w:rFonts w:ascii="Times New Roman" w:hAnsi="Times New Roman" w:cs="Times New Roman"/>
        </w:rPr>
        <w:t xml:space="preserve">aqueous </w:t>
      </w:r>
      <w:r w:rsidR="000A53F6" w:rsidRPr="005244BD">
        <w:rPr>
          <w:rFonts w:ascii="Times New Roman" w:hAnsi="Times New Roman" w:cs="Times New Roman"/>
        </w:rPr>
        <w:t xml:space="preserve">phase does not flow </w:t>
      </w:r>
      <w:r w:rsidR="00082277" w:rsidRPr="005244BD">
        <w:rPr>
          <w:rFonts w:ascii="Times New Roman" w:hAnsi="Times New Roman" w:cs="Times New Roman"/>
        </w:rPr>
        <w:t xml:space="preserve">in </w:t>
      </w:r>
      <w:r w:rsidR="000A53F6" w:rsidRPr="005244BD">
        <w:rPr>
          <w:rFonts w:ascii="Times New Roman" w:hAnsi="Times New Roman" w:cs="Times New Roman"/>
        </w:rPr>
        <w:t xml:space="preserve">the NAPL-filled </w:t>
      </w:r>
      <w:r w:rsidR="00082277" w:rsidRPr="005244BD">
        <w:rPr>
          <w:rFonts w:ascii="Times New Roman" w:hAnsi="Times New Roman" w:cs="Times New Roman"/>
        </w:rPr>
        <w:t>pores</w:t>
      </w:r>
      <w:r w:rsidR="00004A38" w:rsidRPr="005244BD">
        <w:rPr>
          <w:rFonts w:ascii="Times New Roman" w:hAnsi="Times New Roman" w:cs="Times New Roman"/>
        </w:rPr>
        <w:t>, i.e., the water flow is restricted to the water-filled pores</w:t>
      </w:r>
      <w:r w:rsidR="00082277" w:rsidRPr="005244BD">
        <w:rPr>
          <w:rFonts w:ascii="Times New Roman" w:hAnsi="Times New Roman" w:cs="Times New Roman"/>
        </w:rPr>
        <w:t xml:space="preserve">. </w:t>
      </w:r>
      <w:r w:rsidR="000A53F6" w:rsidRPr="005244BD">
        <w:rPr>
          <w:rFonts w:ascii="Times New Roman" w:hAnsi="Times New Roman" w:cs="Times New Roman"/>
        </w:rPr>
        <w:t xml:space="preserve">The pressure distribution through the pore network is calculated using the </w:t>
      </w:r>
      <w:r w:rsidR="000A53F6" w:rsidRPr="005244BD">
        <w:rPr>
          <w:rFonts w:asciiTheme="majorBidi" w:eastAsiaTheme="minorEastAsia" w:hAnsiTheme="majorBidi" w:cstheme="majorBidi"/>
          <w:iCs/>
          <w:szCs w:val="18"/>
        </w:rPr>
        <w:t xml:space="preserve">volumetric flow </w:t>
      </w:r>
      <w:r w:rsidR="00082277" w:rsidRPr="005244BD">
        <w:rPr>
          <w:rFonts w:asciiTheme="majorBidi" w:eastAsiaTheme="minorEastAsia" w:hAnsiTheme="majorBidi" w:cstheme="majorBidi"/>
          <w:iCs/>
          <w:szCs w:val="18"/>
        </w:rPr>
        <w:t>balance equation for each of the pores:</w:t>
      </w:r>
    </w:p>
    <w:p w14:paraId="29859EBE" w14:textId="5D644EB9" w:rsidR="00082277" w:rsidRPr="005244BD" w:rsidRDefault="007E5EE0" w:rsidP="00E50D2F">
      <w:pPr>
        <w:spacing w:after="0" w:line="240" w:lineRule="auto"/>
        <w:jc w:val="center"/>
        <w:rPr>
          <w:rFonts w:asciiTheme="majorBidi" w:eastAsiaTheme="minorEastAsia" w:hAnsiTheme="majorBidi" w:cstheme="majorBidi"/>
          <w:iCs/>
          <w:szCs w:val="18"/>
        </w:rPr>
      </w:pPr>
      <m:oMath>
        <m:nary>
          <m:naryPr>
            <m:chr m:val="∑"/>
            <m:limLoc m:val="undOvr"/>
            <m:ctrlPr>
              <w:rPr>
                <w:rFonts w:ascii="Cambria Math" w:eastAsiaTheme="minorEastAsia" w:hAnsi="Cambria Math" w:cstheme="majorBidi"/>
                <w:iCs/>
                <w:szCs w:val="18"/>
              </w:rPr>
            </m:ctrlPr>
          </m:naryPr>
          <m:sub>
            <m:r>
              <w:rPr>
                <w:rFonts w:ascii="Cambria Math" w:eastAsiaTheme="minorEastAsia" w:hAnsi="Cambria Math" w:cstheme="majorBidi"/>
                <w:szCs w:val="18"/>
              </w:rPr>
              <m:t>j</m:t>
            </m:r>
          </m:sub>
          <m:sup>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N</m:t>
                </m:r>
              </m:e>
              <m:sub>
                <m:r>
                  <w:rPr>
                    <w:rFonts w:ascii="Cambria Math" w:eastAsiaTheme="minorEastAsia" w:hAnsi="Cambria Math" w:cstheme="majorBidi"/>
                    <w:szCs w:val="18"/>
                  </w:rPr>
                  <m:t>i</m:t>
                </m:r>
              </m:sub>
            </m:sSub>
          </m:sup>
          <m:e>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Q</m:t>
                </m:r>
              </m:e>
              <m:sub>
                <m:r>
                  <w:rPr>
                    <w:rFonts w:ascii="Cambria Math" w:eastAsiaTheme="minorEastAsia" w:hAnsi="Cambria Math" w:cstheme="majorBidi"/>
                    <w:szCs w:val="18"/>
                  </w:rPr>
                  <m:t>ij</m:t>
                </m:r>
              </m:sub>
            </m:sSub>
            <m:r>
              <m:rPr>
                <m:sty m:val="p"/>
              </m:rPr>
              <w:rPr>
                <w:rFonts w:ascii="Cambria Math" w:eastAsiaTheme="minorEastAsia" w:hAnsi="Cambria Math" w:cstheme="majorBidi"/>
                <w:szCs w:val="18"/>
              </w:rPr>
              <m:t>=0</m:t>
            </m:r>
          </m:e>
        </m:nary>
      </m:oMath>
      <w:r w:rsidR="00E50D2F" w:rsidRPr="005244BD">
        <w:rPr>
          <w:rFonts w:asciiTheme="majorBidi" w:eastAsiaTheme="minorEastAsia" w:hAnsiTheme="majorBidi" w:cstheme="majorBidi"/>
          <w:iCs/>
          <w:szCs w:val="18"/>
        </w:rPr>
        <w:tab/>
      </w:r>
      <w:r w:rsidR="00E50D2F" w:rsidRPr="005244BD">
        <w:rPr>
          <w:rFonts w:asciiTheme="majorBidi" w:eastAsiaTheme="minorEastAsia" w:hAnsiTheme="majorBidi" w:cstheme="majorBidi"/>
          <w:iCs/>
          <w:szCs w:val="18"/>
        </w:rPr>
        <w:tab/>
      </w:r>
      <w:r w:rsidR="00E50D2F" w:rsidRPr="005244BD">
        <w:rPr>
          <w:rFonts w:asciiTheme="majorBidi" w:eastAsiaTheme="minorEastAsia" w:hAnsiTheme="majorBidi" w:cstheme="majorBidi"/>
          <w:iCs/>
          <w:szCs w:val="18"/>
        </w:rPr>
        <w:tab/>
      </w:r>
      <w:r w:rsidR="00E50D2F" w:rsidRPr="005244BD">
        <w:rPr>
          <w:rFonts w:asciiTheme="majorBidi" w:eastAsiaTheme="minorEastAsia" w:hAnsiTheme="majorBidi" w:cstheme="majorBidi"/>
          <w:iCs/>
          <w:szCs w:val="18"/>
        </w:rPr>
        <w:tab/>
      </w:r>
      <w:r w:rsidR="00082277" w:rsidRPr="005244BD">
        <w:rPr>
          <w:rFonts w:asciiTheme="majorBidi" w:eastAsiaTheme="minorEastAsia" w:hAnsiTheme="majorBidi" w:cstheme="majorBidi"/>
          <w:iCs/>
          <w:szCs w:val="18"/>
        </w:rPr>
        <w:t>Eq. 1</w:t>
      </w:r>
    </w:p>
    <w:p w14:paraId="0627BAF7" w14:textId="60F86C7C" w:rsidR="00082277" w:rsidRPr="005244BD" w:rsidRDefault="00082277">
      <w:pPr>
        <w:spacing w:line="480" w:lineRule="auto"/>
        <w:jc w:val="both"/>
        <w:rPr>
          <w:rFonts w:asciiTheme="majorBidi" w:eastAsiaTheme="minorEastAsia" w:hAnsiTheme="majorBidi" w:cstheme="majorBidi"/>
          <w:iCs/>
          <w:szCs w:val="18"/>
        </w:rPr>
      </w:pPr>
      <w:r w:rsidRPr="005244BD">
        <w:rPr>
          <w:rFonts w:asciiTheme="majorBidi" w:eastAsiaTheme="minorEastAsia" w:hAnsiTheme="majorBidi" w:cstheme="majorBidi"/>
          <w:iCs/>
          <w:szCs w:val="18"/>
        </w:rPr>
        <w:t xml:space="preserve">where </w:t>
      </w:r>
      <m:oMath>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Q</m:t>
            </m:r>
          </m:e>
          <m:sub>
            <m:r>
              <w:rPr>
                <w:rFonts w:ascii="Cambria Math" w:eastAsiaTheme="minorEastAsia" w:hAnsi="Cambria Math" w:cstheme="majorBidi"/>
                <w:szCs w:val="18"/>
              </w:rPr>
              <m:t>ij</m:t>
            </m:r>
          </m:sub>
        </m:sSub>
      </m:oMath>
      <w:r w:rsidRPr="005244BD">
        <w:rPr>
          <w:rFonts w:asciiTheme="majorBidi" w:eastAsiaTheme="minorEastAsia" w:hAnsiTheme="majorBidi" w:cstheme="majorBidi"/>
          <w:iCs/>
          <w:szCs w:val="18"/>
        </w:rPr>
        <w:t xml:space="preserve"> is the flow rate between pore </w:t>
      </w:r>
      <m:oMath>
        <m:r>
          <w:rPr>
            <w:rFonts w:ascii="Cambria Math" w:eastAsiaTheme="minorEastAsia" w:hAnsi="Cambria Math" w:cstheme="majorBidi"/>
            <w:szCs w:val="18"/>
          </w:rPr>
          <m:t>i</m:t>
        </m:r>
      </m:oMath>
      <w:r w:rsidR="000A53F6" w:rsidRPr="005244BD">
        <w:rPr>
          <w:rFonts w:asciiTheme="majorBidi" w:eastAsiaTheme="minorEastAsia" w:hAnsiTheme="majorBidi" w:cstheme="majorBidi"/>
          <w:szCs w:val="18"/>
          <w:vertAlign w:val="superscript"/>
        </w:rPr>
        <w:t>th</w:t>
      </w:r>
      <w:r w:rsidRPr="005244BD">
        <w:rPr>
          <w:rFonts w:asciiTheme="majorBidi" w:eastAsiaTheme="minorEastAsia" w:hAnsiTheme="majorBidi" w:cstheme="majorBidi"/>
          <w:iCs/>
          <w:szCs w:val="18"/>
        </w:rPr>
        <w:t xml:space="preserve"> and </w:t>
      </w:r>
      <m:oMath>
        <m:r>
          <w:rPr>
            <w:rFonts w:ascii="Cambria Math" w:eastAsiaTheme="minorEastAsia" w:hAnsi="Cambria Math" w:cstheme="majorBidi"/>
            <w:szCs w:val="18"/>
          </w:rPr>
          <m:t>j</m:t>
        </m:r>
      </m:oMath>
      <w:r w:rsidR="000A53F6" w:rsidRPr="005244BD">
        <w:rPr>
          <w:rFonts w:asciiTheme="majorBidi" w:eastAsiaTheme="minorEastAsia" w:hAnsiTheme="majorBidi" w:cstheme="majorBidi"/>
          <w:szCs w:val="18"/>
          <w:vertAlign w:val="superscript"/>
        </w:rPr>
        <w:t>th</w:t>
      </w:r>
      <w:r w:rsidRPr="005244BD">
        <w:rPr>
          <w:rFonts w:asciiTheme="majorBidi" w:eastAsiaTheme="minorEastAsia" w:hAnsiTheme="majorBidi" w:cstheme="majorBidi"/>
          <w:iCs/>
          <w:szCs w:val="18"/>
        </w:rPr>
        <w:t xml:space="preserve">, and </w:t>
      </w:r>
      <m:oMath>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N</m:t>
            </m:r>
          </m:e>
          <m:sub>
            <m:r>
              <w:rPr>
                <w:rFonts w:ascii="Cambria Math" w:eastAsiaTheme="minorEastAsia" w:hAnsi="Cambria Math" w:cstheme="majorBidi"/>
                <w:szCs w:val="18"/>
              </w:rPr>
              <m:t>i</m:t>
            </m:r>
          </m:sub>
        </m:sSub>
      </m:oMath>
      <w:r w:rsidRPr="005244BD">
        <w:rPr>
          <w:rFonts w:asciiTheme="majorBidi" w:eastAsiaTheme="minorEastAsia" w:hAnsiTheme="majorBidi" w:cstheme="majorBidi"/>
          <w:iCs/>
          <w:szCs w:val="18"/>
        </w:rPr>
        <w:t xml:space="preserve"> is the number of pores </w:t>
      </w:r>
      <w:r w:rsidR="000A53F6" w:rsidRPr="005244BD">
        <w:rPr>
          <w:rFonts w:asciiTheme="majorBidi" w:eastAsiaTheme="minorEastAsia" w:hAnsiTheme="majorBidi" w:cstheme="majorBidi"/>
          <w:iCs/>
          <w:szCs w:val="18"/>
        </w:rPr>
        <w:t xml:space="preserve">which </w:t>
      </w:r>
      <w:r w:rsidRPr="005244BD">
        <w:rPr>
          <w:rFonts w:asciiTheme="majorBidi" w:eastAsiaTheme="minorEastAsia" w:hAnsiTheme="majorBidi" w:cstheme="majorBidi"/>
          <w:iCs/>
          <w:szCs w:val="18"/>
        </w:rPr>
        <w:t xml:space="preserve">are connected to pore </w:t>
      </w:r>
      <m:oMath>
        <m:r>
          <w:rPr>
            <w:rFonts w:ascii="Cambria Math" w:eastAsiaTheme="minorEastAsia" w:hAnsi="Cambria Math" w:cstheme="majorBidi"/>
            <w:szCs w:val="18"/>
          </w:rPr>
          <m:t>i</m:t>
        </m:r>
      </m:oMath>
      <w:r w:rsidR="000A53F6" w:rsidRPr="005244BD">
        <w:rPr>
          <w:rFonts w:asciiTheme="majorBidi" w:eastAsiaTheme="minorEastAsia" w:hAnsiTheme="majorBidi" w:cstheme="majorBidi"/>
          <w:szCs w:val="18"/>
          <w:vertAlign w:val="superscript"/>
        </w:rPr>
        <w:t>th</w:t>
      </w:r>
      <w:r w:rsidRPr="005244BD">
        <w:rPr>
          <w:rFonts w:asciiTheme="majorBidi" w:eastAsiaTheme="minorEastAsia" w:hAnsiTheme="majorBidi" w:cstheme="majorBidi"/>
          <w:iCs/>
          <w:szCs w:val="18"/>
        </w:rPr>
        <w:t>. The</w:t>
      </w:r>
      <w:r w:rsidR="004E61FF" w:rsidRPr="005244BD">
        <w:rPr>
          <w:rFonts w:asciiTheme="majorBidi" w:eastAsiaTheme="minorEastAsia" w:hAnsiTheme="majorBidi" w:cstheme="majorBidi"/>
          <w:iCs/>
          <w:szCs w:val="18"/>
        </w:rPr>
        <w:t xml:space="preserve"> throat</w:t>
      </w:r>
      <w:r w:rsidRPr="005244BD">
        <w:rPr>
          <w:rFonts w:asciiTheme="majorBidi" w:eastAsiaTheme="minorEastAsia" w:hAnsiTheme="majorBidi" w:cstheme="majorBidi"/>
          <w:iCs/>
          <w:szCs w:val="18"/>
        </w:rPr>
        <w:t xml:space="preserve"> flow rate which connects pore </w:t>
      </w:r>
      <m:oMath>
        <m:r>
          <w:rPr>
            <w:rFonts w:ascii="Cambria Math" w:eastAsiaTheme="minorEastAsia" w:hAnsi="Cambria Math" w:cstheme="majorBidi"/>
            <w:szCs w:val="18"/>
          </w:rPr>
          <m:t>i</m:t>
        </m:r>
      </m:oMath>
      <w:r w:rsidR="000A53F6" w:rsidRPr="005244BD">
        <w:rPr>
          <w:rFonts w:asciiTheme="majorBidi" w:eastAsiaTheme="minorEastAsia" w:hAnsiTheme="majorBidi" w:cstheme="majorBidi"/>
          <w:szCs w:val="18"/>
          <w:vertAlign w:val="superscript"/>
        </w:rPr>
        <w:t>th</w:t>
      </w:r>
      <w:r w:rsidRPr="005244BD">
        <w:rPr>
          <w:rFonts w:asciiTheme="majorBidi" w:eastAsiaTheme="minorEastAsia" w:hAnsiTheme="majorBidi" w:cstheme="majorBidi"/>
          <w:iCs/>
          <w:szCs w:val="18"/>
        </w:rPr>
        <w:t xml:space="preserve"> to </w:t>
      </w:r>
      <m:oMath>
        <m:r>
          <w:rPr>
            <w:rFonts w:ascii="Cambria Math" w:eastAsiaTheme="minorEastAsia" w:hAnsi="Cambria Math" w:cstheme="majorBidi"/>
            <w:szCs w:val="18"/>
          </w:rPr>
          <m:t>j</m:t>
        </m:r>
      </m:oMath>
      <w:r w:rsidR="000A53F6" w:rsidRPr="005244BD">
        <w:rPr>
          <w:rFonts w:asciiTheme="majorBidi" w:eastAsiaTheme="minorEastAsia" w:hAnsiTheme="majorBidi" w:cstheme="majorBidi"/>
          <w:szCs w:val="18"/>
          <w:vertAlign w:val="superscript"/>
        </w:rPr>
        <w:t>th</w:t>
      </w:r>
      <w:r w:rsidRPr="005244BD">
        <w:rPr>
          <w:rFonts w:asciiTheme="majorBidi" w:eastAsiaTheme="minorEastAsia" w:hAnsiTheme="majorBidi" w:cstheme="majorBidi"/>
          <w:iCs/>
          <w:szCs w:val="18"/>
        </w:rPr>
        <w:t xml:space="preserve">, </w:t>
      </w:r>
      <m:oMath>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Q</m:t>
            </m:r>
          </m:e>
          <m:sub>
            <m:r>
              <w:rPr>
                <w:rFonts w:ascii="Cambria Math" w:eastAsiaTheme="minorEastAsia" w:hAnsi="Cambria Math" w:cstheme="majorBidi"/>
                <w:szCs w:val="18"/>
              </w:rPr>
              <m:t>ij</m:t>
            </m:r>
          </m:sub>
        </m:sSub>
        <m:r>
          <w:rPr>
            <w:rFonts w:ascii="Cambria Math" w:eastAsiaTheme="minorEastAsia" w:hAnsi="Cambria Math" w:cstheme="majorBidi"/>
            <w:szCs w:val="18"/>
          </w:rPr>
          <m:t xml:space="preserve">, </m:t>
        </m:r>
      </m:oMath>
      <w:r w:rsidRPr="005244BD">
        <w:rPr>
          <w:rFonts w:asciiTheme="majorBidi" w:eastAsiaTheme="minorEastAsia" w:hAnsiTheme="majorBidi" w:cstheme="majorBidi"/>
          <w:iCs/>
          <w:szCs w:val="18"/>
        </w:rPr>
        <w:t>is calculated using Hagen–Poiseuille equation</w:t>
      </w:r>
      <w:r w:rsidR="00BF110A" w:rsidRPr="005244BD">
        <w:rPr>
          <w:rFonts w:asciiTheme="majorBidi" w:eastAsiaTheme="minorEastAsia" w:hAnsiTheme="majorBidi" w:cstheme="majorBidi"/>
          <w:iCs/>
          <w:szCs w:val="18"/>
        </w:rPr>
        <w:t>, i.e., no pressure drop is considered in the pore bodies</w:t>
      </w:r>
      <w:r w:rsidRPr="005244BD">
        <w:rPr>
          <w:rFonts w:asciiTheme="majorBidi" w:eastAsiaTheme="minorEastAsia" w:hAnsiTheme="majorBidi" w:cstheme="majorBidi"/>
          <w:iCs/>
          <w:szCs w:val="18"/>
        </w:rPr>
        <w:t>:</w:t>
      </w:r>
    </w:p>
    <w:p w14:paraId="4C167055" w14:textId="499E025A" w:rsidR="00082277" w:rsidRPr="005244BD" w:rsidRDefault="007E5EE0" w:rsidP="00E50D2F">
      <w:pPr>
        <w:spacing w:line="240" w:lineRule="auto"/>
        <w:jc w:val="center"/>
        <w:rPr>
          <w:rFonts w:asciiTheme="majorBidi" w:eastAsiaTheme="minorEastAsia" w:hAnsiTheme="majorBidi" w:cstheme="majorBidi"/>
          <w:iCs/>
          <w:szCs w:val="18"/>
        </w:rPr>
      </w:pPr>
      <m:oMath>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Q</m:t>
            </m:r>
          </m:e>
          <m:sub>
            <m:r>
              <w:rPr>
                <w:rFonts w:ascii="Cambria Math" w:eastAsiaTheme="minorEastAsia" w:hAnsi="Cambria Math" w:cstheme="majorBidi"/>
                <w:szCs w:val="18"/>
              </w:rPr>
              <m:t>ij</m:t>
            </m:r>
          </m:sub>
        </m:sSub>
        <m:r>
          <w:rPr>
            <w:rFonts w:ascii="Cambria Math" w:eastAsiaTheme="minorEastAsia" w:hAnsi="Cambria Math" w:cstheme="majorBidi"/>
            <w:szCs w:val="18"/>
          </w:rPr>
          <m:t>=</m:t>
        </m:r>
        <m:f>
          <m:fPr>
            <m:ctrlPr>
              <w:rPr>
                <w:rFonts w:ascii="Cambria Math" w:eastAsiaTheme="minorEastAsia" w:hAnsi="Cambria Math" w:cstheme="majorBidi"/>
                <w:i/>
                <w:iCs/>
                <w:szCs w:val="18"/>
              </w:rPr>
            </m:ctrlPr>
          </m:fPr>
          <m:num>
            <m:r>
              <w:rPr>
                <w:rFonts w:ascii="Cambria Math" w:eastAsiaTheme="minorEastAsia" w:hAnsi="Cambria Math" w:cstheme="majorBidi"/>
                <w:szCs w:val="18"/>
              </w:rPr>
              <m:t xml:space="preserve"> π</m:t>
            </m:r>
            <m:sSubSup>
              <m:sSubSupPr>
                <m:ctrlPr>
                  <w:rPr>
                    <w:rFonts w:ascii="Cambria Math" w:eastAsiaTheme="minorEastAsia" w:hAnsi="Cambria Math" w:cstheme="majorBidi"/>
                    <w:i/>
                    <w:iCs/>
                    <w:szCs w:val="18"/>
                  </w:rPr>
                </m:ctrlPr>
              </m:sSubSupPr>
              <m:e>
                <m:r>
                  <w:rPr>
                    <w:rFonts w:ascii="Cambria Math" w:eastAsiaTheme="minorEastAsia" w:hAnsi="Cambria Math" w:cstheme="majorBidi"/>
                    <w:szCs w:val="18"/>
                  </w:rPr>
                  <m:t>r</m:t>
                </m:r>
              </m:e>
              <m:sub>
                <m:r>
                  <w:rPr>
                    <w:rFonts w:ascii="Cambria Math" w:eastAsiaTheme="minorEastAsia" w:hAnsi="Cambria Math" w:cstheme="majorBidi"/>
                    <w:szCs w:val="18"/>
                  </w:rPr>
                  <m:t>ij</m:t>
                </m:r>
              </m:sub>
              <m:sup>
                <m:r>
                  <w:rPr>
                    <w:rFonts w:ascii="Cambria Math" w:eastAsiaTheme="minorEastAsia" w:hAnsi="Cambria Math" w:cstheme="majorBidi"/>
                    <w:szCs w:val="18"/>
                  </w:rPr>
                  <m:t>4</m:t>
                </m:r>
              </m:sup>
            </m:sSubSup>
          </m:num>
          <m:den>
            <m:r>
              <w:rPr>
                <w:rFonts w:ascii="Cambria Math" w:eastAsiaTheme="minorEastAsia" w:hAnsi="Cambria Math" w:cstheme="majorBidi"/>
                <w:szCs w:val="18"/>
              </w:rPr>
              <m:t>8μ</m:t>
            </m:r>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l</m:t>
                </m:r>
              </m:e>
              <m:sub>
                <m:r>
                  <w:rPr>
                    <w:rFonts w:ascii="Cambria Math" w:eastAsiaTheme="minorEastAsia" w:hAnsi="Cambria Math" w:cstheme="majorBidi"/>
                    <w:szCs w:val="18"/>
                  </w:rPr>
                  <m:t>ij</m:t>
                </m:r>
              </m:sub>
            </m:sSub>
          </m:den>
        </m:f>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∆P</m:t>
            </m:r>
          </m:e>
          <m:sub>
            <m:r>
              <w:rPr>
                <w:rFonts w:ascii="Cambria Math" w:eastAsiaTheme="minorEastAsia" w:hAnsi="Cambria Math" w:cstheme="majorBidi"/>
                <w:szCs w:val="18"/>
              </w:rPr>
              <m:t>ij</m:t>
            </m:r>
          </m:sub>
        </m:sSub>
      </m:oMath>
      <w:r w:rsidR="00E50D2F" w:rsidRPr="005244BD">
        <w:rPr>
          <w:rFonts w:asciiTheme="majorBidi" w:eastAsiaTheme="minorEastAsia" w:hAnsiTheme="majorBidi" w:cstheme="majorBidi"/>
          <w:iCs/>
          <w:szCs w:val="18"/>
        </w:rPr>
        <w:tab/>
      </w:r>
      <w:r w:rsidR="00E50D2F" w:rsidRPr="005244BD">
        <w:rPr>
          <w:rFonts w:asciiTheme="majorBidi" w:eastAsiaTheme="minorEastAsia" w:hAnsiTheme="majorBidi" w:cstheme="majorBidi"/>
          <w:iCs/>
          <w:szCs w:val="18"/>
        </w:rPr>
        <w:tab/>
      </w:r>
      <w:r w:rsidR="00E50D2F" w:rsidRPr="005244BD">
        <w:rPr>
          <w:rFonts w:asciiTheme="majorBidi" w:eastAsiaTheme="minorEastAsia" w:hAnsiTheme="majorBidi" w:cstheme="majorBidi"/>
          <w:iCs/>
          <w:szCs w:val="18"/>
        </w:rPr>
        <w:tab/>
      </w:r>
      <w:r w:rsidR="00E50D2F" w:rsidRPr="005244BD">
        <w:rPr>
          <w:rFonts w:asciiTheme="majorBidi" w:eastAsiaTheme="minorEastAsia" w:hAnsiTheme="majorBidi" w:cstheme="majorBidi"/>
          <w:iCs/>
          <w:szCs w:val="18"/>
        </w:rPr>
        <w:tab/>
      </w:r>
      <w:r w:rsidR="00082277" w:rsidRPr="005244BD">
        <w:rPr>
          <w:rFonts w:asciiTheme="majorBidi" w:eastAsiaTheme="minorEastAsia" w:hAnsiTheme="majorBidi" w:cstheme="majorBidi"/>
          <w:iCs/>
          <w:szCs w:val="18"/>
        </w:rPr>
        <w:t>Eq. 2</w:t>
      </w:r>
    </w:p>
    <w:p w14:paraId="13E04599" w14:textId="42E1E8F9" w:rsidR="00082277" w:rsidRPr="005244BD" w:rsidRDefault="00082277">
      <w:pPr>
        <w:spacing w:line="480" w:lineRule="auto"/>
        <w:jc w:val="both"/>
        <w:rPr>
          <w:rFonts w:asciiTheme="majorBidi" w:eastAsiaTheme="minorEastAsia" w:hAnsiTheme="majorBidi" w:cstheme="majorBidi"/>
          <w:iCs/>
          <w:szCs w:val="18"/>
        </w:rPr>
      </w:pPr>
      <w:r w:rsidRPr="005244BD">
        <w:rPr>
          <w:rFonts w:asciiTheme="majorBidi" w:eastAsiaTheme="minorEastAsia" w:hAnsiTheme="majorBidi" w:cstheme="majorBidi"/>
          <w:iCs/>
          <w:szCs w:val="18"/>
        </w:rPr>
        <w:t xml:space="preserve">where </w:t>
      </w:r>
      <m:oMath>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r</m:t>
            </m:r>
          </m:e>
          <m:sub>
            <m:r>
              <w:rPr>
                <w:rFonts w:ascii="Cambria Math" w:eastAsiaTheme="minorEastAsia" w:hAnsi="Cambria Math" w:cstheme="majorBidi"/>
                <w:szCs w:val="18"/>
              </w:rPr>
              <m:t>ij</m:t>
            </m:r>
          </m:sub>
        </m:sSub>
      </m:oMath>
      <w:r w:rsidRPr="005244BD">
        <w:rPr>
          <w:rFonts w:asciiTheme="majorBidi" w:eastAsiaTheme="minorEastAsia" w:hAnsiTheme="majorBidi" w:cstheme="majorBidi"/>
          <w:iCs/>
          <w:szCs w:val="18"/>
        </w:rPr>
        <w:t xml:space="preserve"> is the </w:t>
      </w:r>
      <w:r w:rsidR="004E61FF" w:rsidRPr="005244BD">
        <w:rPr>
          <w:rFonts w:asciiTheme="majorBidi" w:eastAsiaTheme="minorEastAsia" w:hAnsiTheme="majorBidi" w:cstheme="majorBidi"/>
          <w:iCs/>
          <w:szCs w:val="18"/>
        </w:rPr>
        <w:t xml:space="preserve">throat </w:t>
      </w:r>
      <w:r w:rsidRPr="005244BD">
        <w:rPr>
          <w:rFonts w:asciiTheme="majorBidi" w:eastAsiaTheme="minorEastAsia" w:hAnsiTheme="majorBidi" w:cstheme="majorBidi"/>
          <w:iCs/>
          <w:szCs w:val="18"/>
        </w:rPr>
        <w:t xml:space="preserve">radius, </w:t>
      </w:r>
      <m:oMath>
        <m:sSub>
          <m:sSubPr>
            <m:ctrlPr>
              <w:rPr>
                <w:rFonts w:ascii="Cambria Math" w:eastAsiaTheme="minorEastAsia" w:hAnsi="Cambria Math" w:cstheme="majorBidi"/>
                <w:i/>
                <w:szCs w:val="18"/>
              </w:rPr>
            </m:ctrlPr>
          </m:sSubPr>
          <m:e>
            <m:r>
              <w:rPr>
                <w:rFonts w:ascii="Cambria Math" w:eastAsiaTheme="minorEastAsia" w:hAnsi="Cambria Math" w:cstheme="majorBidi"/>
              </w:rPr>
              <m:t>l</m:t>
            </m:r>
          </m:e>
          <m:sub>
            <m:r>
              <w:rPr>
                <w:rFonts w:ascii="Cambria Math" w:eastAsiaTheme="minorEastAsia" w:hAnsi="Cambria Math" w:cstheme="majorBidi"/>
              </w:rPr>
              <m:t>ij</m:t>
            </m:r>
          </m:sub>
        </m:sSub>
      </m:oMath>
      <w:r w:rsidRPr="005244BD">
        <w:rPr>
          <w:rFonts w:asciiTheme="majorBidi" w:eastAsiaTheme="minorEastAsia" w:hAnsiTheme="majorBidi" w:cstheme="majorBidi"/>
          <w:iCs/>
          <w:szCs w:val="18"/>
        </w:rPr>
        <w:t xml:space="preserve"> is the </w:t>
      </w:r>
      <w:r w:rsidR="004E61FF" w:rsidRPr="005244BD">
        <w:rPr>
          <w:rFonts w:asciiTheme="majorBidi" w:eastAsiaTheme="minorEastAsia" w:hAnsiTheme="majorBidi" w:cstheme="majorBidi"/>
          <w:iCs/>
          <w:szCs w:val="18"/>
        </w:rPr>
        <w:t xml:space="preserve">throat </w:t>
      </w:r>
      <w:r w:rsidRPr="005244BD">
        <w:rPr>
          <w:rFonts w:asciiTheme="majorBidi" w:eastAsiaTheme="minorEastAsia" w:hAnsiTheme="majorBidi" w:cstheme="majorBidi"/>
          <w:iCs/>
          <w:szCs w:val="18"/>
        </w:rPr>
        <w:t xml:space="preserve">length, </w:t>
      </w:r>
      <m:oMath>
        <m:r>
          <w:rPr>
            <w:rFonts w:ascii="Cambria Math" w:eastAsiaTheme="minorEastAsia" w:hAnsi="Cambria Math" w:cstheme="majorBidi"/>
            <w:szCs w:val="18"/>
          </w:rPr>
          <m:t>μ</m:t>
        </m:r>
      </m:oMath>
      <w:r w:rsidRPr="005244BD">
        <w:rPr>
          <w:rFonts w:asciiTheme="majorBidi" w:eastAsiaTheme="minorEastAsia" w:hAnsiTheme="majorBidi" w:cstheme="majorBidi"/>
          <w:iCs/>
          <w:szCs w:val="18"/>
        </w:rPr>
        <w:t xml:space="preserve"> is the </w:t>
      </w:r>
      <w:r w:rsidR="004E61FF" w:rsidRPr="005244BD">
        <w:rPr>
          <w:rFonts w:asciiTheme="majorBidi" w:eastAsiaTheme="minorEastAsia" w:hAnsiTheme="majorBidi" w:cstheme="majorBidi"/>
          <w:iCs/>
          <w:szCs w:val="18"/>
        </w:rPr>
        <w:t xml:space="preserve">viscosity of the </w:t>
      </w:r>
      <w:r w:rsidRPr="005244BD">
        <w:rPr>
          <w:rFonts w:asciiTheme="majorBidi" w:eastAsiaTheme="minorEastAsia" w:hAnsiTheme="majorBidi" w:cstheme="majorBidi"/>
          <w:iCs/>
          <w:szCs w:val="18"/>
        </w:rPr>
        <w:t xml:space="preserve">aqueous phase, and </w:t>
      </w:r>
      <m:oMath>
        <m:sSub>
          <m:sSubPr>
            <m:ctrlPr>
              <w:rPr>
                <w:rFonts w:ascii="Cambria Math" w:eastAsiaTheme="minorEastAsia" w:hAnsi="Cambria Math" w:cstheme="majorBidi"/>
                <w:iCs/>
                <w:szCs w:val="18"/>
              </w:rPr>
            </m:ctrlPr>
          </m:sSubPr>
          <m:e>
            <m:r>
              <m:rPr>
                <m:sty m:val="p"/>
              </m:rPr>
              <w:rPr>
                <w:rFonts w:ascii="Cambria Math" w:eastAsiaTheme="minorEastAsia" w:hAnsi="Cambria Math" w:cstheme="majorBidi"/>
                <w:szCs w:val="18"/>
              </w:rPr>
              <m:t>∆</m:t>
            </m:r>
            <m:r>
              <w:rPr>
                <w:rFonts w:ascii="Cambria Math" w:eastAsiaTheme="minorEastAsia" w:hAnsi="Cambria Math" w:cstheme="majorBidi"/>
                <w:szCs w:val="18"/>
              </w:rPr>
              <m:t>P</m:t>
            </m:r>
          </m:e>
          <m:sub>
            <m:r>
              <w:rPr>
                <w:rFonts w:ascii="Cambria Math" w:eastAsiaTheme="minorEastAsia" w:hAnsi="Cambria Math" w:cstheme="majorBidi"/>
                <w:szCs w:val="18"/>
              </w:rPr>
              <m:t>ij</m:t>
            </m:r>
          </m:sub>
        </m:sSub>
      </m:oMath>
      <w:r w:rsidRPr="005244BD">
        <w:rPr>
          <w:rFonts w:asciiTheme="majorBidi" w:eastAsiaTheme="minorEastAsia" w:hAnsiTheme="majorBidi" w:cstheme="majorBidi"/>
          <w:iCs/>
          <w:szCs w:val="18"/>
        </w:rPr>
        <w:t xml:space="preserve"> is </w:t>
      </w:r>
      <w:r w:rsidR="000D3C6D" w:rsidRPr="005244BD">
        <w:rPr>
          <w:rFonts w:asciiTheme="majorBidi" w:eastAsiaTheme="minorEastAsia" w:hAnsiTheme="majorBidi" w:cstheme="majorBidi"/>
          <w:iCs/>
          <w:szCs w:val="18"/>
        </w:rPr>
        <w:t xml:space="preserve">a </w:t>
      </w:r>
      <w:r w:rsidRPr="005244BD">
        <w:rPr>
          <w:rFonts w:asciiTheme="majorBidi" w:eastAsiaTheme="minorEastAsia" w:hAnsiTheme="majorBidi" w:cstheme="majorBidi"/>
          <w:iCs/>
          <w:szCs w:val="18"/>
        </w:rPr>
        <w:t xml:space="preserve">pressure difference between two sides of </w:t>
      </w:r>
      <w:r w:rsidR="000D3C6D" w:rsidRPr="005244BD">
        <w:rPr>
          <w:rFonts w:asciiTheme="majorBidi" w:eastAsiaTheme="minorEastAsia" w:hAnsiTheme="majorBidi" w:cstheme="majorBidi"/>
          <w:iCs/>
          <w:szCs w:val="18"/>
        </w:rPr>
        <w:t xml:space="preserve">the </w:t>
      </w:r>
      <w:r w:rsidRPr="005244BD">
        <w:rPr>
          <w:rFonts w:asciiTheme="majorBidi" w:eastAsiaTheme="minorEastAsia" w:hAnsiTheme="majorBidi" w:cstheme="majorBidi"/>
          <w:iCs/>
          <w:szCs w:val="18"/>
        </w:rPr>
        <w:t xml:space="preserve">throat. </w:t>
      </w:r>
      <w:r w:rsidR="00BF110A" w:rsidRPr="005244BD">
        <w:rPr>
          <w:rFonts w:asciiTheme="majorBidi" w:eastAsiaTheme="minorEastAsia" w:hAnsiTheme="majorBidi" w:cstheme="majorBidi"/>
          <w:iCs/>
          <w:szCs w:val="18"/>
        </w:rPr>
        <w:t xml:space="preserve">Combining </w:t>
      </w:r>
      <w:r w:rsidRPr="005244BD">
        <w:rPr>
          <w:rFonts w:asciiTheme="majorBidi" w:eastAsiaTheme="minorEastAsia" w:hAnsiTheme="majorBidi" w:cstheme="majorBidi"/>
          <w:iCs/>
          <w:szCs w:val="18"/>
        </w:rPr>
        <w:t xml:space="preserve">Eq. 2 </w:t>
      </w:r>
      <w:r w:rsidR="00BF110A" w:rsidRPr="005244BD">
        <w:rPr>
          <w:rFonts w:asciiTheme="majorBidi" w:eastAsiaTheme="minorEastAsia" w:hAnsiTheme="majorBidi" w:cstheme="majorBidi"/>
          <w:iCs/>
          <w:szCs w:val="18"/>
        </w:rPr>
        <w:t xml:space="preserve">and </w:t>
      </w:r>
      <w:r w:rsidRPr="005244BD">
        <w:rPr>
          <w:rFonts w:asciiTheme="majorBidi" w:eastAsiaTheme="minorEastAsia" w:hAnsiTheme="majorBidi" w:cstheme="majorBidi"/>
          <w:iCs/>
          <w:szCs w:val="18"/>
        </w:rPr>
        <w:t xml:space="preserve">Eq. 1 </w:t>
      </w:r>
      <w:r w:rsidR="00BF110A" w:rsidRPr="005244BD">
        <w:rPr>
          <w:rFonts w:asciiTheme="majorBidi" w:eastAsiaTheme="minorEastAsia" w:hAnsiTheme="majorBidi" w:cstheme="majorBidi"/>
          <w:iCs/>
          <w:szCs w:val="18"/>
        </w:rPr>
        <w:t>for each of the pores gives a linear system of equations for pressure</w:t>
      </w:r>
      <w:r w:rsidRPr="005244BD">
        <w:rPr>
          <w:rFonts w:asciiTheme="majorBidi" w:eastAsiaTheme="minorEastAsia" w:hAnsiTheme="majorBidi" w:cstheme="majorBidi"/>
          <w:iCs/>
          <w:szCs w:val="18"/>
        </w:rPr>
        <w:t xml:space="preserve">: </w:t>
      </w:r>
    </w:p>
    <w:p w14:paraId="6A49B6FB" w14:textId="26EF8987" w:rsidR="00082277" w:rsidRPr="005244BD" w:rsidRDefault="007E5EE0" w:rsidP="005E3DC5">
      <w:pPr>
        <w:spacing w:after="0" w:line="240" w:lineRule="auto"/>
        <w:jc w:val="center"/>
        <w:rPr>
          <w:rFonts w:asciiTheme="majorBidi" w:eastAsiaTheme="minorEastAsia" w:hAnsiTheme="majorBidi" w:cstheme="majorBidi"/>
          <w:iCs/>
          <w:szCs w:val="18"/>
        </w:rPr>
      </w:pPr>
      <m:oMath>
        <m:nary>
          <m:naryPr>
            <m:chr m:val="∑"/>
            <m:limLoc m:val="undOvr"/>
            <m:ctrlPr>
              <w:rPr>
                <w:rFonts w:ascii="Cambria Math" w:eastAsiaTheme="minorEastAsia" w:hAnsi="Cambria Math" w:cstheme="majorBidi"/>
                <w:iCs/>
                <w:szCs w:val="18"/>
              </w:rPr>
            </m:ctrlPr>
          </m:naryPr>
          <m:sub>
            <m:r>
              <w:rPr>
                <w:rFonts w:ascii="Cambria Math" w:eastAsiaTheme="minorEastAsia" w:hAnsi="Cambria Math" w:cstheme="majorBidi"/>
                <w:szCs w:val="18"/>
              </w:rPr>
              <m:t>j</m:t>
            </m:r>
          </m:sub>
          <m:sup>
            <m:r>
              <w:rPr>
                <w:rFonts w:ascii="Cambria Math" w:eastAsiaTheme="minorEastAsia" w:hAnsi="Cambria Math" w:cstheme="majorBidi"/>
                <w:szCs w:val="18"/>
              </w:rPr>
              <m:t>N</m:t>
            </m:r>
          </m:sup>
          <m:e>
            <m:f>
              <m:fPr>
                <m:ctrlPr>
                  <w:rPr>
                    <w:rFonts w:ascii="Cambria Math" w:eastAsiaTheme="minorEastAsia" w:hAnsi="Cambria Math" w:cstheme="majorBidi"/>
                    <w:i/>
                    <w:iCs/>
                    <w:szCs w:val="18"/>
                  </w:rPr>
                </m:ctrlPr>
              </m:fPr>
              <m:num>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∆P</m:t>
                    </m:r>
                  </m:e>
                  <m:sub>
                    <m:r>
                      <w:rPr>
                        <w:rFonts w:ascii="Cambria Math" w:eastAsiaTheme="minorEastAsia" w:hAnsi="Cambria Math" w:cstheme="majorBidi"/>
                        <w:szCs w:val="18"/>
                      </w:rPr>
                      <m:t>ij</m:t>
                    </m:r>
                  </m:sub>
                </m:sSub>
                <m:sSubSup>
                  <m:sSubSupPr>
                    <m:ctrlPr>
                      <w:rPr>
                        <w:rFonts w:ascii="Cambria Math" w:eastAsiaTheme="minorEastAsia" w:hAnsi="Cambria Math" w:cstheme="majorBidi"/>
                        <w:i/>
                        <w:iCs/>
                        <w:szCs w:val="18"/>
                      </w:rPr>
                    </m:ctrlPr>
                  </m:sSubSupPr>
                  <m:e>
                    <m:r>
                      <w:rPr>
                        <w:rFonts w:ascii="Cambria Math" w:eastAsiaTheme="minorEastAsia" w:hAnsi="Cambria Math" w:cstheme="majorBidi"/>
                        <w:szCs w:val="18"/>
                      </w:rPr>
                      <m:t>r</m:t>
                    </m:r>
                  </m:e>
                  <m:sub>
                    <m:r>
                      <w:rPr>
                        <w:rFonts w:ascii="Cambria Math" w:eastAsiaTheme="minorEastAsia" w:hAnsi="Cambria Math" w:cstheme="majorBidi"/>
                        <w:szCs w:val="18"/>
                      </w:rPr>
                      <m:t>ij</m:t>
                    </m:r>
                  </m:sub>
                  <m:sup>
                    <m:r>
                      <m:rPr>
                        <m:sty m:val="p"/>
                      </m:rPr>
                      <w:rPr>
                        <w:rFonts w:ascii="Cambria Math" w:eastAsiaTheme="minorEastAsia" w:hAnsi="Cambria Math" w:cstheme="majorBidi"/>
                        <w:szCs w:val="18"/>
                      </w:rPr>
                      <m:t>4</m:t>
                    </m:r>
                  </m:sup>
                </m:sSubSup>
              </m:num>
              <m:den>
                <m:sSub>
                  <m:sSubPr>
                    <m:ctrlPr>
                      <w:rPr>
                        <w:rFonts w:ascii="Cambria Math" w:eastAsiaTheme="minorEastAsia" w:hAnsi="Cambria Math" w:cstheme="majorBidi"/>
                        <w:i/>
                        <w:szCs w:val="18"/>
                      </w:rPr>
                    </m:ctrlPr>
                  </m:sSubPr>
                  <m:e>
                    <m:r>
                      <w:rPr>
                        <w:rFonts w:ascii="Cambria Math" w:eastAsiaTheme="minorEastAsia" w:hAnsi="Cambria Math" w:cstheme="majorBidi"/>
                      </w:rPr>
                      <m:t>l</m:t>
                    </m:r>
                  </m:e>
                  <m:sub>
                    <m:r>
                      <w:rPr>
                        <w:rFonts w:ascii="Cambria Math" w:eastAsiaTheme="minorEastAsia" w:hAnsi="Cambria Math" w:cstheme="majorBidi"/>
                      </w:rPr>
                      <m:t>ij</m:t>
                    </m:r>
                  </m:sub>
                </m:sSub>
              </m:den>
            </m:f>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∆P</m:t>
                </m:r>
              </m:e>
              <m:sub>
                <m:r>
                  <w:rPr>
                    <w:rFonts w:ascii="Cambria Math" w:eastAsiaTheme="minorEastAsia" w:hAnsi="Cambria Math" w:cstheme="majorBidi"/>
                    <w:szCs w:val="18"/>
                  </w:rPr>
                  <m:t>ij</m:t>
                </m:r>
              </m:sub>
            </m:sSub>
            <m:r>
              <m:rPr>
                <m:sty m:val="p"/>
              </m:rPr>
              <w:rPr>
                <w:rFonts w:ascii="Cambria Math" w:eastAsiaTheme="minorEastAsia" w:hAnsi="Cambria Math" w:cstheme="majorBidi"/>
                <w:szCs w:val="18"/>
              </w:rPr>
              <m:t>=0</m:t>
            </m:r>
          </m:e>
        </m:nary>
      </m:oMath>
      <w:r w:rsidR="00E50D2F" w:rsidRPr="005244BD">
        <w:rPr>
          <w:rFonts w:asciiTheme="majorBidi" w:eastAsiaTheme="minorEastAsia" w:hAnsiTheme="majorBidi" w:cstheme="majorBidi"/>
          <w:iCs/>
          <w:szCs w:val="18"/>
        </w:rPr>
        <w:tab/>
      </w:r>
      <w:r w:rsidR="00E50D2F" w:rsidRPr="005244BD">
        <w:rPr>
          <w:rFonts w:asciiTheme="majorBidi" w:eastAsiaTheme="minorEastAsia" w:hAnsiTheme="majorBidi" w:cstheme="majorBidi"/>
          <w:iCs/>
          <w:szCs w:val="18"/>
        </w:rPr>
        <w:tab/>
      </w:r>
      <w:r w:rsidR="00E50D2F" w:rsidRPr="005244BD">
        <w:rPr>
          <w:rFonts w:asciiTheme="majorBidi" w:eastAsiaTheme="minorEastAsia" w:hAnsiTheme="majorBidi" w:cstheme="majorBidi"/>
          <w:iCs/>
          <w:szCs w:val="18"/>
        </w:rPr>
        <w:tab/>
      </w:r>
      <w:r w:rsidR="00082277" w:rsidRPr="005244BD">
        <w:rPr>
          <w:rFonts w:asciiTheme="majorBidi" w:eastAsiaTheme="minorEastAsia" w:hAnsiTheme="majorBidi" w:cstheme="majorBidi"/>
          <w:iCs/>
          <w:szCs w:val="18"/>
        </w:rPr>
        <w:t>Eq. 3</w:t>
      </w:r>
    </w:p>
    <w:p w14:paraId="758DF567" w14:textId="60EE93F3" w:rsidR="0030253F" w:rsidRPr="005244BD" w:rsidRDefault="0030253F" w:rsidP="0030253F">
      <w:pPr>
        <w:spacing w:line="480" w:lineRule="auto"/>
        <w:jc w:val="both"/>
        <w:rPr>
          <w:rFonts w:asciiTheme="majorBidi" w:eastAsiaTheme="minorEastAsia" w:hAnsiTheme="majorBidi" w:cstheme="majorBidi"/>
          <w:iCs/>
          <w:szCs w:val="18"/>
        </w:rPr>
      </w:pPr>
      <w:r w:rsidRPr="005244BD">
        <w:rPr>
          <w:rFonts w:asciiTheme="majorBidi" w:eastAsiaTheme="minorEastAsia" w:hAnsiTheme="majorBidi" w:cstheme="majorBidi"/>
          <w:iCs/>
          <w:szCs w:val="18"/>
        </w:rPr>
        <w:t xml:space="preserve">After simulation of pressure distribution and calculation of flow rates in the throats, the dissolved NAPL transport is simulated using </w:t>
      </w:r>
      <w:r w:rsidR="000D3C6D" w:rsidRPr="005244BD">
        <w:rPr>
          <w:rFonts w:asciiTheme="majorBidi" w:eastAsiaTheme="minorEastAsia" w:hAnsiTheme="majorBidi" w:cstheme="majorBidi"/>
          <w:iCs/>
          <w:szCs w:val="18"/>
        </w:rPr>
        <w:t xml:space="preserve">the </w:t>
      </w:r>
      <w:r w:rsidRPr="005244BD">
        <w:rPr>
          <w:rFonts w:asciiTheme="majorBidi" w:eastAsiaTheme="minorEastAsia" w:hAnsiTheme="majorBidi" w:cstheme="majorBidi"/>
          <w:iCs/>
          <w:szCs w:val="18"/>
        </w:rPr>
        <w:t>advection-diffusion equation:</w:t>
      </w:r>
    </w:p>
    <w:p w14:paraId="351FE4CD" w14:textId="4F168CCB" w:rsidR="0030253F" w:rsidRPr="005244BD" w:rsidRDefault="007E5EE0" w:rsidP="00E50D2F">
      <w:pPr>
        <w:spacing w:line="240" w:lineRule="auto"/>
        <w:jc w:val="center"/>
        <w:rPr>
          <w:rFonts w:asciiTheme="majorBidi" w:eastAsiaTheme="minorEastAsia" w:hAnsiTheme="majorBidi" w:cstheme="majorBidi"/>
          <w:iCs/>
          <w:szCs w:val="18"/>
        </w:rPr>
      </w:pPr>
      <m:oMath>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V</m:t>
            </m:r>
          </m:e>
          <m:sub>
            <m:r>
              <w:rPr>
                <w:rFonts w:ascii="Cambria Math" w:eastAsiaTheme="minorEastAsia" w:hAnsi="Cambria Math" w:cstheme="majorBidi"/>
                <w:szCs w:val="18"/>
              </w:rPr>
              <m:t>i</m:t>
            </m:r>
          </m:sub>
        </m:sSub>
        <m:f>
          <m:fPr>
            <m:ctrlPr>
              <w:rPr>
                <w:rFonts w:ascii="Cambria Math" w:eastAsiaTheme="minorEastAsia" w:hAnsi="Cambria Math" w:cstheme="majorBidi"/>
                <w:iCs/>
                <w:szCs w:val="18"/>
              </w:rPr>
            </m:ctrlPr>
          </m:fPr>
          <m:num>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m:t>
                </m:r>
              </m:sub>
              <m:sup>
                <m:r>
                  <w:rPr>
                    <w:rFonts w:ascii="Cambria Math" w:eastAsiaTheme="minorEastAsia" w:hAnsi="Cambria Math" w:cstheme="majorBidi"/>
                    <w:szCs w:val="18"/>
                  </w:rPr>
                  <m:t>t</m:t>
                </m:r>
                <m:r>
                  <m:rPr>
                    <m:sty m:val="p"/>
                  </m:rPr>
                  <w:rPr>
                    <w:rFonts w:ascii="Cambria Math" w:eastAsiaTheme="minorEastAsia" w:hAnsi="Cambria Math" w:cstheme="majorBidi"/>
                    <w:szCs w:val="18"/>
                  </w:rPr>
                  <m:t>+1</m:t>
                </m:r>
              </m:sup>
            </m:sSubSup>
            <m:r>
              <m:rPr>
                <m:sty m:val="p"/>
              </m:rPr>
              <w:rPr>
                <w:rFonts w:ascii="Cambria Math" w:eastAsiaTheme="minorEastAsia" w:hAnsi="Cambria Math" w:cstheme="majorBidi"/>
                <w:szCs w:val="18"/>
              </w:rPr>
              <m:t>-</m:t>
            </m:r>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m:t>
                </m:r>
              </m:sub>
              <m:sup>
                <m:r>
                  <w:rPr>
                    <w:rFonts w:ascii="Cambria Math" w:eastAsiaTheme="minorEastAsia" w:hAnsi="Cambria Math" w:cstheme="majorBidi"/>
                    <w:szCs w:val="18"/>
                  </w:rPr>
                  <m:t>t</m:t>
                </m:r>
              </m:sup>
            </m:sSubSup>
          </m:num>
          <m:den>
            <m:r>
              <m:rPr>
                <m:sty m:val="p"/>
              </m:rPr>
              <w:rPr>
                <w:rFonts w:ascii="Cambria Math" w:eastAsiaTheme="minorEastAsia" w:hAnsi="Cambria Math" w:cstheme="majorBidi"/>
                <w:szCs w:val="18"/>
              </w:rPr>
              <m:t>∆</m:t>
            </m:r>
            <m:r>
              <w:rPr>
                <w:rFonts w:ascii="Cambria Math" w:eastAsiaTheme="minorEastAsia" w:hAnsi="Cambria Math" w:cstheme="majorBidi"/>
                <w:szCs w:val="18"/>
              </w:rPr>
              <m:t>t</m:t>
            </m:r>
          </m:den>
        </m:f>
        <m:r>
          <m:rPr>
            <m:sty m:val="p"/>
          </m:rPr>
          <w:rPr>
            <w:rFonts w:ascii="Cambria Math" w:eastAsiaTheme="minorEastAsia" w:hAnsi="Cambria Math" w:cstheme="majorBidi"/>
            <w:szCs w:val="18"/>
          </w:rPr>
          <m:t>=</m:t>
        </m:r>
        <m:nary>
          <m:naryPr>
            <m:chr m:val="∑"/>
            <m:limLoc m:val="undOvr"/>
            <m:ctrlPr>
              <w:rPr>
                <w:rFonts w:ascii="Cambria Math" w:eastAsiaTheme="minorEastAsia" w:hAnsi="Cambria Math" w:cstheme="majorBidi"/>
                <w:iCs/>
                <w:szCs w:val="18"/>
              </w:rPr>
            </m:ctrlPr>
          </m:naryPr>
          <m:sub>
            <m:r>
              <w:rPr>
                <w:rFonts w:ascii="Cambria Math" w:eastAsiaTheme="minorEastAsia" w:hAnsi="Cambria Math" w:cstheme="majorBidi"/>
                <w:szCs w:val="18"/>
              </w:rPr>
              <m:t>j</m:t>
            </m:r>
          </m:sub>
          <m:sup>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N</m:t>
                </m:r>
              </m:e>
              <m:sub>
                <m:r>
                  <w:rPr>
                    <w:rFonts w:ascii="Cambria Math" w:eastAsiaTheme="minorEastAsia" w:hAnsi="Cambria Math" w:cstheme="majorBidi"/>
                    <w:szCs w:val="18"/>
                  </w:rPr>
                  <m:t>i</m:t>
                </m:r>
              </m:sub>
            </m:sSub>
          </m:sup>
          <m:e>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Q</m:t>
                </m:r>
              </m:e>
              <m:sub>
                <m:r>
                  <w:rPr>
                    <w:rFonts w:ascii="Cambria Math" w:eastAsiaTheme="minorEastAsia" w:hAnsi="Cambria Math" w:cstheme="majorBidi"/>
                    <w:szCs w:val="18"/>
                  </w:rPr>
                  <m:t>ij</m:t>
                </m:r>
              </m:sub>
            </m:sSub>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ij</m:t>
                </m:r>
              </m:sub>
              <m:sup>
                <m:r>
                  <w:rPr>
                    <w:rFonts w:ascii="Cambria Math" w:eastAsiaTheme="minorEastAsia" w:hAnsi="Cambria Math" w:cstheme="majorBidi"/>
                    <w:szCs w:val="18"/>
                  </w:rPr>
                  <m:t>*t</m:t>
                </m:r>
              </m:sup>
            </m:sSubSup>
          </m:e>
        </m:nary>
        <m:r>
          <m:rPr>
            <m:sty m:val="p"/>
          </m:rPr>
          <w:rPr>
            <w:rFonts w:ascii="Cambria Math" w:eastAsiaTheme="minorEastAsia" w:hAnsi="Cambria Math" w:cstheme="majorBidi"/>
            <w:szCs w:val="18"/>
          </w:rPr>
          <m:t>+</m:t>
        </m:r>
        <m:nary>
          <m:naryPr>
            <m:chr m:val="∑"/>
            <m:limLoc m:val="undOvr"/>
            <m:ctrlPr>
              <w:rPr>
                <w:rFonts w:ascii="Cambria Math" w:eastAsiaTheme="minorEastAsia" w:hAnsi="Cambria Math" w:cstheme="majorBidi"/>
                <w:iCs/>
                <w:szCs w:val="18"/>
              </w:rPr>
            </m:ctrlPr>
          </m:naryPr>
          <m:sub>
            <m:r>
              <w:rPr>
                <w:rFonts w:ascii="Cambria Math" w:eastAsiaTheme="minorEastAsia" w:hAnsi="Cambria Math" w:cstheme="majorBidi"/>
                <w:szCs w:val="18"/>
              </w:rPr>
              <m:t>j</m:t>
            </m:r>
          </m:sub>
          <m:sup>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N</m:t>
                </m:r>
              </m:e>
              <m:sub>
                <m:r>
                  <w:rPr>
                    <w:rFonts w:ascii="Cambria Math" w:eastAsiaTheme="minorEastAsia" w:hAnsi="Cambria Math" w:cstheme="majorBidi"/>
                    <w:szCs w:val="18"/>
                  </w:rPr>
                  <m:t>i</m:t>
                </m:r>
              </m:sub>
            </m:sSub>
          </m:sup>
          <m:e>
            <m:f>
              <m:fPr>
                <m:ctrlPr>
                  <w:rPr>
                    <w:rFonts w:ascii="Cambria Math" w:eastAsiaTheme="minorEastAsia" w:hAnsi="Cambria Math" w:cstheme="majorBidi"/>
                    <w:iCs/>
                    <w:szCs w:val="18"/>
                  </w:rPr>
                </m:ctrlPr>
              </m:fPr>
              <m:num>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DA</m:t>
                    </m:r>
                  </m:e>
                  <m:sub>
                    <m:r>
                      <w:rPr>
                        <w:rFonts w:ascii="Cambria Math" w:eastAsiaTheme="minorEastAsia" w:hAnsi="Cambria Math" w:cstheme="majorBidi"/>
                        <w:szCs w:val="18"/>
                      </w:rPr>
                      <m:t>ij</m:t>
                    </m:r>
                  </m:sub>
                </m:sSub>
              </m:num>
              <m:den>
                <m:sSub>
                  <m:sSubPr>
                    <m:ctrlPr>
                      <w:rPr>
                        <w:rFonts w:ascii="Cambria Math" w:eastAsiaTheme="minorEastAsia" w:hAnsi="Cambria Math" w:cstheme="majorBidi"/>
                        <w:i/>
                        <w:szCs w:val="18"/>
                      </w:rPr>
                    </m:ctrlPr>
                  </m:sSubPr>
                  <m:e>
                    <m:r>
                      <w:rPr>
                        <w:rFonts w:ascii="Cambria Math" w:eastAsiaTheme="minorEastAsia" w:hAnsi="Cambria Math" w:cstheme="majorBidi"/>
                      </w:rPr>
                      <m:t>l</m:t>
                    </m:r>
                  </m:e>
                  <m:sub>
                    <m:r>
                      <w:rPr>
                        <w:rFonts w:ascii="Cambria Math" w:eastAsiaTheme="minorEastAsia" w:hAnsi="Cambria Math" w:cstheme="majorBidi"/>
                      </w:rPr>
                      <m:t>ij</m:t>
                    </m:r>
                  </m:sub>
                </m:sSub>
              </m:den>
            </m:f>
            <m:r>
              <m:rPr>
                <m:sty m:val="p"/>
              </m:rPr>
              <w:rPr>
                <w:rFonts w:ascii="Cambria Math" w:eastAsiaTheme="minorEastAsia" w:hAnsi="Cambria Math" w:cstheme="majorBidi"/>
                <w:szCs w:val="18"/>
              </w:rPr>
              <m:t>∆</m:t>
            </m:r>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ij</m:t>
                </m:r>
              </m:sub>
              <m:sup>
                <m:r>
                  <w:rPr>
                    <w:rFonts w:ascii="Cambria Math" w:eastAsiaTheme="minorEastAsia" w:hAnsi="Cambria Math" w:cstheme="majorBidi"/>
                    <w:szCs w:val="18"/>
                  </w:rPr>
                  <m:t>t</m:t>
                </m:r>
              </m:sup>
            </m:sSubSup>
          </m:e>
        </m:nary>
        <m:r>
          <m:rPr>
            <m:sty m:val="p"/>
          </m:rPr>
          <w:rPr>
            <w:rFonts w:ascii="Cambria Math" w:eastAsiaTheme="minorEastAsia" w:hAnsi="Cambria Math" w:cstheme="majorBidi"/>
            <w:szCs w:val="18"/>
          </w:rPr>
          <m:t>+</m:t>
        </m:r>
        <m:nary>
          <m:naryPr>
            <m:chr m:val="∑"/>
            <m:limLoc m:val="undOvr"/>
            <m:ctrlPr>
              <w:rPr>
                <w:rFonts w:ascii="Cambria Math" w:eastAsiaTheme="minorEastAsia" w:hAnsi="Cambria Math" w:cstheme="majorBidi"/>
                <w:iCs/>
                <w:szCs w:val="18"/>
              </w:rPr>
            </m:ctrlPr>
          </m:naryPr>
          <m:sub>
            <m:r>
              <w:rPr>
                <w:rFonts w:ascii="Cambria Math" w:eastAsiaTheme="minorEastAsia" w:hAnsi="Cambria Math" w:cstheme="majorBidi"/>
                <w:szCs w:val="18"/>
              </w:rPr>
              <m:t>j</m:t>
            </m:r>
          </m:sub>
          <m:sup>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N</m:t>
                </m:r>
              </m:e>
              <m:sub>
                <m:r>
                  <w:rPr>
                    <w:rFonts w:ascii="Cambria Math" w:eastAsiaTheme="minorEastAsia" w:hAnsi="Cambria Math" w:cstheme="majorBidi"/>
                    <w:szCs w:val="18"/>
                  </w:rPr>
                  <m:t>n,i</m:t>
                </m:r>
              </m:sub>
            </m:sSub>
          </m:sup>
          <m:e>
            <m:f>
              <m:fPr>
                <m:ctrlPr>
                  <w:rPr>
                    <w:rFonts w:ascii="Cambria Math" w:eastAsiaTheme="minorEastAsia" w:hAnsi="Cambria Math" w:cstheme="majorBidi"/>
                    <w:iCs/>
                    <w:szCs w:val="18"/>
                  </w:rPr>
                </m:ctrlPr>
              </m:fPr>
              <m:num>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DA</m:t>
                    </m:r>
                  </m:e>
                  <m:sub>
                    <m:r>
                      <w:rPr>
                        <w:rFonts w:ascii="Cambria Math" w:eastAsiaTheme="minorEastAsia" w:hAnsi="Cambria Math" w:cstheme="majorBidi"/>
                        <w:szCs w:val="18"/>
                      </w:rPr>
                      <m:t>ij</m:t>
                    </m:r>
                  </m:sub>
                </m:sSub>
              </m:num>
              <m:den>
                <m:sSub>
                  <m:sSubPr>
                    <m:ctrlPr>
                      <w:rPr>
                        <w:rFonts w:ascii="Cambria Math" w:eastAsiaTheme="minorEastAsia" w:hAnsi="Cambria Math" w:cstheme="majorBidi"/>
                        <w:i/>
                        <w:szCs w:val="18"/>
                      </w:rPr>
                    </m:ctrlPr>
                  </m:sSubPr>
                  <m:e>
                    <m:r>
                      <w:rPr>
                        <w:rFonts w:ascii="Cambria Math" w:eastAsiaTheme="minorEastAsia" w:hAnsi="Cambria Math" w:cstheme="majorBidi"/>
                      </w:rPr>
                      <m:t>l</m:t>
                    </m:r>
                  </m:e>
                  <m:sub>
                    <m:r>
                      <w:rPr>
                        <w:rFonts w:ascii="Cambria Math" w:eastAsiaTheme="minorEastAsia" w:hAnsi="Cambria Math" w:cstheme="majorBidi"/>
                      </w:rPr>
                      <m:t>ij</m:t>
                    </m:r>
                  </m:sub>
                </m:sSub>
              </m:den>
            </m:f>
            <m:d>
              <m:dPr>
                <m:ctrlPr>
                  <w:rPr>
                    <w:rFonts w:ascii="Cambria Math" w:eastAsiaTheme="minorEastAsia" w:hAnsi="Cambria Math" w:cstheme="majorBidi"/>
                    <w:szCs w:val="18"/>
                  </w:rPr>
                </m:ctrlPr>
              </m:dPr>
              <m:e>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C</m:t>
                    </m:r>
                  </m:e>
                  <m:sub>
                    <m:r>
                      <w:rPr>
                        <w:rFonts w:ascii="Cambria Math" w:eastAsiaTheme="minorEastAsia" w:hAnsi="Cambria Math" w:cstheme="majorBidi"/>
                        <w:szCs w:val="18"/>
                      </w:rPr>
                      <m:t>s</m:t>
                    </m:r>
                  </m:sub>
                </m:sSub>
                <m:r>
                  <m:rPr>
                    <m:sty m:val="p"/>
                  </m:rPr>
                  <w:rPr>
                    <w:rFonts w:ascii="Cambria Math" w:eastAsiaTheme="minorEastAsia" w:hAnsi="Cambria Math" w:cstheme="majorBidi"/>
                    <w:szCs w:val="18"/>
                  </w:rPr>
                  <m:t>-</m:t>
                </m:r>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m:t>
                    </m:r>
                  </m:sub>
                  <m:sup>
                    <m:r>
                      <w:rPr>
                        <w:rFonts w:ascii="Cambria Math" w:eastAsiaTheme="minorEastAsia" w:hAnsi="Cambria Math" w:cstheme="majorBidi"/>
                        <w:szCs w:val="18"/>
                      </w:rPr>
                      <m:t>t</m:t>
                    </m:r>
                  </m:sup>
                </m:sSubSup>
              </m:e>
            </m:d>
          </m:e>
        </m:nary>
      </m:oMath>
      <w:r w:rsidR="00E50D2F" w:rsidRPr="005244BD">
        <w:rPr>
          <w:rFonts w:asciiTheme="majorBidi" w:eastAsiaTheme="minorEastAsia" w:hAnsiTheme="majorBidi" w:cstheme="majorBidi"/>
          <w:iCs/>
          <w:szCs w:val="18"/>
        </w:rPr>
        <w:tab/>
      </w:r>
      <w:r w:rsidR="00E50D2F" w:rsidRPr="005244BD">
        <w:rPr>
          <w:rFonts w:asciiTheme="majorBidi" w:eastAsiaTheme="minorEastAsia" w:hAnsiTheme="majorBidi" w:cstheme="majorBidi"/>
          <w:iCs/>
          <w:szCs w:val="18"/>
        </w:rPr>
        <w:tab/>
      </w:r>
      <w:r w:rsidR="00E50D2F" w:rsidRPr="005244BD">
        <w:rPr>
          <w:rFonts w:asciiTheme="majorBidi" w:eastAsiaTheme="minorEastAsia" w:hAnsiTheme="majorBidi" w:cstheme="majorBidi"/>
          <w:iCs/>
          <w:szCs w:val="18"/>
        </w:rPr>
        <w:tab/>
      </w:r>
      <w:r w:rsidR="0030253F" w:rsidRPr="005244BD">
        <w:rPr>
          <w:rFonts w:asciiTheme="majorBidi" w:eastAsiaTheme="minorEastAsia" w:hAnsiTheme="majorBidi" w:cstheme="majorBidi"/>
          <w:iCs/>
          <w:szCs w:val="18"/>
        </w:rPr>
        <w:t>Eq. 4</w:t>
      </w:r>
    </w:p>
    <w:p w14:paraId="2F241EE4" w14:textId="5861B7B4" w:rsidR="009E4FFB" w:rsidRPr="005244BD" w:rsidRDefault="009E4FFB">
      <w:pPr>
        <w:spacing w:line="480" w:lineRule="auto"/>
        <w:jc w:val="both"/>
        <w:rPr>
          <w:rFonts w:asciiTheme="majorBidi" w:eastAsiaTheme="minorEastAsia" w:hAnsiTheme="majorBidi" w:cstheme="majorBidi"/>
          <w:iCs/>
          <w:szCs w:val="18"/>
        </w:rPr>
      </w:pPr>
      <w:r w:rsidRPr="005244BD">
        <w:rPr>
          <w:rFonts w:asciiTheme="majorBidi" w:eastAsiaTheme="minorEastAsia" w:hAnsiTheme="majorBidi" w:cstheme="majorBidi"/>
          <w:iCs/>
          <w:szCs w:val="18"/>
        </w:rPr>
        <w:t xml:space="preserve">where, </w:t>
      </w:r>
      <m:oMath>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ij</m:t>
            </m:r>
          </m:sub>
          <m:sup>
            <m:r>
              <w:rPr>
                <w:rFonts w:ascii="Cambria Math" w:eastAsiaTheme="minorEastAsia" w:hAnsi="Cambria Math" w:cstheme="majorBidi"/>
                <w:szCs w:val="18"/>
              </w:rPr>
              <m:t>*t</m:t>
            </m:r>
          </m:sup>
        </m:sSubSup>
      </m:oMath>
      <w:r w:rsidRPr="005244BD">
        <w:rPr>
          <w:rFonts w:asciiTheme="majorBidi" w:eastAsiaTheme="minorEastAsia" w:hAnsiTheme="majorBidi" w:cstheme="majorBidi"/>
          <w:iCs/>
          <w:szCs w:val="18"/>
        </w:rPr>
        <w:t xml:space="preserve"> is the concentration of pore </w:t>
      </w:r>
      <m:oMath>
        <m:r>
          <w:rPr>
            <w:rFonts w:ascii="Cambria Math" w:eastAsiaTheme="minorEastAsia" w:hAnsi="Cambria Math" w:cstheme="majorBidi"/>
            <w:szCs w:val="18"/>
          </w:rPr>
          <m:t>j</m:t>
        </m:r>
      </m:oMath>
      <w:r w:rsidRPr="005244BD">
        <w:rPr>
          <w:rFonts w:asciiTheme="majorBidi" w:eastAsiaTheme="minorEastAsia" w:hAnsiTheme="majorBidi" w:cstheme="majorBidi"/>
          <w:iCs/>
          <w:szCs w:val="18"/>
          <w:vertAlign w:val="superscript"/>
        </w:rPr>
        <w:t>th</w:t>
      </w:r>
      <w:r w:rsidRPr="005244BD">
        <w:rPr>
          <w:rFonts w:asciiTheme="majorBidi" w:eastAsiaTheme="minorEastAsia" w:hAnsiTheme="majorBidi" w:cstheme="majorBidi"/>
          <w:iCs/>
          <w:szCs w:val="18"/>
        </w:rPr>
        <w:t xml:space="preserve"> which is connected to pore </w:t>
      </w:r>
      <m:oMath>
        <m:r>
          <w:rPr>
            <w:rFonts w:ascii="Cambria Math" w:eastAsiaTheme="minorEastAsia" w:hAnsi="Cambria Math" w:cstheme="majorBidi"/>
            <w:szCs w:val="18"/>
          </w:rPr>
          <m:t>i</m:t>
        </m:r>
      </m:oMath>
      <w:r w:rsidRPr="005244BD">
        <w:rPr>
          <w:rFonts w:asciiTheme="majorBidi" w:eastAsiaTheme="minorEastAsia" w:hAnsiTheme="majorBidi" w:cstheme="majorBidi"/>
          <w:iCs/>
          <w:szCs w:val="18"/>
          <w:vertAlign w:val="superscript"/>
        </w:rPr>
        <w:t>th</w:t>
      </w:r>
      <w:r w:rsidRPr="005244BD">
        <w:rPr>
          <w:rFonts w:asciiTheme="majorBidi" w:eastAsiaTheme="minorEastAsia" w:hAnsiTheme="majorBidi" w:cstheme="majorBidi"/>
          <w:iCs/>
          <w:szCs w:val="18"/>
        </w:rPr>
        <w:t xml:space="preserve"> if the</w:t>
      </w:r>
      <w:r w:rsidR="00BF110A" w:rsidRPr="005244BD">
        <w:rPr>
          <w:rFonts w:asciiTheme="majorBidi" w:eastAsiaTheme="minorEastAsia" w:hAnsiTheme="majorBidi" w:cstheme="majorBidi"/>
          <w:iCs/>
          <w:szCs w:val="18"/>
        </w:rPr>
        <w:t xml:space="preserve"> aqueous phase does flow</w:t>
      </w:r>
      <w:r w:rsidRPr="005244BD">
        <w:rPr>
          <w:rFonts w:asciiTheme="majorBidi" w:eastAsiaTheme="minorEastAsia" w:hAnsiTheme="majorBidi" w:cstheme="majorBidi"/>
          <w:iCs/>
          <w:szCs w:val="18"/>
        </w:rPr>
        <w:t xml:space="preserve"> from pore </w:t>
      </w:r>
      <m:oMath>
        <m:r>
          <w:rPr>
            <w:rFonts w:ascii="Cambria Math" w:eastAsiaTheme="minorEastAsia" w:hAnsi="Cambria Math" w:cstheme="majorBidi"/>
            <w:szCs w:val="18"/>
          </w:rPr>
          <m:t>j</m:t>
        </m:r>
      </m:oMath>
      <w:r w:rsidRPr="005244BD">
        <w:rPr>
          <w:rFonts w:asciiTheme="majorBidi" w:eastAsiaTheme="minorEastAsia" w:hAnsiTheme="majorBidi" w:cstheme="majorBidi"/>
          <w:iCs/>
          <w:szCs w:val="18"/>
          <w:vertAlign w:val="superscript"/>
        </w:rPr>
        <w:t>th</w:t>
      </w:r>
      <w:r w:rsidRPr="005244BD">
        <w:rPr>
          <w:rFonts w:asciiTheme="majorBidi" w:eastAsiaTheme="minorEastAsia" w:hAnsiTheme="majorBidi" w:cstheme="majorBidi"/>
          <w:iCs/>
          <w:szCs w:val="18"/>
        </w:rPr>
        <w:t xml:space="preserve"> to </w:t>
      </w:r>
      <m:oMath>
        <m:r>
          <w:rPr>
            <w:rFonts w:ascii="Cambria Math" w:eastAsiaTheme="minorEastAsia" w:hAnsi="Cambria Math" w:cstheme="majorBidi"/>
            <w:szCs w:val="18"/>
          </w:rPr>
          <m:t>i</m:t>
        </m:r>
      </m:oMath>
      <w:r w:rsidRPr="005244BD">
        <w:rPr>
          <w:rFonts w:asciiTheme="majorBidi" w:eastAsiaTheme="minorEastAsia" w:hAnsiTheme="majorBidi" w:cstheme="majorBidi"/>
          <w:iCs/>
          <w:szCs w:val="18"/>
          <w:vertAlign w:val="superscript"/>
        </w:rPr>
        <w:t>th</w:t>
      </w:r>
      <w:r w:rsidRPr="005244BD">
        <w:rPr>
          <w:rFonts w:asciiTheme="majorBidi" w:eastAsiaTheme="minorEastAsia" w:hAnsiTheme="majorBidi" w:cstheme="majorBidi"/>
          <w:iCs/>
          <w:szCs w:val="18"/>
        </w:rPr>
        <w:t xml:space="preserve"> and </w:t>
      </w:r>
      <w:r w:rsidR="00BF110A" w:rsidRPr="005244BD">
        <w:rPr>
          <w:rFonts w:asciiTheme="majorBidi" w:eastAsiaTheme="minorEastAsia" w:hAnsiTheme="majorBidi" w:cstheme="majorBidi"/>
          <w:iCs/>
          <w:szCs w:val="18"/>
        </w:rPr>
        <w:t>vice versa.</w:t>
      </w:r>
      <w:r w:rsidR="00F05F5E" w:rsidRPr="005244BD">
        <w:rPr>
          <w:rFonts w:asciiTheme="majorBidi" w:eastAsiaTheme="minorEastAsia" w:hAnsiTheme="majorBidi" w:cstheme="majorBidi"/>
          <w:iCs/>
          <w:szCs w:val="18"/>
        </w:rPr>
        <w:t xml:space="preserve"> The other parameters are defined in Nomenclature. The last term in the right-hand side of Eq. 4 describe</w:t>
      </w:r>
      <w:r w:rsidR="005767D3" w:rsidRPr="005244BD">
        <w:rPr>
          <w:rFonts w:asciiTheme="majorBidi" w:eastAsiaTheme="minorEastAsia" w:hAnsiTheme="majorBidi" w:cstheme="majorBidi"/>
          <w:iCs/>
          <w:szCs w:val="18"/>
        </w:rPr>
        <w:t>s</w:t>
      </w:r>
      <w:r w:rsidR="00F05F5E" w:rsidRPr="005244BD">
        <w:rPr>
          <w:rFonts w:asciiTheme="majorBidi" w:eastAsiaTheme="minorEastAsia" w:hAnsiTheme="majorBidi" w:cstheme="majorBidi"/>
          <w:iCs/>
          <w:szCs w:val="18"/>
        </w:rPr>
        <w:t xml:space="preserve"> the NAPL mass transfer from NAPL-filled pore to the water-filled pore. </w:t>
      </w:r>
    </w:p>
    <w:p w14:paraId="3E09A14F" w14:textId="45FD567D" w:rsidR="003E07B9" w:rsidRPr="005244BD" w:rsidRDefault="003E07B9" w:rsidP="008D22A3">
      <w:pPr>
        <w:pStyle w:val="Heading3"/>
        <w:spacing w:after="240"/>
        <w:rPr>
          <w:rFonts w:asciiTheme="majorBidi" w:hAnsiTheme="majorBidi"/>
          <w:b w:val="0"/>
          <w:bCs w:val="0"/>
        </w:rPr>
      </w:pPr>
      <w:r w:rsidRPr="005244BD">
        <w:rPr>
          <w:rFonts w:asciiTheme="majorBidi" w:hAnsiTheme="majorBidi"/>
          <w:b w:val="0"/>
          <w:bCs w:val="0"/>
        </w:rPr>
        <w:t>2.</w:t>
      </w:r>
      <w:r w:rsidR="00BC5D51" w:rsidRPr="005244BD">
        <w:rPr>
          <w:rFonts w:asciiTheme="majorBidi" w:hAnsiTheme="majorBidi"/>
          <w:b w:val="0"/>
          <w:bCs w:val="0"/>
        </w:rPr>
        <w:t>1.</w:t>
      </w:r>
      <w:r w:rsidR="000518B6" w:rsidRPr="005244BD">
        <w:rPr>
          <w:rFonts w:asciiTheme="majorBidi" w:hAnsiTheme="majorBidi"/>
          <w:b w:val="0"/>
          <w:bCs w:val="0"/>
        </w:rPr>
        <w:t>2</w:t>
      </w:r>
      <w:r w:rsidRPr="005244BD">
        <w:rPr>
          <w:rFonts w:asciiTheme="majorBidi" w:hAnsiTheme="majorBidi"/>
          <w:b w:val="0"/>
          <w:bCs w:val="0"/>
        </w:rPr>
        <w:t xml:space="preserve">. </w:t>
      </w:r>
      <w:r w:rsidR="008D22A3" w:rsidRPr="005244BD">
        <w:rPr>
          <w:rFonts w:asciiTheme="majorBidi" w:hAnsiTheme="majorBidi"/>
          <w:b w:val="0"/>
          <w:bCs w:val="0"/>
        </w:rPr>
        <w:t>Addition</w:t>
      </w:r>
      <w:r w:rsidR="00BA2BCB" w:rsidRPr="005244BD">
        <w:rPr>
          <w:rFonts w:asciiTheme="majorBidi" w:hAnsiTheme="majorBidi"/>
          <w:b w:val="0"/>
          <w:bCs w:val="0"/>
        </w:rPr>
        <w:t xml:space="preserve"> of biofilm </w:t>
      </w:r>
      <w:r w:rsidR="00863C3E" w:rsidRPr="005244BD">
        <w:rPr>
          <w:rFonts w:asciiTheme="majorBidi" w:hAnsiTheme="majorBidi"/>
          <w:b w:val="0"/>
          <w:bCs w:val="0"/>
        </w:rPr>
        <w:t xml:space="preserve">on water-filled pores and throats </w:t>
      </w:r>
    </w:p>
    <w:p w14:paraId="32E87653" w14:textId="00E0F758" w:rsidR="000A3E75" w:rsidRPr="005244BD" w:rsidRDefault="0030253F" w:rsidP="00F35488">
      <w:pPr>
        <w:spacing w:line="480" w:lineRule="auto"/>
        <w:jc w:val="both"/>
        <w:rPr>
          <w:rFonts w:asciiTheme="majorBidi" w:eastAsiaTheme="minorEastAsia" w:hAnsiTheme="majorBidi" w:cstheme="majorBidi"/>
          <w:iCs/>
          <w:szCs w:val="18"/>
        </w:rPr>
      </w:pPr>
      <w:r w:rsidRPr="005244BD">
        <w:rPr>
          <w:rFonts w:asciiTheme="majorBidi" w:eastAsiaTheme="minorEastAsia" w:hAnsiTheme="majorBidi" w:cstheme="majorBidi"/>
          <w:iCs/>
          <w:szCs w:val="18"/>
        </w:rPr>
        <w:t xml:space="preserve">To implement NAPL biodegradation and biofilm growth in the pore network, </w:t>
      </w:r>
      <w:r w:rsidR="00A35ABA" w:rsidRPr="005244BD">
        <w:rPr>
          <w:rFonts w:asciiTheme="majorBidi" w:eastAsiaTheme="minorEastAsia" w:hAnsiTheme="majorBidi" w:cstheme="majorBidi"/>
          <w:iCs/>
          <w:szCs w:val="18"/>
        </w:rPr>
        <w:t>the foll</w:t>
      </w:r>
      <w:r w:rsidR="00F35488" w:rsidRPr="005244BD">
        <w:rPr>
          <w:rFonts w:asciiTheme="majorBidi" w:eastAsiaTheme="minorEastAsia" w:hAnsiTheme="majorBidi" w:cstheme="majorBidi"/>
          <w:iCs/>
          <w:szCs w:val="18"/>
        </w:rPr>
        <w:t xml:space="preserve">owing assumptions </w:t>
      </w:r>
      <w:r w:rsidR="00A35ABA" w:rsidRPr="005244BD">
        <w:rPr>
          <w:rFonts w:asciiTheme="majorBidi" w:eastAsiaTheme="minorEastAsia" w:hAnsiTheme="majorBidi" w:cstheme="majorBidi"/>
          <w:iCs/>
          <w:szCs w:val="18"/>
        </w:rPr>
        <w:t xml:space="preserve">are </w:t>
      </w:r>
      <w:r w:rsidR="00F35488" w:rsidRPr="005244BD">
        <w:rPr>
          <w:rFonts w:asciiTheme="majorBidi" w:eastAsiaTheme="minorEastAsia" w:hAnsiTheme="majorBidi" w:cstheme="majorBidi"/>
          <w:iCs/>
          <w:szCs w:val="18"/>
        </w:rPr>
        <w:t>considered</w:t>
      </w:r>
      <w:r w:rsidR="00A35ABA" w:rsidRPr="005244BD">
        <w:rPr>
          <w:rFonts w:asciiTheme="majorBidi" w:eastAsiaTheme="minorEastAsia" w:hAnsiTheme="majorBidi" w:cstheme="majorBidi"/>
          <w:iCs/>
          <w:szCs w:val="18"/>
        </w:rPr>
        <w:t>:</w:t>
      </w:r>
    </w:p>
    <w:p w14:paraId="04E5562A" w14:textId="4E7BC98C" w:rsidR="00F35488" w:rsidRPr="005244BD" w:rsidRDefault="00F35488" w:rsidP="008D22A3">
      <w:pPr>
        <w:pStyle w:val="ListParagraph"/>
        <w:numPr>
          <w:ilvl w:val="0"/>
          <w:numId w:val="7"/>
        </w:numPr>
        <w:spacing w:line="480" w:lineRule="auto"/>
        <w:jc w:val="both"/>
        <w:rPr>
          <w:rFonts w:asciiTheme="majorBidi" w:eastAsiaTheme="minorEastAsia" w:hAnsiTheme="majorBidi" w:cstheme="majorBidi"/>
          <w:iCs/>
          <w:szCs w:val="18"/>
        </w:rPr>
      </w:pPr>
      <w:r w:rsidRPr="005244BD">
        <w:rPr>
          <w:rFonts w:asciiTheme="majorBidi" w:eastAsiaTheme="minorEastAsia" w:hAnsiTheme="majorBidi" w:cstheme="majorBidi"/>
          <w:iCs/>
          <w:szCs w:val="18"/>
        </w:rPr>
        <w:t>Biofilm may occupy both pores and throats</w:t>
      </w:r>
      <w:r w:rsidR="00B666D6" w:rsidRPr="005244BD">
        <w:rPr>
          <w:rFonts w:asciiTheme="majorBidi" w:eastAsiaTheme="minorEastAsia" w:hAnsiTheme="majorBidi" w:cstheme="majorBidi"/>
          <w:iCs/>
          <w:szCs w:val="18"/>
        </w:rPr>
        <w:t>, that is i</w:t>
      </w:r>
      <w:r w:rsidRPr="005244BD">
        <w:rPr>
          <w:rFonts w:asciiTheme="majorBidi" w:eastAsiaTheme="minorEastAsia" w:hAnsiTheme="majorBidi" w:cstheme="majorBidi"/>
          <w:iCs/>
          <w:szCs w:val="18"/>
        </w:rPr>
        <w:t>n the throats and water-filled pores, biofilm is coating pore walls and is found as an immobile layer of uniform thickness which reduces the tube conductance accordingly. In the NAPL-filled pores, a micro-colony description</w:t>
      </w:r>
      <w:r w:rsidR="006970C9" w:rsidRPr="005244BD">
        <w:rPr>
          <w:rFonts w:asciiTheme="majorBidi" w:eastAsiaTheme="minorEastAsia" w:hAnsiTheme="majorBidi" w:cstheme="majorBidi"/>
          <w:iCs/>
          <w:szCs w:val="18"/>
        </w:rPr>
        <w:t xml:space="preserve"> </w:t>
      </w:r>
      <w:r w:rsidR="006970C9"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Baveye","given":"Philippe","non-dropping-particle":"","parse-names":false,"suffix":""},{"dropping-particle":"","family":"Valocchi","given":"Albert","non-dropping-particle":"","parse-names":false,"suffix":""}],"container-title":"Water Resources Research","id":"ITEM-1","issue":"6","issued":{"date-parts":[["1989"]]},"page":"1413-1421","publisher":"Wiley Online Library","title":"An evaluation of mathematical models of the transport of biologically reacting solutes in saturated soils and aquifers","type":"article-journal","volume":"25"},"uris":["http://www.mendeley.com/documents/?uuid=2c840fba-37c2-43c2-b0ee-cd0ccf713021","http://www.mendeley.com/documents/?uuid=c1ddbcbf-d5a4-4c92-a0d0-99cea48358bb"]}],"mendeley":{"formattedCitation":"(Baveye &amp; Valocchi, 1989)","plainTextFormattedCitation":"(Baveye &amp; Valocchi, 1989)","previouslyFormattedCitation":"(Baveye &amp; Valocchi, 1989)"},"properties":{"noteIndex":0},"schema":"https://github.com/citation-style-language/schema/raw/master/csl-citation.json"}</w:instrText>
      </w:r>
      <w:r w:rsidR="006970C9" w:rsidRPr="005244BD">
        <w:rPr>
          <w:rFonts w:asciiTheme="majorBidi" w:eastAsiaTheme="minorEastAsia" w:hAnsiTheme="majorBidi" w:cstheme="majorBidi"/>
          <w:iCs/>
          <w:szCs w:val="18"/>
        </w:rPr>
        <w:fldChar w:fldCharType="separate"/>
      </w:r>
      <w:r w:rsidR="006970C9" w:rsidRPr="005244BD">
        <w:rPr>
          <w:rFonts w:asciiTheme="majorBidi" w:eastAsiaTheme="minorEastAsia" w:hAnsiTheme="majorBidi" w:cstheme="majorBidi"/>
          <w:iCs/>
          <w:noProof/>
          <w:szCs w:val="18"/>
        </w:rPr>
        <w:t>(Baveye &amp; Valocchi, 1989)</w:t>
      </w:r>
      <w:r w:rsidR="006970C9" w:rsidRPr="005244BD">
        <w:rPr>
          <w:rFonts w:asciiTheme="majorBidi" w:eastAsiaTheme="minorEastAsia" w:hAnsiTheme="majorBidi" w:cstheme="majorBidi"/>
          <w:iCs/>
          <w:szCs w:val="18"/>
        </w:rPr>
        <w:fldChar w:fldCharType="end"/>
      </w:r>
      <w:r w:rsidRPr="005244BD">
        <w:rPr>
          <w:rFonts w:asciiTheme="majorBidi" w:eastAsiaTheme="minorEastAsia" w:hAnsiTheme="majorBidi" w:cstheme="majorBidi"/>
          <w:iCs/>
          <w:szCs w:val="18"/>
        </w:rPr>
        <w:t xml:space="preserve"> is considered for NAPL biodegradation and biofilm-growth</w:t>
      </w:r>
      <w:r w:rsidR="00B666D6" w:rsidRPr="005244BD">
        <w:rPr>
          <w:rFonts w:asciiTheme="majorBidi" w:eastAsiaTheme="minorEastAsia" w:hAnsiTheme="majorBidi" w:cstheme="majorBidi"/>
          <w:iCs/>
          <w:szCs w:val="18"/>
        </w:rPr>
        <w:t>. T</w:t>
      </w:r>
      <w:r w:rsidRPr="005244BD">
        <w:rPr>
          <w:rFonts w:asciiTheme="majorBidi" w:eastAsiaTheme="minorEastAsia" w:hAnsiTheme="majorBidi" w:cstheme="majorBidi"/>
          <w:iCs/>
          <w:szCs w:val="18"/>
        </w:rPr>
        <w:t xml:space="preserve">his is to avoid </w:t>
      </w:r>
      <w:r w:rsidR="008D22A3" w:rsidRPr="005244BD">
        <w:rPr>
          <w:rFonts w:asciiTheme="majorBidi" w:eastAsiaTheme="minorEastAsia" w:hAnsiTheme="majorBidi" w:cstheme="majorBidi"/>
          <w:iCs/>
          <w:szCs w:val="18"/>
        </w:rPr>
        <w:t>the</w:t>
      </w:r>
      <w:r w:rsidRPr="005244BD">
        <w:rPr>
          <w:rFonts w:asciiTheme="majorBidi" w:eastAsiaTheme="minorEastAsia" w:hAnsiTheme="majorBidi" w:cstheme="majorBidi"/>
          <w:iCs/>
          <w:szCs w:val="18"/>
        </w:rPr>
        <w:t xml:space="preserve"> biofilm </w:t>
      </w:r>
      <w:r w:rsidR="008D22A3" w:rsidRPr="005244BD">
        <w:rPr>
          <w:rFonts w:asciiTheme="majorBidi" w:eastAsiaTheme="minorEastAsia" w:hAnsiTheme="majorBidi" w:cstheme="majorBidi"/>
          <w:iCs/>
          <w:szCs w:val="18"/>
        </w:rPr>
        <w:t xml:space="preserve">to </w:t>
      </w:r>
      <w:r w:rsidRPr="005244BD">
        <w:rPr>
          <w:rFonts w:asciiTheme="majorBidi" w:eastAsiaTheme="minorEastAsia" w:hAnsiTheme="majorBidi" w:cstheme="majorBidi"/>
          <w:iCs/>
          <w:szCs w:val="18"/>
        </w:rPr>
        <w:t xml:space="preserve">totally </w:t>
      </w:r>
      <w:r w:rsidR="008D22A3" w:rsidRPr="005244BD">
        <w:rPr>
          <w:rFonts w:asciiTheme="majorBidi" w:eastAsiaTheme="minorEastAsia" w:hAnsiTheme="majorBidi" w:cstheme="majorBidi"/>
          <w:iCs/>
          <w:szCs w:val="18"/>
        </w:rPr>
        <w:t xml:space="preserve">cover </w:t>
      </w:r>
      <w:r w:rsidRPr="005244BD">
        <w:rPr>
          <w:rFonts w:asciiTheme="majorBidi" w:eastAsiaTheme="minorEastAsia" w:hAnsiTheme="majorBidi" w:cstheme="majorBidi"/>
          <w:iCs/>
          <w:szCs w:val="18"/>
        </w:rPr>
        <w:t xml:space="preserve">the NAPL blob </w:t>
      </w:r>
      <w:r w:rsidR="009A72BE" w:rsidRPr="005244BD">
        <w:rPr>
          <w:rFonts w:asciiTheme="majorBidi" w:eastAsiaTheme="minorEastAsia" w:hAnsiTheme="majorBidi" w:cstheme="majorBidi"/>
          <w:iCs/>
          <w:szCs w:val="18"/>
        </w:rPr>
        <w:t xml:space="preserve">and to maintain the water-NAPL interface. </w:t>
      </w:r>
    </w:p>
    <w:p w14:paraId="1CBF7103" w14:textId="76964D27" w:rsidR="00941823" w:rsidRPr="00B91E94" w:rsidRDefault="00941823" w:rsidP="007E3CAF">
      <w:pPr>
        <w:pStyle w:val="ListParagraph"/>
        <w:numPr>
          <w:ilvl w:val="0"/>
          <w:numId w:val="7"/>
        </w:numPr>
        <w:spacing w:line="480" w:lineRule="auto"/>
        <w:jc w:val="both"/>
        <w:rPr>
          <w:rFonts w:asciiTheme="majorBidi" w:eastAsiaTheme="minorEastAsia" w:hAnsiTheme="majorBidi" w:cstheme="majorBidi"/>
          <w:iCs/>
          <w:szCs w:val="18"/>
          <w:lang w:val="es-MX"/>
        </w:rPr>
      </w:pPr>
      <w:r w:rsidRPr="005244BD">
        <w:rPr>
          <w:rFonts w:asciiTheme="majorBidi" w:eastAsiaTheme="minorEastAsia" w:hAnsiTheme="majorBidi" w:cstheme="majorBidi"/>
          <w:iCs/>
          <w:szCs w:val="18"/>
        </w:rPr>
        <w:lastRenderedPageBreak/>
        <w:t>Mono-species biofi</w:t>
      </w:r>
      <w:r w:rsidR="008D22A3" w:rsidRPr="005244BD">
        <w:rPr>
          <w:rFonts w:asciiTheme="majorBidi" w:eastAsiaTheme="minorEastAsia" w:hAnsiTheme="majorBidi" w:cstheme="majorBidi"/>
          <w:iCs/>
          <w:szCs w:val="18"/>
        </w:rPr>
        <w:t xml:space="preserve">lm is considered </w:t>
      </w:r>
      <w:r w:rsidR="003345D5" w:rsidRPr="005244BD">
        <w:rPr>
          <w:rFonts w:asciiTheme="majorBidi" w:eastAsiaTheme="minorEastAsia" w:hAnsiTheme="majorBidi" w:cstheme="majorBidi"/>
          <w:iCs/>
          <w:szCs w:val="18"/>
        </w:rPr>
        <w:t>where</w:t>
      </w:r>
      <w:r w:rsidR="008D22A3" w:rsidRPr="005244BD">
        <w:rPr>
          <w:rFonts w:asciiTheme="majorBidi" w:eastAsiaTheme="minorEastAsia" w:hAnsiTheme="majorBidi" w:cstheme="majorBidi"/>
          <w:iCs/>
          <w:szCs w:val="18"/>
        </w:rPr>
        <w:t xml:space="preserve"> </w:t>
      </w:r>
      <w:r w:rsidRPr="005244BD">
        <w:rPr>
          <w:rFonts w:asciiTheme="majorBidi" w:eastAsiaTheme="minorEastAsia" w:hAnsiTheme="majorBidi" w:cstheme="majorBidi"/>
          <w:iCs/>
          <w:szCs w:val="18"/>
        </w:rPr>
        <w:t>t</w:t>
      </w:r>
      <w:r w:rsidR="009A72BE" w:rsidRPr="005244BD">
        <w:rPr>
          <w:rFonts w:asciiTheme="majorBidi" w:eastAsiaTheme="minorEastAsia" w:hAnsiTheme="majorBidi" w:cstheme="majorBidi"/>
          <w:iCs/>
          <w:szCs w:val="18"/>
        </w:rPr>
        <w:t>he kinetic of NAPL biodegradation is described using Haldane model</w:t>
      </w:r>
      <w:r w:rsidR="00443E9A" w:rsidRPr="005244BD">
        <w:rPr>
          <w:rFonts w:asciiTheme="majorBidi" w:eastAsiaTheme="minorEastAsia" w:hAnsiTheme="majorBidi" w:cstheme="majorBidi"/>
          <w:iCs/>
          <w:szCs w:val="18"/>
        </w:rPr>
        <w:t xml:space="preserve"> which considers the effect of inhibitory substrate on biodegradation kinetics </w:t>
      </w:r>
      <w:r w:rsidR="00443E9A" w:rsidRPr="005244BD">
        <w:rPr>
          <w:rFonts w:asciiTheme="majorBidi" w:eastAsiaTheme="minorEastAsia" w:hAnsiTheme="majorBidi" w:cstheme="majorBidi"/>
          <w:iCs/>
          <w:szCs w:val="18"/>
        </w:rPr>
        <w:fldChar w:fldCharType="begin" w:fldLock="1"/>
      </w:r>
      <w:r w:rsidR="00BF6D87" w:rsidRPr="001D64C3">
        <w:rPr>
          <w:rFonts w:asciiTheme="majorBidi" w:eastAsiaTheme="minorEastAsia" w:hAnsiTheme="majorBidi" w:cstheme="majorBidi"/>
          <w:iCs/>
          <w:szCs w:val="18"/>
        </w:rPr>
        <w:instrText>ADDIN CSL_CITATION {"citationItems":[{"id":"ITEM-1","itemData":{"DOI":"10.1021/es00033a005","ISSN":"15205851","author":[{"dropping-particle":"","family":"Okaygun","given":"Mehmet S.","non-dropping-particle":"","parse-names":false,"suffix":""},{"dropping-particle":"","family":"Green","given":"Lynda A.","non-dropping-particle":"","parse-names":false,"suffix":""},{"dropping-particle":"","family":"Akgerman","given":"Aydin","non-dropping-particle":"","parse-names":false,"suffix":""}],"container-title":"Environmental Science and Technology","id":"ITEM-1","issue":"9","issued":{"date-parts":[["1992"]]},"page":"1746-1752","title":"Effect of Consecutive Pulsing of an Inhibitory Substrate on Biodegradation Kinetics","type":"article-journal","volume":"26"},"uris":["http://www.mendeley.com/documents/?uuid=077c06af-0459-487f-862c-18d53dca0461","http://www.mendeley.com/documents/?uuid=171f7340-d803-4e40-80d2-77b71884d6d9"]}],"mendeley":{"formattedCitation":"(Okaygun et al., 1992)","manualFormatting":"(Okaygun et al., 1992","plainTextFormattedCitation":"(Okaygun et al., 1992)","previouslyFormattedCitation":"(Okaygun et al., 1992)"},"properties":{"noteIndex":0},"schema":"https://github.com/citation-style-language/schema/raw/master/csl-citation.json"}</w:instrText>
      </w:r>
      <w:r w:rsidR="00443E9A" w:rsidRPr="005244BD">
        <w:rPr>
          <w:rFonts w:asciiTheme="majorBidi" w:eastAsiaTheme="minorEastAsia" w:hAnsiTheme="majorBidi" w:cstheme="majorBidi"/>
          <w:iCs/>
          <w:szCs w:val="18"/>
        </w:rPr>
        <w:fldChar w:fldCharType="separate"/>
      </w:r>
      <w:r w:rsidR="007E3CAF" w:rsidRPr="001D64C3">
        <w:rPr>
          <w:rFonts w:asciiTheme="majorBidi" w:eastAsiaTheme="minorEastAsia" w:hAnsiTheme="majorBidi" w:cstheme="majorBidi"/>
          <w:iCs/>
          <w:noProof/>
          <w:szCs w:val="18"/>
        </w:rPr>
        <w:t>(Okaygun et al., 1992</w:t>
      </w:r>
      <w:r w:rsidR="00443E9A" w:rsidRPr="005244BD">
        <w:rPr>
          <w:rFonts w:asciiTheme="majorBidi" w:eastAsiaTheme="minorEastAsia" w:hAnsiTheme="majorBidi" w:cstheme="majorBidi"/>
          <w:iCs/>
          <w:szCs w:val="18"/>
        </w:rPr>
        <w:fldChar w:fldCharType="end"/>
      </w:r>
      <w:r w:rsidR="004E651B" w:rsidRPr="001D64C3">
        <w:rPr>
          <w:rFonts w:asciiTheme="majorBidi" w:eastAsiaTheme="minorEastAsia" w:hAnsiTheme="majorBidi" w:cstheme="majorBidi"/>
          <w:iCs/>
          <w:szCs w:val="18"/>
        </w:rPr>
        <w:t xml:space="preserve">, </w:t>
      </w:r>
      <w:r w:rsidR="008377D6" w:rsidRPr="005244BD">
        <w:rPr>
          <w:rFonts w:asciiTheme="majorBidi" w:eastAsiaTheme="minorEastAsia" w:hAnsiTheme="majorBidi" w:cstheme="majorBidi"/>
          <w:iCs/>
          <w:szCs w:val="18"/>
        </w:rPr>
        <w:fldChar w:fldCharType="begin" w:fldLock="1"/>
      </w:r>
      <w:r w:rsidR="00BF6D87" w:rsidRPr="001D64C3">
        <w:rPr>
          <w:rFonts w:asciiTheme="majorBidi" w:eastAsiaTheme="minorEastAsia" w:hAnsiTheme="majorBidi" w:cstheme="majorBidi"/>
          <w:iCs/>
          <w:szCs w:val="18"/>
        </w:rPr>
        <w:instrText>ADDIN CSL_CITATION {"citationItems":[{"id":"ITEM-1","itemData":{"DOI":"10.1016/j.biortech.2006.11.045","ISSN":"09608524","abstract":"Biodegradation of phenol by a mixed microbial culture, isolated from a sewage treatment plant, was investigated in batch shake flasks. A minimum concentration of 100 and a maximum of 800 mg 1-1 of phenol in the media were adapted in the degradation study. The phenol degradation rate varied largely and was less than 10 mg l-1 h-1 at both extremes of the initial concentrations in the media. The degradation rate was maximum 15.7 mg l-1 h-1 at 400 mg l-1 phenol. The culture followed substrate inhibition kinetics and the specific growth rate were fitted to Haldane and Han-Levenspiel models. Between the two models the Han-Levenspiel was found to be a better fit with a root mean square error of 0.0211. The biokinetics constants estimated using these models showed good potential of the mixed microbial culture in phenol degradation. © 2006 Elsevier Ltd. All rights reserved.","author":[{"dropping-particle":"","family":"Saravanan","given":"Pichiah","non-dropping-particle":"","parse-names":false,"suffix":""},{"dropping-particle":"","family":"Pakshirajan","given":"K.","non-dropping-particle":"","parse-names":false,"suffix":""},{"dropping-particle":"","family":"Saha","given":"Prabirkumar","non-dropping-particle":"","parse-names":false,"suffix":""}],"container-title":"Bioresource Technology","id":"ITEM-1","issue":"1","issued":{"date-parts":[["2008"]]},"page":"205-209","title":"Growth kinetics</w:instrText>
      </w:r>
      <w:r w:rsidR="00BF6D87" w:rsidRPr="00B91E94">
        <w:rPr>
          <w:rFonts w:asciiTheme="majorBidi" w:eastAsiaTheme="minorEastAsia" w:hAnsiTheme="majorBidi" w:cstheme="majorBidi"/>
          <w:iCs/>
          <w:szCs w:val="18"/>
          <w:lang w:val="es-MX"/>
        </w:rPr>
        <w:instrText xml:space="preserve"> of an indigenous mixed microbial consortium during phenol degradation in a batch reactor","type":"article-journal","volume":"99"},"uris":["http://www.mendeley.com/documents/?uuid=58c7aa27-28b1-41f3-9984-819cfbe2530e","http://www.mendeley.com/documents/?uuid=6ae49254-c486-4323-ab32-35fe69f21838"]}],"mendeley":{"formattedCitation":"(Saravanan et al., 2008)","manualFormatting":"Saravanan et al., 2008)","plainTextFormattedCitation":"(Saravanan et al., 2008)","previouslyFormattedCitation":"(Saravanan et al., 2008)"},"properties":{"noteIndex":0},"schema":"https://github.com/citation-style-language/schema/raw/master/csl-citation.json"}</w:instrText>
      </w:r>
      <w:r w:rsidR="008377D6" w:rsidRPr="005244BD">
        <w:rPr>
          <w:rFonts w:asciiTheme="majorBidi" w:eastAsiaTheme="minorEastAsia" w:hAnsiTheme="majorBidi" w:cstheme="majorBidi"/>
          <w:iCs/>
          <w:szCs w:val="18"/>
        </w:rPr>
        <w:fldChar w:fldCharType="separate"/>
      </w:r>
      <w:r w:rsidR="007E3CAF" w:rsidRPr="00B91E94">
        <w:rPr>
          <w:rFonts w:asciiTheme="majorBidi" w:eastAsiaTheme="minorEastAsia" w:hAnsiTheme="majorBidi" w:cstheme="majorBidi"/>
          <w:iCs/>
          <w:noProof/>
          <w:szCs w:val="18"/>
          <w:lang w:val="es-MX"/>
        </w:rPr>
        <w:t>Saravanan et al., 2008)</w:t>
      </w:r>
      <w:r w:rsidR="008377D6" w:rsidRPr="005244BD">
        <w:rPr>
          <w:rFonts w:asciiTheme="majorBidi" w:eastAsiaTheme="minorEastAsia" w:hAnsiTheme="majorBidi" w:cstheme="majorBidi"/>
          <w:iCs/>
          <w:szCs w:val="18"/>
        </w:rPr>
        <w:fldChar w:fldCharType="end"/>
      </w:r>
      <w:r w:rsidR="009A72BE" w:rsidRPr="00B91E94">
        <w:rPr>
          <w:rFonts w:asciiTheme="majorBidi" w:eastAsiaTheme="minorEastAsia" w:hAnsiTheme="majorBidi" w:cstheme="majorBidi"/>
          <w:iCs/>
          <w:szCs w:val="18"/>
          <w:lang w:val="es-MX"/>
        </w:rPr>
        <w:t xml:space="preserve">. </w:t>
      </w:r>
      <w:r w:rsidRPr="00B91E94">
        <w:rPr>
          <w:rFonts w:asciiTheme="majorBidi" w:eastAsiaTheme="minorEastAsia" w:hAnsiTheme="majorBidi" w:cstheme="majorBidi"/>
          <w:iCs/>
          <w:szCs w:val="18"/>
          <w:lang w:val="es-MX"/>
        </w:rPr>
        <w:t>Haldane model is defined as</w:t>
      </w:r>
      <w:r w:rsidR="0083629D" w:rsidRPr="00B91E94">
        <w:rPr>
          <w:rFonts w:asciiTheme="majorBidi" w:eastAsiaTheme="minorEastAsia" w:hAnsiTheme="majorBidi" w:cstheme="majorBidi"/>
          <w:iCs/>
          <w:szCs w:val="18"/>
          <w:lang w:val="es-MX"/>
        </w:rPr>
        <w:t>:</w:t>
      </w:r>
    </w:p>
    <w:p w14:paraId="3E5335EA" w14:textId="72AFE0F0" w:rsidR="0083629D" w:rsidRPr="00B91E94" w:rsidRDefault="007E5EE0" w:rsidP="00E50D2F">
      <w:pPr>
        <w:spacing w:after="0" w:line="240" w:lineRule="auto"/>
        <w:jc w:val="center"/>
        <w:rPr>
          <w:rFonts w:asciiTheme="majorBidi" w:eastAsiaTheme="minorEastAsia" w:hAnsiTheme="majorBidi" w:cstheme="majorBidi"/>
          <w:iCs/>
          <w:szCs w:val="18"/>
          <w:lang w:val="es-MX"/>
        </w:rPr>
      </w:pPr>
      <m:oMath>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R</m:t>
            </m:r>
          </m:e>
          <m:sub>
            <m:r>
              <w:rPr>
                <w:rFonts w:ascii="Cambria Math" w:eastAsiaTheme="minorEastAsia" w:hAnsi="Cambria Math" w:cstheme="majorBidi"/>
                <w:szCs w:val="18"/>
              </w:rPr>
              <m:t>A</m:t>
            </m:r>
          </m:sub>
        </m:sSub>
        <m:r>
          <w:rPr>
            <w:rFonts w:ascii="Cambria Math" w:eastAsiaTheme="minorEastAsia" w:hAnsi="Cambria Math" w:cstheme="majorBidi"/>
            <w:szCs w:val="18"/>
            <w:lang w:val="es-MX"/>
          </w:rPr>
          <m:t>=</m:t>
        </m:r>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μ</m:t>
            </m:r>
          </m:e>
          <m:sub>
            <m:r>
              <m:rPr>
                <m:sty m:val="p"/>
              </m:rPr>
              <w:rPr>
                <w:rFonts w:ascii="Cambria Math" w:eastAsiaTheme="minorEastAsia" w:hAnsi="Cambria Math" w:cstheme="majorBidi"/>
                <w:szCs w:val="18"/>
                <w:lang w:val="es-MX"/>
              </w:rPr>
              <m:t>bio</m:t>
            </m:r>
          </m:sub>
        </m:sSub>
        <m:sSubSup>
          <m:sSubSupPr>
            <m:ctrlPr>
              <w:rPr>
                <w:rFonts w:ascii="Cambria Math" w:eastAsiaTheme="minorEastAsia" w:hAnsi="Cambria Math" w:cstheme="majorBidi"/>
                <w:i/>
                <w:iCs/>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B</m:t>
            </m:r>
          </m:sub>
          <m:sup>
            <m:r>
              <w:rPr>
                <w:rFonts w:ascii="Cambria Math" w:eastAsiaTheme="minorEastAsia" w:hAnsi="Cambria Math" w:cstheme="majorBidi"/>
                <w:szCs w:val="18"/>
                <w:lang w:val="es-MX"/>
              </w:rPr>
              <m:t>*</m:t>
            </m:r>
          </m:sup>
        </m:sSubSup>
        <m:f>
          <m:fPr>
            <m:ctrlPr>
              <w:rPr>
                <w:rFonts w:ascii="Cambria Math" w:eastAsiaTheme="minorEastAsia" w:hAnsi="Cambria Math" w:cstheme="majorBidi"/>
                <w:i/>
                <w:iCs/>
                <w:szCs w:val="18"/>
              </w:rPr>
            </m:ctrlPr>
          </m:fPr>
          <m:num>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C</m:t>
                </m:r>
              </m:e>
              <m:sub>
                <m:r>
                  <w:rPr>
                    <w:rFonts w:ascii="Cambria Math" w:eastAsiaTheme="minorEastAsia" w:hAnsi="Cambria Math" w:cstheme="majorBidi"/>
                    <w:szCs w:val="18"/>
                  </w:rPr>
                  <m:t>A</m:t>
                </m:r>
              </m:sub>
            </m:sSub>
          </m:num>
          <m:den>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C</m:t>
                </m:r>
              </m:e>
              <m:sub>
                <m:r>
                  <w:rPr>
                    <w:rFonts w:ascii="Cambria Math" w:eastAsiaTheme="minorEastAsia" w:hAnsi="Cambria Math" w:cstheme="majorBidi"/>
                    <w:szCs w:val="18"/>
                  </w:rPr>
                  <m:t>A</m:t>
                </m:r>
              </m:sub>
            </m:sSub>
            <m:r>
              <w:rPr>
                <w:rFonts w:ascii="Cambria Math" w:eastAsiaTheme="minorEastAsia" w:hAnsi="Cambria Math" w:cstheme="majorBidi"/>
                <w:szCs w:val="18"/>
                <w:lang w:val="es-MX"/>
              </w:rPr>
              <m:t>+</m:t>
            </m:r>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K</m:t>
                </m:r>
              </m:e>
              <m:sub>
                <m:r>
                  <w:rPr>
                    <w:rFonts w:ascii="Cambria Math" w:eastAsiaTheme="minorEastAsia" w:hAnsi="Cambria Math" w:cstheme="majorBidi"/>
                    <w:szCs w:val="18"/>
                  </w:rPr>
                  <m:t>m</m:t>
                </m:r>
                <m:r>
                  <w:rPr>
                    <w:rFonts w:ascii="Cambria Math" w:eastAsiaTheme="minorEastAsia" w:hAnsi="Cambria Math" w:cstheme="majorBidi"/>
                    <w:szCs w:val="18"/>
                    <w:lang w:val="es-MX"/>
                  </w:rPr>
                  <m:t>,</m:t>
                </m:r>
                <m:r>
                  <w:rPr>
                    <w:rFonts w:ascii="Cambria Math" w:eastAsiaTheme="minorEastAsia" w:hAnsi="Cambria Math" w:cstheme="majorBidi"/>
                    <w:szCs w:val="18"/>
                  </w:rPr>
                  <m:t>A</m:t>
                </m:r>
              </m:sub>
            </m:sSub>
            <m:r>
              <w:rPr>
                <w:rFonts w:ascii="Cambria Math" w:eastAsiaTheme="minorEastAsia" w:hAnsi="Cambria Math" w:cstheme="majorBidi"/>
                <w:szCs w:val="18"/>
                <w:lang w:val="es-MX"/>
              </w:rPr>
              <m:t>+</m:t>
            </m:r>
            <m:f>
              <m:fPr>
                <m:ctrlPr>
                  <w:rPr>
                    <w:rFonts w:ascii="Cambria Math" w:eastAsiaTheme="minorEastAsia" w:hAnsi="Cambria Math" w:cstheme="majorBidi"/>
                    <w:i/>
                    <w:iCs/>
                    <w:szCs w:val="18"/>
                  </w:rPr>
                </m:ctrlPr>
              </m:fPr>
              <m:num>
                <m:sSubSup>
                  <m:sSubSupPr>
                    <m:ctrlPr>
                      <w:rPr>
                        <w:rFonts w:ascii="Cambria Math" w:eastAsiaTheme="minorEastAsia" w:hAnsi="Cambria Math" w:cstheme="majorBidi"/>
                        <w:i/>
                        <w:iCs/>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A</m:t>
                    </m:r>
                  </m:sub>
                  <m:sup>
                    <m:r>
                      <w:rPr>
                        <w:rFonts w:ascii="Cambria Math" w:eastAsiaTheme="minorEastAsia" w:hAnsi="Cambria Math" w:cstheme="majorBidi"/>
                        <w:szCs w:val="18"/>
                        <w:lang w:val="es-MX"/>
                      </w:rPr>
                      <m:t>2</m:t>
                    </m:r>
                  </m:sup>
                </m:sSubSup>
              </m:num>
              <m:den>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K</m:t>
                    </m:r>
                  </m:e>
                  <m:sub>
                    <m:r>
                      <w:rPr>
                        <w:rFonts w:ascii="Cambria Math" w:eastAsiaTheme="minorEastAsia" w:hAnsi="Cambria Math" w:cstheme="majorBidi"/>
                        <w:szCs w:val="18"/>
                      </w:rPr>
                      <m:t>i</m:t>
                    </m:r>
                  </m:sub>
                </m:sSub>
              </m:den>
            </m:f>
          </m:den>
        </m:f>
      </m:oMath>
      <w:r w:rsidR="00E50D2F" w:rsidRPr="00B91E94">
        <w:rPr>
          <w:rFonts w:asciiTheme="majorBidi" w:eastAsiaTheme="minorEastAsia" w:hAnsiTheme="majorBidi" w:cstheme="majorBidi"/>
          <w:iCs/>
          <w:szCs w:val="18"/>
          <w:lang w:val="es-MX"/>
        </w:rPr>
        <w:tab/>
      </w:r>
      <w:r w:rsidR="00E50D2F" w:rsidRPr="00B91E94">
        <w:rPr>
          <w:rFonts w:asciiTheme="majorBidi" w:eastAsiaTheme="minorEastAsia" w:hAnsiTheme="majorBidi" w:cstheme="majorBidi"/>
          <w:iCs/>
          <w:szCs w:val="18"/>
          <w:lang w:val="es-MX"/>
        </w:rPr>
        <w:tab/>
      </w:r>
      <w:r w:rsidR="00E50D2F" w:rsidRPr="00B91E94">
        <w:rPr>
          <w:rFonts w:asciiTheme="majorBidi" w:eastAsiaTheme="minorEastAsia" w:hAnsiTheme="majorBidi" w:cstheme="majorBidi"/>
          <w:iCs/>
          <w:szCs w:val="18"/>
          <w:lang w:val="es-MX"/>
        </w:rPr>
        <w:tab/>
      </w:r>
      <w:r w:rsidR="0083629D" w:rsidRPr="00B91E94">
        <w:rPr>
          <w:rFonts w:asciiTheme="majorBidi" w:eastAsiaTheme="minorEastAsia" w:hAnsiTheme="majorBidi" w:cstheme="majorBidi"/>
          <w:iCs/>
          <w:szCs w:val="18"/>
          <w:lang w:val="es-MX"/>
        </w:rPr>
        <w:t>Eq. 5</w:t>
      </w:r>
    </w:p>
    <w:p w14:paraId="64954050" w14:textId="424F5BD3" w:rsidR="0083629D" w:rsidRPr="00B91E94" w:rsidRDefault="007E5EE0" w:rsidP="00E50D2F">
      <w:pPr>
        <w:spacing w:line="240" w:lineRule="auto"/>
        <w:jc w:val="center"/>
        <w:rPr>
          <w:rFonts w:asciiTheme="majorBidi" w:eastAsiaTheme="minorEastAsia" w:hAnsiTheme="majorBidi" w:cstheme="majorBidi"/>
          <w:iCs/>
          <w:szCs w:val="18"/>
          <w:lang w:val="es-MX"/>
        </w:rPr>
      </w:pPr>
      <m:oMath>
        <m:sSubSup>
          <m:sSubSupPr>
            <m:ctrlPr>
              <w:rPr>
                <w:rFonts w:ascii="Cambria Math" w:eastAsiaTheme="minorEastAsia" w:hAnsi="Cambria Math" w:cstheme="majorBidi"/>
                <w:i/>
                <w:iCs/>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B</m:t>
            </m:r>
          </m:sub>
          <m:sup>
            <m:r>
              <w:rPr>
                <w:rFonts w:ascii="Cambria Math" w:eastAsiaTheme="minorEastAsia" w:hAnsi="Cambria Math" w:cstheme="majorBidi"/>
                <w:szCs w:val="18"/>
                <w:lang w:val="es-MX"/>
              </w:rPr>
              <m:t>*</m:t>
            </m:r>
          </m:sup>
        </m:sSubSup>
        <m:r>
          <w:rPr>
            <w:rFonts w:ascii="Cambria Math" w:eastAsiaTheme="minorEastAsia" w:hAnsi="Cambria Math" w:cstheme="majorBidi"/>
            <w:szCs w:val="18"/>
            <w:lang w:val="es-MX"/>
          </w:rPr>
          <m:t>=</m:t>
        </m:r>
        <m:f>
          <m:fPr>
            <m:ctrlPr>
              <w:rPr>
                <w:rFonts w:ascii="Cambria Math" w:eastAsiaTheme="minorEastAsia" w:hAnsi="Cambria Math" w:cstheme="majorBidi"/>
                <w:i/>
                <w:iCs/>
                <w:szCs w:val="18"/>
              </w:rPr>
            </m:ctrlPr>
          </m:fPr>
          <m:num>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C</m:t>
                </m:r>
              </m:e>
              <m:sub>
                <m:r>
                  <w:rPr>
                    <w:rFonts w:ascii="Cambria Math" w:eastAsiaTheme="minorEastAsia" w:hAnsi="Cambria Math" w:cstheme="majorBidi"/>
                    <w:szCs w:val="18"/>
                  </w:rPr>
                  <m:t>B</m:t>
                </m:r>
              </m:sub>
            </m:sSub>
          </m:num>
          <m:den>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C</m:t>
                </m:r>
              </m:e>
              <m:sub>
                <m:r>
                  <w:rPr>
                    <w:rFonts w:ascii="Cambria Math" w:eastAsiaTheme="minorEastAsia" w:hAnsi="Cambria Math" w:cstheme="majorBidi"/>
                    <w:szCs w:val="18"/>
                  </w:rPr>
                  <m:t>B</m:t>
                </m:r>
              </m:sub>
            </m:sSub>
            <m:r>
              <w:rPr>
                <w:rFonts w:ascii="Cambria Math" w:eastAsiaTheme="minorEastAsia" w:hAnsi="Cambria Math" w:cstheme="majorBidi"/>
                <w:szCs w:val="18"/>
                <w:lang w:val="es-MX"/>
              </w:rPr>
              <m:t>+</m:t>
            </m:r>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K</m:t>
                </m:r>
              </m:e>
              <m:sub>
                <m:r>
                  <w:rPr>
                    <w:rFonts w:ascii="Cambria Math" w:eastAsiaTheme="minorEastAsia" w:hAnsi="Cambria Math" w:cstheme="majorBidi"/>
                    <w:szCs w:val="18"/>
                  </w:rPr>
                  <m:t>m</m:t>
                </m:r>
                <m:r>
                  <w:rPr>
                    <w:rFonts w:ascii="Cambria Math" w:eastAsiaTheme="minorEastAsia" w:hAnsi="Cambria Math" w:cstheme="majorBidi"/>
                    <w:szCs w:val="18"/>
                    <w:lang w:val="es-MX"/>
                  </w:rPr>
                  <m:t>,</m:t>
                </m:r>
                <m:r>
                  <w:rPr>
                    <w:rFonts w:ascii="Cambria Math" w:eastAsiaTheme="minorEastAsia" w:hAnsi="Cambria Math" w:cstheme="majorBidi"/>
                    <w:szCs w:val="18"/>
                  </w:rPr>
                  <m:t>B</m:t>
                </m:r>
              </m:sub>
            </m:sSub>
          </m:den>
        </m:f>
      </m:oMath>
      <w:r w:rsidR="00E50D2F" w:rsidRPr="00B91E94">
        <w:rPr>
          <w:rFonts w:asciiTheme="majorBidi" w:eastAsiaTheme="minorEastAsia" w:hAnsiTheme="majorBidi" w:cstheme="majorBidi"/>
          <w:iCs/>
          <w:szCs w:val="18"/>
          <w:lang w:val="es-MX"/>
        </w:rPr>
        <w:tab/>
      </w:r>
      <w:r w:rsidR="00E50D2F" w:rsidRPr="00B91E94">
        <w:rPr>
          <w:rFonts w:asciiTheme="majorBidi" w:eastAsiaTheme="minorEastAsia" w:hAnsiTheme="majorBidi" w:cstheme="majorBidi"/>
          <w:iCs/>
          <w:szCs w:val="18"/>
          <w:lang w:val="es-MX"/>
        </w:rPr>
        <w:tab/>
      </w:r>
      <w:r w:rsidR="00E50D2F" w:rsidRPr="00B91E94">
        <w:rPr>
          <w:rFonts w:asciiTheme="majorBidi" w:eastAsiaTheme="minorEastAsia" w:hAnsiTheme="majorBidi" w:cstheme="majorBidi"/>
          <w:iCs/>
          <w:szCs w:val="18"/>
          <w:lang w:val="es-MX"/>
        </w:rPr>
        <w:tab/>
      </w:r>
      <w:r w:rsidR="00E50D2F" w:rsidRPr="00B91E94">
        <w:rPr>
          <w:rFonts w:asciiTheme="majorBidi" w:eastAsiaTheme="minorEastAsia" w:hAnsiTheme="majorBidi" w:cstheme="majorBidi"/>
          <w:iCs/>
          <w:szCs w:val="18"/>
          <w:lang w:val="es-MX"/>
        </w:rPr>
        <w:tab/>
      </w:r>
      <w:r w:rsidR="00E50D2F" w:rsidRPr="00B91E94">
        <w:rPr>
          <w:rFonts w:asciiTheme="majorBidi" w:eastAsiaTheme="minorEastAsia" w:hAnsiTheme="majorBidi" w:cstheme="majorBidi"/>
          <w:iCs/>
          <w:szCs w:val="18"/>
          <w:lang w:val="es-MX"/>
        </w:rPr>
        <w:tab/>
      </w:r>
      <w:r w:rsidR="0083629D" w:rsidRPr="00B91E94">
        <w:rPr>
          <w:rFonts w:asciiTheme="majorBidi" w:eastAsiaTheme="minorEastAsia" w:hAnsiTheme="majorBidi" w:cstheme="majorBidi"/>
          <w:iCs/>
          <w:szCs w:val="18"/>
          <w:lang w:val="es-MX"/>
        </w:rPr>
        <w:t>Eq. 6</w:t>
      </w:r>
    </w:p>
    <w:p w14:paraId="7ED37F5F" w14:textId="16F13877" w:rsidR="005B72DE" w:rsidRPr="00BE5554" w:rsidRDefault="00062367" w:rsidP="00CC5586">
      <w:pPr>
        <w:pStyle w:val="ListParagraph"/>
        <w:spacing w:line="480" w:lineRule="auto"/>
        <w:jc w:val="both"/>
        <w:rPr>
          <w:rFonts w:asciiTheme="majorBidi" w:eastAsiaTheme="minorEastAsia" w:hAnsiTheme="majorBidi" w:cstheme="majorBidi"/>
          <w:iCs/>
          <w:szCs w:val="18"/>
          <w:lang w:val="es-MX"/>
        </w:rPr>
      </w:pPr>
      <w:r w:rsidRPr="005D1CF6">
        <w:rPr>
          <w:rFonts w:asciiTheme="majorBidi" w:eastAsiaTheme="minorEastAsia" w:hAnsiTheme="majorBidi" w:cstheme="majorBidi"/>
          <w:iCs/>
          <w:szCs w:val="18"/>
        </w:rPr>
        <w:t xml:space="preserve">where, </w:t>
      </w:r>
      <m:oMath>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R</m:t>
            </m:r>
          </m:e>
          <m:sub>
            <m:r>
              <w:rPr>
                <w:rFonts w:ascii="Cambria Math" w:eastAsiaTheme="minorEastAsia" w:hAnsi="Cambria Math" w:cstheme="majorBidi"/>
                <w:szCs w:val="18"/>
              </w:rPr>
              <m:t>A</m:t>
            </m:r>
          </m:sub>
        </m:sSub>
      </m:oMath>
      <w:r w:rsidR="00CA6A07" w:rsidRPr="005D1CF6">
        <w:rPr>
          <w:rFonts w:asciiTheme="majorBidi" w:eastAsiaTheme="minorEastAsia" w:hAnsiTheme="majorBidi" w:cstheme="majorBidi"/>
          <w:iCs/>
          <w:szCs w:val="18"/>
        </w:rPr>
        <w:t xml:space="preserve"> </w:t>
      </w:r>
      <w:r w:rsidR="0010343C" w:rsidRPr="005D1CF6">
        <w:rPr>
          <w:rFonts w:asciiTheme="majorBidi" w:eastAsiaTheme="minorEastAsia" w:hAnsiTheme="majorBidi" w:cstheme="majorBidi"/>
          <w:iCs/>
          <w:szCs w:val="18"/>
        </w:rPr>
        <w:t>[s</w:t>
      </w:r>
      <w:r w:rsidR="0010343C" w:rsidRPr="005D1CF6">
        <w:rPr>
          <w:rFonts w:asciiTheme="majorBidi" w:eastAsiaTheme="minorEastAsia" w:hAnsiTheme="majorBidi" w:cstheme="majorBidi"/>
          <w:iCs/>
          <w:szCs w:val="18"/>
          <w:vertAlign w:val="superscript"/>
        </w:rPr>
        <w:t>-1</w:t>
      </w:r>
      <w:r w:rsidR="0010343C" w:rsidRPr="005D1CF6">
        <w:rPr>
          <w:rFonts w:asciiTheme="majorBidi" w:eastAsiaTheme="minorEastAsia" w:hAnsiTheme="majorBidi" w:cstheme="majorBidi"/>
          <w:iCs/>
          <w:szCs w:val="18"/>
        </w:rPr>
        <w:t>]</w:t>
      </w:r>
      <w:r w:rsidR="00F02F44" w:rsidRPr="005D1CF6">
        <w:rPr>
          <w:rFonts w:asciiTheme="majorBidi" w:eastAsiaTheme="minorEastAsia" w:hAnsiTheme="majorBidi" w:cstheme="majorBidi"/>
          <w:iCs/>
          <w:szCs w:val="18"/>
        </w:rPr>
        <w:t xml:space="preserve"> </w:t>
      </w:r>
      <w:r w:rsidR="00CA6A07" w:rsidRPr="005D1CF6">
        <w:rPr>
          <w:rFonts w:asciiTheme="majorBidi" w:eastAsiaTheme="minorEastAsia" w:hAnsiTheme="majorBidi" w:cstheme="majorBidi"/>
          <w:iCs/>
          <w:szCs w:val="18"/>
        </w:rPr>
        <w:t xml:space="preserve">is </w:t>
      </w:r>
      <w:r w:rsidR="007152C2" w:rsidRPr="005D1CF6">
        <w:rPr>
          <w:rFonts w:asciiTheme="majorBidi" w:eastAsia="Times New Roman" w:hAnsiTheme="majorBidi" w:cstheme="majorBidi"/>
          <w:color w:val="201F1E"/>
          <w:sz w:val="23"/>
          <w:szCs w:val="23"/>
          <w:lang w:eastAsia="en-GB"/>
        </w:rPr>
        <w:t>(specific) growth</w:t>
      </w:r>
      <w:r w:rsidR="00862263" w:rsidRPr="005D1CF6">
        <w:rPr>
          <w:rFonts w:asciiTheme="majorBidi" w:eastAsia="Times New Roman" w:hAnsiTheme="majorBidi" w:cstheme="majorBidi"/>
          <w:color w:val="201F1E"/>
          <w:sz w:val="23"/>
          <w:szCs w:val="23"/>
          <w:lang w:eastAsia="en-GB"/>
        </w:rPr>
        <w:t xml:space="preserve"> rate</w:t>
      </w:r>
      <w:r w:rsidR="00CA6A07" w:rsidRPr="005D1CF6">
        <w:rPr>
          <w:rFonts w:asciiTheme="majorBidi" w:eastAsiaTheme="minorEastAsia" w:hAnsiTheme="majorBidi" w:cstheme="majorBidi"/>
          <w:iCs/>
          <w:szCs w:val="18"/>
        </w:rPr>
        <w:t>,</w:t>
      </w:r>
      <w:r w:rsidR="00F0237B" w:rsidRPr="005D1CF6">
        <w:rPr>
          <w:rFonts w:asciiTheme="majorBidi" w:eastAsiaTheme="minorEastAsia" w:hAnsiTheme="majorBidi" w:cstheme="majorBidi"/>
          <w:iCs/>
          <w:szCs w:val="18"/>
        </w:rPr>
        <w:t xml:space="preserve"> </w:t>
      </w:r>
      <m:oMath>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μ</m:t>
            </m:r>
          </m:e>
          <m:sub>
            <m:r>
              <m:rPr>
                <m:sty m:val="p"/>
              </m:rPr>
              <w:rPr>
                <w:rFonts w:ascii="Cambria Math" w:eastAsiaTheme="minorEastAsia" w:hAnsi="Cambria Math" w:cstheme="majorBidi"/>
                <w:szCs w:val="18"/>
              </w:rPr>
              <m:t>bio</m:t>
            </m:r>
          </m:sub>
        </m:sSub>
      </m:oMath>
      <w:r w:rsidR="00CA6A07" w:rsidRPr="005D1CF6">
        <w:rPr>
          <w:rFonts w:asciiTheme="majorBidi" w:eastAsiaTheme="minorEastAsia" w:hAnsiTheme="majorBidi" w:cstheme="majorBidi"/>
          <w:iCs/>
          <w:szCs w:val="18"/>
        </w:rPr>
        <w:t xml:space="preserve"> </w:t>
      </w:r>
      <w:r w:rsidR="0010343C" w:rsidRPr="005D1CF6">
        <w:rPr>
          <w:rFonts w:asciiTheme="majorBidi" w:eastAsiaTheme="minorEastAsia" w:hAnsiTheme="majorBidi" w:cstheme="majorBidi"/>
          <w:iCs/>
          <w:szCs w:val="18"/>
        </w:rPr>
        <w:t>[s</w:t>
      </w:r>
      <w:r w:rsidR="0010343C" w:rsidRPr="005D1CF6">
        <w:rPr>
          <w:rFonts w:asciiTheme="majorBidi" w:eastAsiaTheme="minorEastAsia" w:hAnsiTheme="majorBidi" w:cstheme="majorBidi"/>
          <w:iCs/>
          <w:szCs w:val="18"/>
          <w:vertAlign w:val="superscript"/>
        </w:rPr>
        <w:t>-1</w:t>
      </w:r>
      <w:r w:rsidR="0010343C" w:rsidRPr="005D1CF6">
        <w:rPr>
          <w:rFonts w:asciiTheme="majorBidi" w:eastAsiaTheme="minorEastAsia" w:hAnsiTheme="majorBidi" w:cstheme="majorBidi"/>
          <w:iCs/>
          <w:szCs w:val="18"/>
        </w:rPr>
        <w:t xml:space="preserve">] </w:t>
      </w:r>
      <w:r w:rsidR="00CA6A07" w:rsidRPr="005D1CF6">
        <w:rPr>
          <w:rFonts w:asciiTheme="majorBidi" w:eastAsiaTheme="minorEastAsia" w:hAnsiTheme="majorBidi" w:cstheme="majorBidi"/>
          <w:iCs/>
          <w:szCs w:val="18"/>
        </w:rPr>
        <w:t xml:space="preserve">is </w:t>
      </w:r>
      <w:r w:rsidR="00B666D6" w:rsidRPr="005D1CF6">
        <w:rPr>
          <w:rFonts w:asciiTheme="majorBidi" w:eastAsiaTheme="minorEastAsia" w:hAnsiTheme="majorBidi" w:cstheme="majorBidi"/>
          <w:iCs/>
          <w:szCs w:val="18"/>
        </w:rPr>
        <w:t xml:space="preserve">the </w:t>
      </w:r>
      <w:r w:rsidR="00862263" w:rsidRPr="005D1CF6">
        <w:rPr>
          <w:rFonts w:asciiTheme="majorBidi" w:eastAsia="Times New Roman" w:hAnsiTheme="majorBidi" w:cstheme="majorBidi"/>
          <w:color w:val="201F1E"/>
          <w:sz w:val="23"/>
          <w:szCs w:val="23"/>
          <w:lang w:eastAsia="en-GB"/>
        </w:rPr>
        <w:t xml:space="preserve">maximum specific degradation </w:t>
      </w:r>
      <w:r w:rsidR="00CA6A07" w:rsidRPr="005D1CF6">
        <w:rPr>
          <w:rFonts w:asciiTheme="majorBidi" w:eastAsiaTheme="minorEastAsia" w:hAnsiTheme="majorBidi" w:cstheme="majorBidi"/>
          <w:iCs/>
          <w:szCs w:val="18"/>
        </w:rPr>
        <w:t xml:space="preserve">rate for the species </w:t>
      </w:r>
      <m:oMath>
        <m:r>
          <w:rPr>
            <w:rFonts w:ascii="Cambria Math" w:eastAsiaTheme="minorEastAsia" w:hAnsi="Cambria Math" w:cstheme="majorBidi"/>
            <w:szCs w:val="18"/>
          </w:rPr>
          <m:t>A</m:t>
        </m:r>
      </m:oMath>
      <w:r w:rsidR="00CA6A07" w:rsidRPr="005D1CF6">
        <w:rPr>
          <w:rFonts w:asciiTheme="majorBidi" w:eastAsiaTheme="minorEastAsia" w:hAnsiTheme="majorBidi" w:cstheme="majorBidi"/>
          <w:iCs/>
          <w:szCs w:val="18"/>
        </w:rPr>
        <w:t xml:space="preserve">, </w:t>
      </w:r>
      <m:oMath>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K</m:t>
            </m:r>
          </m:e>
          <m:sub>
            <m:r>
              <w:rPr>
                <w:rFonts w:ascii="Cambria Math" w:eastAsiaTheme="minorEastAsia" w:hAnsi="Cambria Math" w:cstheme="majorBidi"/>
                <w:szCs w:val="18"/>
              </w:rPr>
              <m:t>i</m:t>
            </m:r>
          </m:sub>
        </m:sSub>
      </m:oMath>
      <w:r w:rsidR="00CA6A07" w:rsidRPr="005D1CF6">
        <w:rPr>
          <w:rFonts w:asciiTheme="majorBidi" w:eastAsiaTheme="minorEastAsia" w:hAnsiTheme="majorBidi" w:cstheme="majorBidi"/>
          <w:iCs/>
          <w:szCs w:val="18"/>
        </w:rPr>
        <w:t xml:space="preserve"> </w:t>
      </w:r>
      <w:r w:rsidR="0010343C" w:rsidRPr="005D1CF6">
        <w:rPr>
          <w:rFonts w:asciiTheme="majorBidi" w:eastAsiaTheme="minorEastAsia" w:hAnsiTheme="majorBidi" w:cstheme="majorBidi"/>
          <w:iCs/>
          <w:szCs w:val="18"/>
        </w:rPr>
        <w:t>[kg.m</w:t>
      </w:r>
      <w:r w:rsidR="0010343C" w:rsidRPr="005D1CF6">
        <w:rPr>
          <w:rFonts w:asciiTheme="majorBidi" w:eastAsiaTheme="minorEastAsia" w:hAnsiTheme="majorBidi" w:cstheme="majorBidi"/>
          <w:iCs/>
          <w:szCs w:val="18"/>
          <w:vertAlign w:val="superscript"/>
        </w:rPr>
        <w:t>-3</w:t>
      </w:r>
      <w:r w:rsidR="0010343C" w:rsidRPr="005D1CF6">
        <w:rPr>
          <w:rFonts w:asciiTheme="majorBidi" w:eastAsiaTheme="minorEastAsia" w:hAnsiTheme="majorBidi" w:cstheme="majorBidi"/>
          <w:iCs/>
          <w:szCs w:val="18"/>
        </w:rPr>
        <w:t xml:space="preserve">] </w:t>
      </w:r>
      <w:r w:rsidR="00CA6A07" w:rsidRPr="005D1CF6">
        <w:rPr>
          <w:rFonts w:asciiTheme="majorBidi" w:eastAsiaTheme="minorEastAsia" w:hAnsiTheme="majorBidi" w:cstheme="majorBidi"/>
          <w:iCs/>
          <w:szCs w:val="18"/>
        </w:rPr>
        <w:t xml:space="preserve">is </w:t>
      </w:r>
      <w:r w:rsidR="00B666D6" w:rsidRPr="005D1CF6">
        <w:rPr>
          <w:rFonts w:asciiTheme="majorBidi" w:eastAsiaTheme="minorEastAsia" w:hAnsiTheme="majorBidi" w:cstheme="majorBidi"/>
          <w:iCs/>
          <w:szCs w:val="18"/>
        </w:rPr>
        <w:t xml:space="preserve">the </w:t>
      </w:r>
      <w:r w:rsidR="00CA6A07" w:rsidRPr="005D1CF6">
        <w:rPr>
          <w:rFonts w:asciiTheme="majorBidi" w:eastAsiaTheme="minorEastAsia" w:hAnsiTheme="majorBidi" w:cstheme="majorBidi"/>
          <w:iCs/>
          <w:szCs w:val="18"/>
        </w:rPr>
        <w:t xml:space="preserve">inhibition coefficient, </w:t>
      </w:r>
      <m:oMath>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K</m:t>
            </m:r>
          </m:e>
          <m:sub>
            <m:r>
              <w:rPr>
                <w:rFonts w:ascii="Cambria Math" w:eastAsiaTheme="minorEastAsia" w:hAnsi="Cambria Math" w:cstheme="majorBidi"/>
                <w:szCs w:val="18"/>
              </w:rPr>
              <m:t>m,A</m:t>
            </m:r>
          </m:sub>
        </m:sSub>
      </m:oMath>
      <w:r w:rsidR="00CA6A07" w:rsidRPr="005D1CF6">
        <w:rPr>
          <w:rFonts w:asciiTheme="majorBidi" w:eastAsiaTheme="minorEastAsia" w:hAnsiTheme="majorBidi" w:cstheme="majorBidi"/>
          <w:iCs/>
          <w:szCs w:val="18"/>
        </w:rPr>
        <w:t xml:space="preserve"> </w:t>
      </w:r>
      <w:r w:rsidR="0010343C" w:rsidRPr="005D1CF6">
        <w:rPr>
          <w:rFonts w:asciiTheme="majorBidi" w:eastAsiaTheme="minorEastAsia" w:hAnsiTheme="majorBidi" w:cstheme="majorBidi"/>
          <w:iCs/>
          <w:szCs w:val="18"/>
        </w:rPr>
        <w:t>[kg.m</w:t>
      </w:r>
      <w:r w:rsidR="0010343C" w:rsidRPr="005D1CF6">
        <w:rPr>
          <w:rFonts w:asciiTheme="majorBidi" w:eastAsiaTheme="minorEastAsia" w:hAnsiTheme="majorBidi" w:cstheme="majorBidi"/>
          <w:iCs/>
          <w:szCs w:val="18"/>
          <w:vertAlign w:val="superscript"/>
        </w:rPr>
        <w:t>-3</w:t>
      </w:r>
      <w:r w:rsidR="0010343C" w:rsidRPr="005D1CF6">
        <w:rPr>
          <w:rFonts w:asciiTheme="majorBidi" w:eastAsiaTheme="minorEastAsia" w:hAnsiTheme="majorBidi" w:cstheme="majorBidi"/>
          <w:iCs/>
          <w:szCs w:val="18"/>
        </w:rPr>
        <w:t xml:space="preserve">] </w:t>
      </w:r>
      <w:r w:rsidR="00CA6A07" w:rsidRPr="005D1CF6">
        <w:rPr>
          <w:rFonts w:asciiTheme="majorBidi" w:eastAsiaTheme="minorEastAsia" w:hAnsiTheme="majorBidi" w:cstheme="majorBidi"/>
          <w:iCs/>
          <w:szCs w:val="18"/>
        </w:rPr>
        <w:t xml:space="preserve">and </w:t>
      </w:r>
      <m:oMath>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K</m:t>
            </m:r>
          </m:e>
          <m:sub>
            <m:r>
              <w:rPr>
                <w:rFonts w:ascii="Cambria Math" w:eastAsiaTheme="minorEastAsia" w:hAnsi="Cambria Math" w:cstheme="majorBidi"/>
                <w:szCs w:val="18"/>
              </w:rPr>
              <m:t>m,B</m:t>
            </m:r>
          </m:sub>
        </m:sSub>
      </m:oMath>
      <w:r w:rsidR="00CA6A07" w:rsidRPr="005D1CF6">
        <w:rPr>
          <w:rFonts w:asciiTheme="majorBidi" w:eastAsiaTheme="minorEastAsia" w:hAnsiTheme="majorBidi" w:cstheme="majorBidi"/>
          <w:iCs/>
          <w:szCs w:val="18"/>
        </w:rPr>
        <w:t xml:space="preserve"> </w:t>
      </w:r>
      <w:r w:rsidR="0010343C" w:rsidRPr="005D1CF6">
        <w:rPr>
          <w:rFonts w:asciiTheme="majorBidi" w:eastAsiaTheme="minorEastAsia" w:hAnsiTheme="majorBidi" w:cstheme="majorBidi"/>
          <w:iCs/>
          <w:szCs w:val="18"/>
        </w:rPr>
        <w:t>[kg.m</w:t>
      </w:r>
      <w:r w:rsidR="0010343C" w:rsidRPr="005D1CF6">
        <w:rPr>
          <w:rFonts w:asciiTheme="majorBidi" w:eastAsiaTheme="minorEastAsia" w:hAnsiTheme="majorBidi" w:cstheme="majorBidi"/>
          <w:iCs/>
          <w:szCs w:val="18"/>
          <w:vertAlign w:val="superscript"/>
        </w:rPr>
        <w:t>-3</w:t>
      </w:r>
      <w:r w:rsidR="0010343C" w:rsidRPr="005D1CF6">
        <w:rPr>
          <w:rFonts w:asciiTheme="majorBidi" w:eastAsiaTheme="minorEastAsia" w:hAnsiTheme="majorBidi" w:cstheme="majorBidi"/>
          <w:iCs/>
          <w:szCs w:val="18"/>
        </w:rPr>
        <w:t xml:space="preserve">] </w:t>
      </w:r>
      <w:r w:rsidR="00CA6A07" w:rsidRPr="005D1CF6">
        <w:rPr>
          <w:rFonts w:asciiTheme="majorBidi" w:eastAsiaTheme="minorEastAsia" w:hAnsiTheme="majorBidi" w:cstheme="majorBidi"/>
          <w:iCs/>
          <w:szCs w:val="18"/>
        </w:rPr>
        <w:t xml:space="preserve">are </w:t>
      </w:r>
      <w:r w:rsidR="00B666D6" w:rsidRPr="005D1CF6">
        <w:rPr>
          <w:rFonts w:asciiTheme="majorBidi" w:eastAsiaTheme="minorEastAsia" w:hAnsiTheme="majorBidi" w:cstheme="majorBidi"/>
          <w:iCs/>
          <w:szCs w:val="18"/>
        </w:rPr>
        <w:t xml:space="preserve">the </w:t>
      </w:r>
      <w:r w:rsidR="00CA6A07" w:rsidRPr="005D1CF6">
        <w:rPr>
          <w:rFonts w:asciiTheme="majorBidi" w:eastAsiaTheme="minorEastAsia" w:hAnsiTheme="majorBidi" w:cstheme="majorBidi"/>
          <w:iCs/>
          <w:szCs w:val="18"/>
        </w:rPr>
        <w:t>half-saturation constant</w:t>
      </w:r>
      <w:r w:rsidR="00B666D6" w:rsidRPr="005D1CF6">
        <w:rPr>
          <w:rFonts w:asciiTheme="majorBidi" w:eastAsiaTheme="minorEastAsia" w:hAnsiTheme="majorBidi" w:cstheme="majorBidi"/>
          <w:iCs/>
          <w:szCs w:val="18"/>
        </w:rPr>
        <w:t>s</w:t>
      </w:r>
      <w:r w:rsidR="00CA6A07" w:rsidRPr="005D1CF6">
        <w:rPr>
          <w:rFonts w:asciiTheme="majorBidi" w:eastAsiaTheme="minorEastAsia" w:hAnsiTheme="majorBidi" w:cstheme="majorBidi"/>
          <w:iCs/>
          <w:szCs w:val="18"/>
        </w:rPr>
        <w:t xml:space="preserve"> for the species </w:t>
      </w:r>
      <m:oMath>
        <m:r>
          <w:rPr>
            <w:rFonts w:ascii="Cambria Math" w:eastAsiaTheme="minorEastAsia" w:hAnsi="Cambria Math" w:cstheme="majorBidi"/>
            <w:szCs w:val="18"/>
          </w:rPr>
          <m:t>A</m:t>
        </m:r>
      </m:oMath>
      <w:r w:rsidR="00CA6A07" w:rsidRPr="005D1CF6">
        <w:rPr>
          <w:rFonts w:asciiTheme="majorBidi" w:eastAsiaTheme="minorEastAsia" w:hAnsiTheme="majorBidi" w:cstheme="majorBidi"/>
          <w:iCs/>
          <w:szCs w:val="18"/>
        </w:rPr>
        <w:t xml:space="preserve"> and </w:t>
      </w:r>
      <m:oMath>
        <m:r>
          <w:rPr>
            <w:rFonts w:ascii="Cambria Math" w:eastAsiaTheme="minorEastAsia" w:hAnsi="Cambria Math" w:cstheme="majorBidi"/>
            <w:szCs w:val="18"/>
          </w:rPr>
          <m:t>B</m:t>
        </m:r>
      </m:oMath>
      <w:r w:rsidR="00B666D6" w:rsidRPr="005D1CF6">
        <w:rPr>
          <w:rFonts w:asciiTheme="majorBidi" w:eastAsiaTheme="minorEastAsia" w:hAnsiTheme="majorBidi" w:cstheme="majorBidi"/>
          <w:iCs/>
          <w:szCs w:val="18"/>
        </w:rPr>
        <w:t>,</w:t>
      </w:r>
      <w:r w:rsidR="00CA6A07" w:rsidRPr="005D1CF6">
        <w:rPr>
          <w:rFonts w:asciiTheme="majorBidi" w:eastAsiaTheme="minorEastAsia" w:hAnsiTheme="majorBidi" w:cstheme="majorBidi"/>
          <w:iCs/>
          <w:szCs w:val="18"/>
        </w:rPr>
        <w:t xml:space="preserve"> respectively. </w:t>
      </w:r>
      <w:r w:rsidR="00941823" w:rsidRPr="005D1CF6">
        <w:rPr>
          <w:rFonts w:asciiTheme="majorBidi" w:eastAsiaTheme="minorEastAsia" w:hAnsiTheme="majorBidi" w:cstheme="majorBidi"/>
          <w:iCs/>
          <w:szCs w:val="18"/>
        </w:rPr>
        <w:t xml:space="preserve">This model considers </w:t>
      </w:r>
      <w:r w:rsidR="005B72DE" w:rsidRPr="005D1CF6">
        <w:rPr>
          <w:rFonts w:asciiTheme="majorBidi" w:eastAsiaTheme="minorEastAsia" w:hAnsiTheme="majorBidi" w:cstheme="majorBidi"/>
          <w:iCs/>
          <w:szCs w:val="18"/>
        </w:rPr>
        <w:t xml:space="preserve">a </w:t>
      </w:r>
      <w:r w:rsidR="00941823" w:rsidRPr="005D1CF6">
        <w:rPr>
          <w:rFonts w:asciiTheme="majorBidi" w:eastAsiaTheme="minorEastAsia" w:hAnsiTheme="majorBidi" w:cstheme="majorBidi"/>
          <w:iCs/>
          <w:szCs w:val="18"/>
        </w:rPr>
        <w:t>system with a single substrate (</w:t>
      </w:r>
      <m:oMath>
        <m:r>
          <w:rPr>
            <w:rFonts w:ascii="Cambria Math" w:eastAsiaTheme="minorEastAsia" w:hAnsi="Cambria Math" w:cstheme="majorBidi"/>
            <w:szCs w:val="18"/>
          </w:rPr>
          <m:t>A</m:t>
        </m:r>
      </m:oMath>
      <w:r w:rsidR="005B72DE" w:rsidRPr="005D1CF6">
        <w:rPr>
          <w:rFonts w:asciiTheme="majorBidi" w:eastAsiaTheme="minorEastAsia" w:hAnsiTheme="majorBidi" w:cstheme="majorBidi"/>
          <w:iCs/>
          <w:szCs w:val="18"/>
        </w:rPr>
        <w:t xml:space="preserve">: </w:t>
      </w:r>
      <w:r w:rsidR="00941823" w:rsidRPr="005D1CF6">
        <w:rPr>
          <w:rFonts w:asciiTheme="majorBidi" w:eastAsiaTheme="minorEastAsia" w:hAnsiTheme="majorBidi" w:cstheme="majorBidi"/>
          <w:iCs/>
          <w:szCs w:val="18"/>
        </w:rPr>
        <w:t xml:space="preserve">carbon and energy source) and </w:t>
      </w:r>
      <w:r w:rsidR="005B72DE" w:rsidRPr="005D1CF6">
        <w:rPr>
          <w:rFonts w:asciiTheme="majorBidi" w:eastAsiaTheme="minorEastAsia" w:hAnsiTheme="majorBidi" w:cstheme="majorBidi"/>
          <w:iCs/>
          <w:szCs w:val="18"/>
        </w:rPr>
        <w:t xml:space="preserve">a single </w:t>
      </w:r>
      <w:r w:rsidR="00941823" w:rsidRPr="005D1CF6">
        <w:rPr>
          <w:rFonts w:asciiTheme="majorBidi" w:eastAsiaTheme="minorEastAsia" w:hAnsiTheme="majorBidi" w:cstheme="majorBidi"/>
          <w:iCs/>
          <w:szCs w:val="18"/>
        </w:rPr>
        <w:t>electron acceptor</w:t>
      </w:r>
      <w:r w:rsidR="005B72DE" w:rsidRPr="005D1CF6">
        <w:rPr>
          <w:rFonts w:asciiTheme="majorBidi" w:eastAsiaTheme="minorEastAsia" w:hAnsiTheme="majorBidi" w:cstheme="majorBidi"/>
          <w:iCs/>
          <w:szCs w:val="18"/>
        </w:rPr>
        <w:t xml:space="preserve"> (</w:t>
      </w:r>
      <m:oMath>
        <m:r>
          <w:rPr>
            <w:rFonts w:ascii="Cambria Math" w:eastAsiaTheme="minorEastAsia" w:hAnsi="Cambria Math" w:cstheme="majorBidi"/>
            <w:szCs w:val="18"/>
          </w:rPr>
          <m:t>B</m:t>
        </m:r>
      </m:oMath>
      <w:r w:rsidR="005B72DE" w:rsidRPr="005D1CF6">
        <w:rPr>
          <w:rFonts w:asciiTheme="majorBidi" w:eastAsiaTheme="minorEastAsia" w:hAnsiTheme="majorBidi" w:cstheme="majorBidi"/>
          <w:iCs/>
          <w:szCs w:val="18"/>
        </w:rPr>
        <w:t>)</w:t>
      </w:r>
      <w:r w:rsidR="00941823" w:rsidRPr="005D1CF6">
        <w:rPr>
          <w:rFonts w:asciiTheme="majorBidi" w:eastAsiaTheme="minorEastAsia" w:hAnsiTheme="majorBidi" w:cstheme="majorBidi"/>
          <w:iCs/>
          <w:szCs w:val="18"/>
        </w:rPr>
        <w:t>.</w:t>
      </w:r>
      <w:r w:rsidR="005B72DE" w:rsidRPr="005D1CF6">
        <w:rPr>
          <w:rFonts w:asciiTheme="majorBidi" w:eastAsiaTheme="minorEastAsia" w:hAnsiTheme="majorBidi" w:cstheme="majorBidi"/>
          <w:iCs/>
          <w:szCs w:val="18"/>
        </w:rPr>
        <w:t xml:space="preserve"> A large excess of electron acceptor</w:t>
      </w:r>
      <w:r w:rsidR="00B666D6" w:rsidRPr="005D1CF6">
        <w:rPr>
          <w:rFonts w:asciiTheme="majorBidi" w:eastAsiaTheme="minorEastAsia" w:hAnsiTheme="majorBidi" w:cstheme="majorBidi"/>
          <w:iCs/>
          <w:szCs w:val="18"/>
        </w:rPr>
        <w:t xml:space="preserve"> (</w:t>
      </w:r>
      <w:r w:rsidR="00B666D6" w:rsidRPr="005D1CF6">
        <w:rPr>
          <w:rFonts w:asciiTheme="majorBidi" w:eastAsiaTheme="minorEastAsia" w:hAnsiTheme="majorBidi" w:cstheme="majorBidi"/>
          <w:i/>
          <w:szCs w:val="18"/>
        </w:rPr>
        <w:t>e.g.</w:t>
      </w:r>
      <w:r w:rsidR="00B666D6" w:rsidRPr="005D1CF6">
        <w:rPr>
          <w:rFonts w:asciiTheme="majorBidi" w:eastAsiaTheme="minorEastAsia" w:hAnsiTheme="majorBidi" w:cstheme="majorBidi"/>
          <w:iCs/>
          <w:szCs w:val="18"/>
        </w:rPr>
        <w:t xml:space="preserve"> </w:t>
      </w:r>
      <w:r w:rsidR="005B72DE" w:rsidRPr="005D1CF6">
        <w:rPr>
          <w:rFonts w:asciiTheme="majorBidi" w:eastAsiaTheme="minorEastAsia" w:hAnsiTheme="majorBidi" w:cstheme="majorBidi"/>
          <w:iCs/>
          <w:szCs w:val="18"/>
        </w:rPr>
        <w:t xml:space="preserve">Oxygen) is assumed, so </w:t>
      </w:r>
      <m:oMath>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C</m:t>
            </m:r>
          </m:e>
          <m:sub>
            <m:r>
              <w:rPr>
                <w:rFonts w:ascii="Cambria Math" w:eastAsiaTheme="minorEastAsia" w:hAnsi="Cambria Math" w:cstheme="majorBidi"/>
                <w:szCs w:val="18"/>
              </w:rPr>
              <m:t>B</m:t>
            </m:r>
          </m:sub>
        </m:sSub>
      </m:oMath>
      <w:r w:rsidR="005B72DE" w:rsidRPr="005D1CF6">
        <w:rPr>
          <w:rFonts w:asciiTheme="majorBidi" w:eastAsiaTheme="minorEastAsia" w:hAnsiTheme="majorBidi" w:cstheme="majorBidi"/>
          <w:iCs/>
          <w:szCs w:val="18"/>
        </w:rPr>
        <w:t xml:space="preserve"> is constant and </w:t>
      </w:r>
      <m:oMath>
        <m:sSubSup>
          <m:sSubSupPr>
            <m:ctrlPr>
              <w:rPr>
                <w:rFonts w:ascii="Cambria Math" w:eastAsiaTheme="minorEastAsia" w:hAnsi="Cambria Math" w:cstheme="majorBidi"/>
                <w:i/>
                <w:iCs/>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B</m:t>
            </m:r>
          </m:sub>
          <m:sup>
            <m:r>
              <w:rPr>
                <w:rFonts w:ascii="Cambria Math" w:eastAsiaTheme="minorEastAsia" w:hAnsi="Cambria Math" w:cstheme="majorBidi"/>
                <w:szCs w:val="18"/>
              </w:rPr>
              <m:t>*</m:t>
            </m:r>
          </m:sup>
        </m:sSubSup>
        <m:r>
          <w:rPr>
            <w:rFonts w:ascii="Cambria Math" w:eastAsiaTheme="minorEastAsia" w:hAnsi="Cambria Math" w:cstheme="majorBidi"/>
            <w:szCs w:val="18"/>
          </w:rPr>
          <m:t>≅1</m:t>
        </m:r>
      </m:oMath>
      <w:r w:rsidR="00DD2ED2" w:rsidRPr="005D1CF6">
        <w:rPr>
          <w:rFonts w:asciiTheme="majorBidi" w:eastAsiaTheme="minorEastAsia" w:hAnsiTheme="majorBidi" w:cstheme="majorBidi"/>
          <w:iCs/>
          <w:szCs w:val="18"/>
        </w:rPr>
        <w:t xml:space="preserve"> </w:t>
      </w:r>
      <w:r w:rsidR="00DD2ED2" w:rsidRPr="005D1CF6">
        <w:rPr>
          <w:rFonts w:asciiTheme="majorBidi" w:eastAsiaTheme="minorEastAsia" w:hAnsiTheme="majorBidi" w:cstheme="majorBidi"/>
          <w:iCs/>
          <w:szCs w:val="18"/>
        </w:rPr>
        <w:fldChar w:fldCharType="begin" w:fldLock="1"/>
      </w:r>
      <w:r w:rsidR="00BF6D87" w:rsidRPr="005D1CF6">
        <w:rPr>
          <w:rFonts w:asciiTheme="majorBidi" w:eastAsiaTheme="minorEastAsia" w:hAnsiTheme="majorBidi" w:cstheme="majorBidi"/>
          <w:iCs/>
          <w:szCs w:val="18"/>
        </w:rPr>
        <w:instrText>ADDIN CSL_CITATION {"citationItems":[{"id":"ITEM-1","itemData":{"DOI":"10.1016/j.advwatres.2008.11.012","ISSN":"03091708","abstract":"In this work, we upscale a pore-scale description of mass transport in a porous medium containing biofilm to develop the relevant Darcy-scale equations. We begin with the pore-scale descriptions of mass transport, interphase mass transfer, and biologically-mediated reactions; these processes are then upscaled using the method of volume averaging to obtain the macroscale mass balance equations. We focus on the case of local mass equilibrium conditions where the averaged concentrations in the fluid and biological phases can be assumed to be proportional and for which a one-equation macroscopic model may be developed. We predict the effective dispersion tensor by a closure scheme that is solved for the cases of both simple and complex unit cells. The domain of validity of the approach is clearly identified, both theoretically and numerically, and unitless groupings indicating the domain of validity are reported. ©</w:instrText>
      </w:r>
      <w:r w:rsidR="00BF6D87" w:rsidRPr="00EE0F85">
        <w:rPr>
          <w:rFonts w:asciiTheme="majorBidi" w:eastAsiaTheme="minorEastAsia" w:hAnsiTheme="majorBidi" w:cstheme="majorBidi"/>
          <w:iCs/>
          <w:szCs w:val="18"/>
        </w:rPr>
        <w:instrText xml:space="preserve"> 2008 Elsevier Ltd. All rights reserved.","author":[{"dropping-particle":"","family":"Golfier","given":"Fabrice","non-dropping-particle":"","parse-names":false,"suffix":""},{"dropping-particle":"","family":"Wood","given":"Brian D.","non-dropping-particle":"","parse-names":false,"suffix":""},{"dropping-particle":"","family":"Orgogozo","given":"Laurent","non-dropping-particle":"","parse-names":false,"suffix":""},{"dropping-particle":"","family":"Quintard","given":"Michel","non-dropping-particle":"","parse-names":false,"suffix":""},{"dropping-particle":"","family":"Buès","given":"Michel","non-dropping-particle":"","parse-names":false,"suffix":""}],"container-title":"Advances in Water Resources","id":"ITEM-1","issue":"3","issued":{"date-parts":[["2009"]]},"page":"463-485","publisher":"Elsevier Ltd","title":"Biofilms in porous media: Development of macroscopic transport equations via volume averaging with closure for local mass equilibrium conditions","type":"article-journal","volume":"32"},"uris":["http://www.mendeley.com/documents/?uuid=9661ac18-e1b5-49e5-a846-ea1dbbad34f9","http://www.mendeley.com/documents/?uuid=9908c7aa-5317-4ae8-8fd9-dcd52b6ae8e9"]}],"mendeley":{"formattedCitation":"(Golfier et al., 2009)","manualFormatting":"(Golfier et al., 2009","plainTextFormattedCitation":"(Golfier et al., 2009)","previouslyFormattedCitation":"(Golfier et al., 2009)"},"properties":{"noteIndex":0},"schema":"https://</w:instrText>
      </w:r>
      <w:r w:rsidR="00BF6D87" w:rsidRPr="00BE5554">
        <w:rPr>
          <w:rFonts w:asciiTheme="majorBidi" w:eastAsiaTheme="minorEastAsia" w:hAnsiTheme="majorBidi" w:cstheme="majorBidi"/>
          <w:iCs/>
          <w:szCs w:val="18"/>
          <w:lang w:val="es-MX"/>
        </w:rPr>
        <w:instrText>github.com/citation-style-language/schema/raw/master/csl-citation.json"}</w:instrText>
      </w:r>
      <w:r w:rsidR="00DD2ED2" w:rsidRPr="005D1CF6">
        <w:rPr>
          <w:rFonts w:asciiTheme="majorBidi" w:eastAsiaTheme="minorEastAsia" w:hAnsiTheme="majorBidi" w:cstheme="majorBidi"/>
          <w:iCs/>
          <w:szCs w:val="18"/>
        </w:rPr>
        <w:fldChar w:fldCharType="separate"/>
      </w:r>
      <w:r w:rsidR="007E3CAF" w:rsidRPr="00BE5554">
        <w:rPr>
          <w:rFonts w:asciiTheme="majorBidi" w:eastAsiaTheme="minorEastAsia" w:hAnsiTheme="majorBidi" w:cstheme="majorBidi"/>
          <w:iCs/>
          <w:noProof/>
          <w:szCs w:val="18"/>
          <w:lang w:val="es-MX"/>
        </w:rPr>
        <w:t>(Golfier et al., 2009</w:t>
      </w:r>
      <w:r w:rsidR="00DD2ED2" w:rsidRPr="005D1CF6">
        <w:rPr>
          <w:rFonts w:asciiTheme="majorBidi" w:eastAsiaTheme="minorEastAsia" w:hAnsiTheme="majorBidi" w:cstheme="majorBidi"/>
          <w:iCs/>
          <w:szCs w:val="18"/>
        </w:rPr>
        <w:fldChar w:fldCharType="end"/>
      </w:r>
      <w:r w:rsidR="004E651B" w:rsidRPr="00BE5554">
        <w:rPr>
          <w:rFonts w:asciiTheme="majorBidi" w:eastAsiaTheme="minorEastAsia" w:hAnsiTheme="majorBidi" w:cstheme="majorBidi"/>
          <w:iCs/>
          <w:szCs w:val="18"/>
          <w:lang w:val="es-MX"/>
        </w:rPr>
        <w:t xml:space="preserve">, </w:t>
      </w:r>
      <w:r w:rsidR="00DD2ED2" w:rsidRPr="005D1CF6">
        <w:rPr>
          <w:rFonts w:asciiTheme="majorBidi" w:eastAsiaTheme="minorEastAsia" w:hAnsiTheme="majorBidi" w:cstheme="majorBidi"/>
          <w:iCs/>
          <w:szCs w:val="18"/>
        </w:rPr>
        <w:fldChar w:fldCharType="begin" w:fldLock="1"/>
      </w:r>
      <w:r w:rsidR="00BF6D87" w:rsidRPr="00BE5554">
        <w:rPr>
          <w:rFonts w:asciiTheme="majorBidi" w:eastAsiaTheme="minorEastAsia" w:hAnsiTheme="majorBidi" w:cstheme="majorBidi"/>
          <w:iCs/>
          <w:szCs w:val="18"/>
          <w:lang w:val="es-MX"/>
        </w:rPr>
        <w:instrText>ADDIN CSL_CITATION {"citationItems":[{"id":"ITEM-1","itemData":{"DOI":"10.1016/j.advwatres.2013.09.011","ISSN":"03091708","abstract":"In this work, we derive a Darcy-scale model for solute transport in porous media colonized by biofilms. Biofilms refer to structured communities of microbial cells that grow attached to an aqueous interface, e.g., the pore walls of a water-saturated porous medium. First, we present the pore-scale description of mass transport within and between the phases (water phase and biofilm phase) including the biologically-mediated reactions. Then, a two-equation Darcy-scale mass balance model (classically referred to as dual-porosity model), suitable both for local equilibrium and non-equilibrium conditions, is obtained from the method of volume averaging. Application of this macroscopic model to complex pore geometry of a two-dimensional porous medium supporting biofilms is presented. Comparisons with direct numerical simulation results confirm the large range of validity of the model. Finally, an illustrative example based on a scenario of reactive transport experimental tests is used to point out conditions for when the use of the proposed model is required. © 2013 Elsevier Ltd.","author":[{"dropping-particle":"","family":"Orgogozo","given":"Laurent","non-dropping-particle":"","parse-names":false,"suffix":""},{"dropping-particle":"","family":"Golfier","given":"Fabrice","non-dropping-particle":"","parse-names":false,"suffix":""},{"dropping-particle":"","family":"Buès","given":"Michel A.","non-dropping-particle":"","parse-names":false,"suffix":""},{"dropping-particle":"","family":"Quintard","given":"Michel","non-dropping-particle":"","parse-names":false,"suffix":""},{"dropping-particle":"","family":"Koné","given":"Tiangoua","non-dropping-particle":"","parse-names":false,"suffix":""}],"container-title":"Advances in Water Resources","id":"ITEM-1","issued":{"date-parts":[["2013"]]},"page":"266-279","publisher":"Elsevier Ltd","title":"A dual-porosity theory for solute transport in biofilm-coated porous media","type":"article-journal","volume":"62"},"uris":["http://www.mendeley.com/documents/?uuid=29ec01a3-cf8c-45f6-bd3f-c0f7082a7d13","http://www.mendeley.com/documents/?uuid=9b352ed7-6e5c-4e91-954c-cd5ea2058916"]}],"mendeley":{"formattedCitation":"(Orgogozo et al., 2013)","manualFormatting":"Orgogozo et al., 2013","plainTextFormattedCitation":"(Orgogozo et al., 2013)","previouslyFormattedCitation":"(Orgogozo et al., 2013)"},"properties":{"noteIndex":0},"schema":"https://github.com/citation-style-language/schema/raw/master/csl-citation.json"}</w:instrText>
      </w:r>
      <w:r w:rsidR="00DD2ED2" w:rsidRPr="005D1CF6">
        <w:rPr>
          <w:rFonts w:asciiTheme="majorBidi" w:eastAsiaTheme="minorEastAsia" w:hAnsiTheme="majorBidi" w:cstheme="majorBidi"/>
          <w:iCs/>
          <w:szCs w:val="18"/>
        </w:rPr>
        <w:fldChar w:fldCharType="separate"/>
      </w:r>
      <w:r w:rsidR="007E3CAF" w:rsidRPr="00BE5554">
        <w:rPr>
          <w:rFonts w:asciiTheme="majorBidi" w:eastAsiaTheme="minorEastAsia" w:hAnsiTheme="majorBidi" w:cstheme="majorBidi"/>
          <w:iCs/>
          <w:noProof/>
          <w:szCs w:val="18"/>
          <w:lang w:val="es-MX"/>
        </w:rPr>
        <w:t>Orgogozo et al., 2013</w:t>
      </w:r>
      <w:r w:rsidR="00DD2ED2" w:rsidRPr="005D1CF6">
        <w:rPr>
          <w:rFonts w:asciiTheme="majorBidi" w:eastAsiaTheme="minorEastAsia" w:hAnsiTheme="majorBidi" w:cstheme="majorBidi"/>
          <w:iCs/>
          <w:szCs w:val="18"/>
        </w:rPr>
        <w:fldChar w:fldCharType="end"/>
      </w:r>
      <w:r w:rsidR="004E651B" w:rsidRPr="00BE5554">
        <w:rPr>
          <w:rFonts w:asciiTheme="majorBidi" w:eastAsiaTheme="minorEastAsia" w:hAnsiTheme="majorBidi" w:cstheme="majorBidi"/>
          <w:iCs/>
          <w:szCs w:val="18"/>
          <w:lang w:val="es-MX"/>
        </w:rPr>
        <w:t xml:space="preserve">, </w:t>
      </w:r>
      <w:r w:rsidR="00DD2ED2" w:rsidRPr="005D1CF6">
        <w:rPr>
          <w:rFonts w:asciiTheme="majorBidi" w:eastAsiaTheme="minorEastAsia" w:hAnsiTheme="majorBidi" w:cstheme="majorBidi"/>
          <w:iCs/>
          <w:szCs w:val="18"/>
        </w:rPr>
        <w:fldChar w:fldCharType="begin" w:fldLock="1"/>
      </w:r>
      <w:r w:rsidR="00BF6D87" w:rsidRPr="00BE5554">
        <w:rPr>
          <w:rFonts w:asciiTheme="majorBidi" w:eastAsiaTheme="minorEastAsia" w:hAnsiTheme="majorBidi" w:cstheme="majorBidi"/>
          <w:iCs/>
          <w:szCs w:val="18"/>
          <w:lang w:val="es-MX"/>
        </w:rPr>
        <w:instrText>ADDIN CSL_CITATION {"citationItems":[{"id":"ITEM-1","itemData":{"DOI":"10.1007/s11242-016-0718-7","ISSN":"15731634","abstract":"© 2016, Springer Science+Business Media Dordrecht. We develop a Darcy-scale model for multiphase transport in porous media colonized by biofilms. We start with the pore scale description of mass transfer within and between the phases (water, biofilm, and NAPL phases) and biologically mediated reactions. The macroscale mass balance equations under local mass equilibrium condition at the fluid–biofilm interface are derived from the pore scale problem, obtained by the method of volume averaging. The case of local mass equilibrium considered here finally provides one mass balance equation for the fluid and biological phases coupled with the NAPL-phase equation. We predict the effective dispersion tensor and the mass exchange coefficient that appear in the upscaled equation by solving closure problems on representative unit cells. The results of this model have been compared with pore scale simulations. Based on these comparisons, the validity domain of this model has been identified in terms of hydrodynamic and biochemical conditions of transport (i.e., Péclet and Damköhler numbers). This study should provide a better insight on the impact of biofilm dynamics near NAPL sources through the upscaling process.","author":[{"dropping-particle":"","family":"Bahar","given":"T.","non-dropping-particle":"","parse-names":false,"suffix":""},{"dropping-particle":"","family":"Golfier","given":"F.","non-dropping-particle":"","parse-names":false,"suffix":""},{"dropping-particle":"","family":"Oltéan","given":"C.","non-dropping-particle":"","parse-names":false,"suffix":""},{"dropping-particle":"","family":"Benioug","given":"M.","non-dropping-particle":"","parse-names":false,"suffix":""}],"container-title":"Transport in Porous Media","id":"ITEM-1","issue":"3","issued":{"date-parts":[["2016"]]},"page":"653-693","publisher":"Springer Netherlands","title":"An Upscaled Model for Bio-Enhanced NAPL Dissolution in Porous Media","type":"article-journal","volume":"113"},"uris":["http://www.mendeley.com/documents/?uuid=fe84bbf2-8eac-40b3-95d9-5da7116c4257","http://www.mendeley.com/documents/?uuid=afe48f0b-5c10-4cd5-a610-b553a982cc38"]}],"mendeley":{"formattedCitation":"(Bahar et al., 2016)","manualFormatting":"Bahar et al., 2016)","plainTextFormattedCitation":"(Bahar et al., 2016)","previouslyFormattedCitation":"(Bahar et al., 2016)"},"properties":{"noteIndex":0},"schema":"https://github.com/citation-style-language/schema/raw/master/csl-citation.json"}</w:instrText>
      </w:r>
      <w:r w:rsidR="00DD2ED2" w:rsidRPr="005D1CF6">
        <w:rPr>
          <w:rFonts w:asciiTheme="majorBidi" w:eastAsiaTheme="minorEastAsia" w:hAnsiTheme="majorBidi" w:cstheme="majorBidi"/>
          <w:iCs/>
          <w:szCs w:val="18"/>
        </w:rPr>
        <w:fldChar w:fldCharType="separate"/>
      </w:r>
      <w:r w:rsidR="007E3CAF" w:rsidRPr="00BE5554">
        <w:rPr>
          <w:rFonts w:asciiTheme="majorBidi" w:eastAsiaTheme="minorEastAsia" w:hAnsiTheme="majorBidi" w:cstheme="majorBidi"/>
          <w:iCs/>
          <w:noProof/>
          <w:szCs w:val="18"/>
          <w:lang w:val="es-MX"/>
        </w:rPr>
        <w:t>Bahar et al., 2016)</w:t>
      </w:r>
      <w:r w:rsidR="00DD2ED2" w:rsidRPr="005D1CF6">
        <w:rPr>
          <w:rFonts w:asciiTheme="majorBidi" w:eastAsiaTheme="minorEastAsia" w:hAnsiTheme="majorBidi" w:cstheme="majorBidi"/>
          <w:iCs/>
          <w:szCs w:val="18"/>
        </w:rPr>
        <w:fldChar w:fldCharType="end"/>
      </w:r>
      <w:r w:rsidR="005B72DE" w:rsidRPr="00BE5554">
        <w:rPr>
          <w:rFonts w:asciiTheme="majorBidi" w:eastAsiaTheme="minorEastAsia" w:hAnsiTheme="majorBidi" w:cstheme="majorBidi"/>
          <w:iCs/>
          <w:szCs w:val="18"/>
          <w:lang w:val="es-MX"/>
        </w:rPr>
        <w:t>.</w:t>
      </w:r>
      <w:r w:rsidR="009E2997" w:rsidRPr="00BE5554">
        <w:rPr>
          <w:rFonts w:asciiTheme="majorBidi" w:eastAsiaTheme="minorEastAsia" w:hAnsiTheme="majorBidi" w:cstheme="majorBidi"/>
          <w:iCs/>
          <w:szCs w:val="18"/>
          <w:lang w:val="es-MX"/>
        </w:rPr>
        <w:t xml:space="preserve"> Such conditions may occur</w:t>
      </w:r>
      <w:r w:rsidR="009E2F16" w:rsidRPr="00BE5554">
        <w:rPr>
          <w:rFonts w:asciiTheme="majorBidi" w:eastAsiaTheme="minorEastAsia" w:hAnsiTheme="majorBidi" w:cstheme="majorBidi"/>
          <w:iCs/>
          <w:szCs w:val="18"/>
          <w:lang w:val="es-MX"/>
        </w:rPr>
        <w:t>,</w:t>
      </w:r>
      <w:r w:rsidR="009E2997" w:rsidRPr="00BE5554">
        <w:rPr>
          <w:rFonts w:asciiTheme="majorBidi" w:eastAsiaTheme="minorEastAsia" w:hAnsiTheme="majorBidi" w:cstheme="majorBidi"/>
          <w:iCs/>
          <w:szCs w:val="18"/>
          <w:lang w:val="es-MX"/>
        </w:rPr>
        <w:t xml:space="preserve"> for instance, close to the water table for LNAPL aerobic biodegradation if re</w:t>
      </w:r>
      <w:r w:rsidR="00CC5586" w:rsidRPr="00BE5554">
        <w:rPr>
          <w:rFonts w:asciiTheme="majorBidi" w:eastAsiaTheme="minorEastAsia" w:hAnsiTheme="majorBidi" w:cstheme="majorBidi"/>
          <w:iCs/>
          <w:szCs w:val="18"/>
          <w:lang w:val="es-MX"/>
        </w:rPr>
        <w:t>-</w:t>
      </w:r>
      <w:r w:rsidR="009E2997" w:rsidRPr="00BE5554">
        <w:rPr>
          <w:rFonts w:asciiTheme="majorBidi" w:eastAsiaTheme="minorEastAsia" w:hAnsiTheme="majorBidi" w:cstheme="majorBidi"/>
          <w:iCs/>
          <w:szCs w:val="18"/>
          <w:lang w:val="es-MX"/>
        </w:rPr>
        <w:t>aeration of the aquifer from the vadose zone is sufficient but it should be kept in mind that this assumption may lead to overestimat</w:t>
      </w:r>
      <w:r w:rsidR="00CC5586" w:rsidRPr="00BE5554">
        <w:rPr>
          <w:rFonts w:asciiTheme="majorBidi" w:eastAsiaTheme="minorEastAsia" w:hAnsiTheme="majorBidi" w:cstheme="majorBidi"/>
          <w:iCs/>
          <w:szCs w:val="18"/>
          <w:lang w:val="es-MX"/>
        </w:rPr>
        <w:t>ing</w:t>
      </w:r>
      <w:r w:rsidR="009E2997" w:rsidRPr="00BE5554">
        <w:rPr>
          <w:rFonts w:asciiTheme="majorBidi" w:eastAsiaTheme="minorEastAsia" w:hAnsiTheme="majorBidi" w:cstheme="majorBidi"/>
          <w:iCs/>
          <w:szCs w:val="18"/>
          <w:lang w:val="es-MX"/>
        </w:rPr>
        <w:t xml:space="preserve"> the impact of bacterial activity.</w:t>
      </w:r>
    </w:p>
    <w:p w14:paraId="18C34A5F" w14:textId="3BB3F7CC" w:rsidR="00250E49" w:rsidRPr="005244BD" w:rsidRDefault="00250E49" w:rsidP="00B666D6">
      <w:pPr>
        <w:pStyle w:val="ListParagraph"/>
        <w:numPr>
          <w:ilvl w:val="0"/>
          <w:numId w:val="7"/>
        </w:numPr>
        <w:spacing w:line="480" w:lineRule="auto"/>
        <w:jc w:val="both"/>
        <w:rPr>
          <w:rFonts w:asciiTheme="majorBidi" w:eastAsiaTheme="minorEastAsia" w:hAnsiTheme="majorBidi" w:cstheme="majorBidi"/>
          <w:iCs/>
          <w:szCs w:val="18"/>
        </w:rPr>
      </w:pPr>
      <w:r w:rsidRPr="005244BD">
        <w:rPr>
          <w:rFonts w:asciiTheme="majorBidi" w:eastAsiaTheme="minorEastAsia" w:hAnsiTheme="majorBidi" w:cstheme="majorBidi"/>
          <w:iCs/>
          <w:szCs w:val="18"/>
        </w:rPr>
        <w:t xml:space="preserve">It is assumed that </w:t>
      </w:r>
      <w:r w:rsidR="00B666D6" w:rsidRPr="005244BD">
        <w:rPr>
          <w:rFonts w:asciiTheme="majorBidi" w:eastAsiaTheme="minorEastAsia" w:hAnsiTheme="majorBidi" w:cstheme="majorBidi"/>
          <w:iCs/>
          <w:szCs w:val="18"/>
        </w:rPr>
        <w:t>the b</w:t>
      </w:r>
      <w:r w:rsidR="00A35ABA" w:rsidRPr="005244BD">
        <w:rPr>
          <w:rFonts w:asciiTheme="majorBidi" w:eastAsiaTheme="minorEastAsia" w:hAnsiTheme="majorBidi" w:cstheme="majorBidi"/>
          <w:iCs/>
          <w:szCs w:val="18"/>
        </w:rPr>
        <w:t xml:space="preserve">iofilm density </w:t>
      </w:r>
      <w:r w:rsidRPr="005244BD">
        <w:rPr>
          <w:rFonts w:asciiTheme="majorBidi" w:eastAsiaTheme="minorEastAsia" w:hAnsiTheme="majorBidi" w:cstheme="majorBidi"/>
          <w:iCs/>
          <w:szCs w:val="18"/>
        </w:rPr>
        <w:t>(</w:t>
      </w:r>
      <m:oMath>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ρ</m:t>
            </m:r>
          </m:e>
          <m:sub>
            <m:r>
              <m:rPr>
                <m:sty m:val="p"/>
              </m:rPr>
              <w:rPr>
                <w:rFonts w:ascii="Cambria Math" w:eastAsiaTheme="minorEastAsia" w:hAnsi="Cambria Math" w:cstheme="majorBidi"/>
                <w:szCs w:val="18"/>
              </w:rPr>
              <m:t>bio</m:t>
            </m:r>
          </m:sub>
        </m:sSub>
      </m:oMath>
      <w:r w:rsidRPr="005244BD">
        <w:rPr>
          <w:rFonts w:asciiTheme="majorBidi" w:eastAsiaTheme="minorEastAsia" w:hAnsiTheme="majorBidi" w:cstheme="majorBidi"/>
          <w:iCs/>
          <w:szCs w:val="18"/>
        </w:rPr>
        <w:t>)</w:t>
      </w:r>
      <w:r w:rsidR="00A35ABA" w:rsidRPr="005244BD">
        <w:rPr>
          <w:rFonts w:asciiTheme="majorBidi" w:eastAsiaTheme="minorEastAsia" w:hAnsiTheme="majorBidi" w:cstheme="majorBidi"/>
          <w:iCs/>
          <w:szCs w:val="18"/>
        </w:rPr>
        <w:t xml:space="preserve"> is constant</w:t>
      </w:r>
      <w:r w:rsidR="00B666D6" w:rsidRPr="005244BD">
        <w:rPr>
          <w:rFonts w:asciiTheme="majorBidi" w:eastAsiaTheme="minorEastAsia" w:hAnsiTheme="majorBidi" w:cstheme="majorBidi"/>
          <w:iCs/>
          <w:szCs w:val="18"/>
        </w:rPr>
        <w:t>,</w:t>
      </w:r>
      <w:r w:rsidRPr="005244BD">
        <w:rPr>
          <w:rFonts w:asciiTheme="majorBidi" w:eastAsiaTheme="minorEastAsia" w:hAnsiTheme="majorBidi" w:cstheme="majorBidi"/>
          <w:iCs/>
          <w:szCs w:val="18"/>
        </w:rPr>
        <w:t xml:space="preserve"> </w:t>
      </w:r>
      <w:r w:rsidR="00B666D6" w:rsidRPr="005244BD">
        <w:rPr>
          <w:rFonts w:asciiTheme="majorBidi" w:eastAsiaTheme="minorEastAsia" w:hAnsiTheme="majorBidi" w:cstheme="majorBidi"/>
          <w:iCs/>
          <w:szCs w:val="18"/>
        </w:rPr>
        <w:t>also</w:t>
      </w:r>
      <w:r w:rsidRPr="005244BD">
        <w:rPr>
          <w:rFonts w:asciiTheme="majorBidi" w:eastAsiaTheme="minorEastAsia" w:hAnsiTheme="majorBidi" w:cstheme="majorBidi"/>
          <w:iCs/>
          <w:szCs w:val="18"/>
        </w:rPr>
        <w:t xml:space="preserve"> internal and external mass transfer limitation</w:t>
      </w:r>
      <w:r w:rsidR="00B666D6" w:rsidRPr="005244BD">
        <w:rPr>
          <w:rFonts w:asciiTheme="majorBidi" w:eastAsiaTheme="minorEastAsia" w:hAnsiTheme="majorBidi" w:cstheme="majorBidi"/>
          <w:iCs/>
          <w:szCs w:val="18"/>
        </w:rPr>
        <w:t>s are</w:t>
      </w:r>
      <w:r w:rsidRPr="005244BD">
        <w:rPr>
          <w:rFonts w:asciiTheme="majorBidi" w:eastAsiaTheme="minorEastAsia" w:hAnsiTheme="majorBidi" w:cstheme="majorBidi"/>
          <w:iCs/>
          <w:szCs w:val="18"/>
        </w:rPr>
        <w:t xml:space="preserve"> discarded for biofilm (</w:t>
      </w:r>
      <w:r w:rsidR="00B666D6" w:rsidRPr="005244BD">
        <w:rPr>
          <w:rFonts w:asciiTheme="majorBidi" w:eastAsiaTheme="minorEastAsia" w:hAnsiTheme="majorBidi" w:cstheme="majorBidi"/>
          <w:iCs/>
          <w:szCs w:val="18"/>
        </w:rPr>
        <w:t xml:space="preserve">biofilm is </w:t>
      </w:r>
      <w:r w:rsidRPr="005244BD">
        <w:rPr>
          <w:rFonts w:asciiTheme="majorBidi" w:eastAsiaTheme="minorEastAsia" w:hAnsiTheme="majorBidi" w:cstheme="majorBidi"/>
          <w:iCs/>
          <w:szCs w:val="18"/>
        </w:rPr>
        <w:t>fully penetrated).</w:t>
      </w:r>
    </w:p>
    <w:p w14:paraId="1792BA93" w14:textId="02A66993" w:rsidR="00A35ABA" w:rsidRPr="005244BD" w:rsidRDefault="00A35ABA" w:rsidP="00A93233">
      <w:pPr>
        <w:pStyle w:val="ListParagraph"/>
        <w:numPr>
          <w:ilvl w:val="0"/>
          <w:numId w:val="7"/>
        </w:numPr>
        <w:spacing w:line="480" w:lineRule="auto"/>
        <w:jc w:val="both"/>
        <w:rPr>
          <w:rFonts w:asciiTheme="majorBidi" w:eastAsiaTheme="minorEastAsia" w:hAnsiTheme="majorBidi" w:cstheme="majorBidi"/>
          <w:iCs/>
          <w:szCs w:val="18"/>
        </w:rPr>
      </w:pPr>
      <w:r w:rsidRPr="005244BD">
        <w:rPr>
          <w:rFonts w:asciiTheme="majorBidi" w:eastAsiaTheme="minorEastAsia" w:hAnsiTheme="majorBidi" w:cstheme="majorBidi"/>
          <w:iCs/>
          <w:szCs w:val="18"/>
        </w:rPr>
        <w:t>Bio</w:t>
      </w:r>
      <w:r w:rsidR="00250E49" w:rsidRPr="005244BD">
        <w:rPr>
          <w:rFonts w:asciiTheme="majorBidi" w:eastAsiaTheme="minorEastAsia" w:hAnsiTheme="majorBidi" w:cstheme="majorBidi"/>
          <w:iCs/>
          <w:szCs w:val="18"/>
        </w:rPr>
        <w:t>-</w:t>
      </w:r>
      <w:r w:rsidRPr="005244BD">
        <w:rPr>
          <w:rFonts w:asciiTheme="majorBidi" w:eastAsiaTheme="minorEastAsia" w:hAnsiTheme="majorBidi" w:cstheme="majorBidi"/>
          <w:iCs/>
          <w:szCs w:val="18"/>
        </w:rPr>
        <w:t xml:space="preserve">surfactant production is </w:t>
      </w:r>
      <w:r w:rsidR="005767D3" w:rsidRPr="005244BD">
        <w:rPr>
          <w:rFonts w:asciiTheme="majorBidi" w:eastAsiaTheme="minorEastAsia" w:hAnsiTheme="majorBidi" w:cstheme="majorBidi"/>
          <w:iCs/>
          <w:szCs w:val="18"/>
        </w:rPr>
        <w:t xml:space="preserve">only </w:t>
      </w:r>
      <w:r w:rsidRPr="005244BD">
        <w:rPr>
          <w:rFonts w:asciiTheme="majorBidi" w:eastAsiaTheme="minorEastAsia" w:hAnsiTheme="majorBidi" w:cstheme="majorBidi"/>
          <w:iCs/>
          <w:szCs w:val="18"/>
        </w:rPr>
        <w:t>considered when biofilm is in contact with NAPL blobs (</w:t>
      </w:r>
      <w:r w:rsidR="003345D5" w:rsidRPr="005244BD">
        <w:rPr>
          <w:rFonts w:asciiTheme="majorBidi" w:eastAsiaTheme="minorEastAsia" w:hAnsiTheme="majorBidi" w:cstheme="majorBidi"/>
          <w:i/>
          <w:szCs w:val="18"/>
        </w:rPr>
        <w:t>i.e.</w:t>
      </w:r>
      <w:r w:rsidR="003345D5" w:rsidRPr="005244BD">
        <w:rPr>
          <w:rFonts w:asciiTheme="majorBidi" w:eastAsiaTheme="minorEastAsia" w:hAnsiTheme="majorBidi" w:cstheme="majorBidi"/>
          <w:iCs/>
          <w:szCs w:val="18"/>
        </w:rPr>
        <w:t xml:space="preserve">, </w:t>
      </w:r>
      <w:r w:rsidRPr="005244BD">
        <w:rPr>
          <w:rFonts w:asciiTheme="majorBidi" w:eastAsiaTheme="minorEastAsia" w:hAnsiTheme="majorBidi" w:cstheme="majorBidi"/>
          <w:iCs/>
          <w:szCs w:val="18"/>
        </w:rPr>
        <w:t xml:space="preserve">in NAPL-filled </w:t>
      </w:r>
      <w:r w:rsidR="00250E49" w:rsidRPr="005244BD">
        <w:rPr>
          <w:rFonts w:asciiTheme="majorBidi" w:eastAsiaTheme="minorEastAsia" w:hAnsiTheme="majorBidi" w:cstheme="majorBidi"/>
          <w:iCs/>
          <w:szCs w:val="18"/>
        </w:rPr>
        <w:t>pores</w:t>
      </w:r>
      <w:r w:rsidRPr="005244BD">
        <w:rPr>
          <w:rFonts w:asciiTheme="majorBidi" w:eastAsiaTheme="minorEastAsia" w:hAnsiTheme="majorBidi" w:cstheme="majorBidi"/>
          <w:iCs/>
          <w:szCs w:val="18"/>
        </w:rPr>
        <w:t>)</w:t>
      </w:r>
      <w:r w:rsidR="009E2997" w:rsidRPr="005244BD">
        <w:rPr>
          <w:rFonts w:asciiTheme="majorBidi" w:eastAsiaTheme="minorEastAsia" w:hAnsiTheme="majorBidi" w:cstheme="majorBidi"/>
          <w:iCs/>
          <w:szCs w:val="18"/>
        </w:rPr>
        <w:t xml:space="preserve">. In addition, </w:t>
      </w:r>
      <w:r w:rsidR="00A93233" w:rsidRPr="005244BD">
        <w:rPr>
          <w:rFonts w:asciiTheme="majorBidi" w:eastAsiaTheme="minorEastAsia" w:hAnsiTheme="majorBidi" w:cstheme="majorBidi"/>
          <w:iCs/>
          <w:szCs w:val="18"/>
        </w:rPr>
        <w:t>concentration of bio-surfactants is assumed to be uniform at the surface of NAPL blobs and transport of bio-surfactant from NAPL-filled pores to throats and water-filled pores is neglected.</w:t>
      </w:r>
    </w:p>
    <w:p w14:paraId="6E43D9E2" w14:textId="2778EA03" w:rsidR="00A35ABA" w:rsidRPr="005244BD" w:rsidRDefault="00A35ABA" w:rsidP="00407E6D">
      <w:pPr>
        <w:spacing w:line="480" w:lineRule="auto"/>
        <w:jc w:val="both"/>
        <w:rPr>
          <w:rFonts w:asciiTheme="majorBidi" w:eastAsiaTheme="minorEastAsia" w:hAnsiTheme="majorBidi" w:cstheme="majorBidi"/>
          <w:iCs/>
          <w:szCs w:val="18"/>
        </w:rPr>
      </w:pPr>
      <w:r w:rsidRPr="005244BD">
        <w:rPr>
          <w:rFonts w:asciiTheme="majorBidi" w:eastAsiaTheme="minorEastAsia" w:hAnsiTheme="majorBidi" w:cstheme="majorBidi"/>
          <w:iCs/>
          <w:szCs w:val="18"/>
        </w:rPr>
        <w:t xml:space="preserve">Based on </w:t>
      </w:r>
      <w:r w:rsidR="009A2FFC" w:rsidRPr="005244BD">
        <w:rPr>
          <w:rFonts w:asciiTheme="majorBidi" w:eastAsiaTheme="minorEastAsia" w:hAnsiTheme="majorBidi" w:cstheme="majorBidi"/>
          <w:iCs/>
          <w:szCs w:val="18"/>
        </w:rPr>
        <w:t xml:space="preserve">the </w:t>
      </w:r>
      <w:r w:rsidRPr="005244BD">
        <w:rPr>
          <w:rFonts w:asciiTheme="majorBidi" w:eastAsiaTheme="minorEastAsia" w:hAnsiTheme="majorBidi" w:cstheme="majorBidi"/>
          <w:iCs/>
          <w:szCs w:val="18"/>
        </w:rPr>
        <w:t>above assumption</w:t>
      </w:r>
      <w:r w:rsidR="00407E6D" w:rsidRPr="005244BD">
        <w:rPr>
          <w:rFonts w:asciiTheme="majorBidi" w:eastAsiaTheme="minorEastAsia" w:hAnsiTheme="majorBidi" w:cstheme="majorBidi"/>
          <w:iCs/>
          <w:szCs w:val="18"/>
        </w:rPr>
        <w:t>s</w:t>
      </w:r>
      <w:r w:rsidRPr="005244BD">
        <w:rPr>
          <w:rFonts w:asciiTheme="majorBidi" w:eastAsiaTheme="minorEastAsia" w:hAnsiTheme="majorBidi" w:cstheme="majorBidi"/>
          <w:iCs/>
          <w:szCs w:val="18"/>
        </w:rPr>
        <w:t>, the NAPL transport equation, Eq. 4, is modified for implementation of NAPL biodegradation as:</w:t>
      </w:r>
    </w:p>
    <w:p w14:paraId="04347633" w14:textId="19FC7E1C" w:rsidR="00A35ABA" w:rsidRPr="005244BD" w:rsidRDefault="007E5EE0" w:rsidP="005E3DC5">
      <w:pPr>
        <w:spacing w:line="240" w:lineRule="auto"/>
        <w:jc w:val="center"/>
        <w:rPr>
          <w:rFonts w:asciiTheme="majorBidi" w:eastAsiaTheme="minorEastAsia" w:hAnsiTheme="majorBidi" w:cstheme="majorBidi"/>
          <w:iCs/>
          <w:szCs w:val="18"/>
        </w:rPr>
      </w:pPr>
      <m:oMath>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V</m:t>
            </m:r>
          </m:e>
          <m:sub>
            <m:r>
              <w:rPr>
                <w:rFonts w:ascii="Cambria Math" w:eastAsiaTheme="minorEastAsia" w:hAnsi="Cambria Math" w:cstheme="majorBidi"/>
                <w:szCs w:val="18"/>
              </w:rPr>
              <m:t>i</m:t>
            </m:r>
          </m:sub>
        </m:sSub>
        <m:f>
          <m:fPr>
            <m:ctrlPr>
              <w:rPr>
                <w:rFonts w:ascii="Cambria Math" w:eastAsiaTheme="minorEastAsia" w:hAnsi="Cambria Math" w:cstheme="majorBidi"/>
                <w:iCs/>
                <w:szCs w:val="18"/>
              </w:rPr>
            </m:ctrlPr>
          </m:fPr>
          <m:num>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m:t>
                </m:r>
              </m:sub>
              <m:sup>
                <m:r>
                  <w:rPr>
                    <w:rFonts w:ascii="Cambria Math" w:eastAsiaTheme="minorEastAsia" w:hAnsi="Cambria Math" w:cstheme="majorBidi"/>
                    <w:szCs w:val="18"/>
                  </w:rPr>
                  <m:t>t</m:t>
                </m:r>
                <m:r>
                  <m:rPr>
                    <m:sty m:val="p"/>
                  </m:rPr>
                  <w:rPr>
                    <w:rFonts w:ascii="Cambria Math" w:eastAsiaTheme="minorEastAsia" w:hAnsi="Cambria Math" w:cstheme="majorBidi"/>
                    <w:szCs w:val="18"/>
                  </w:rPr>
                  <m:t>+1</m:t>
                </m:r>
              </m:sup>
            </m:sSubSup>
            <m:r>
              <m:rPr>
                <m:sty m:val="p"/>
              </m:rPr>
              <w:rPr>
                <w:rFonts w:ascii="Cambria Math" w:eastAsiaTheme="minorEastAsia" w:hAnsi="Cambria Math" w:cstheme="majorBidi"/>
                <w:szCs w:val="18"/>
              </w:rPr>
              <m:t>-</m:t>
            </m:r>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m:t>
                </m:r>
              </m:sub>
              <m:sup>
                <m:r>
                  <w:rPr>
                    <w:rFonts w:ascii="Cambria Math" w:eastAsiaTheme="minorEastAsia" w:hAnsi="Cambria Math" w:cstheme="majorBidi"/>
                    <w:szCs w:val="18"/>
                  </w:rPr>
                  <m:t>t</m:t>
                </m:r>
              </m:sup>
            </m:sSubSup>
          </m:num>
          <m:den>
            <m:r>
              <m:rPr>
                <m:sty m:val="p"/>
              </m:rPr>
              <w:rPr>
                <w:rFonts w:ascii="Cambria Math" w:eastAsiaTheme="minorEastAsia" w:hAnsi="Cambria Math" w:cstheme="majorBidi"/>
                <w:szCs w:val="18"/>
              </w:rPr>
              <m:t>∆</m:t>
            </m:r>
            <m:r>
              <w:rPr>
                <w:rFonts w:ascii="Cambria Math" w:eastAsiaTheme="minorEastAsia" w:hAnsi="Cambria Math" w:cstheme="majorBidi"/>
                <w:szCs w:val="18"/>
              </w:rPr>
              <m:t>t</m:t>
            </m:r>
          </m:den>
        </m:f>
        <m:r>
          <m:rPr>
            <m:sty m:val="p"/>
          </m:rPr>
          <w:rPr>
            <w:rFonts w:ascii="Cambria Math" w:eastAsiaTheme="minorEastAsia" w:hAnsi="Cambria Math" w:cstheme="majorBidi"/>
            <w:szCs w:val="18"/>
          </w:rPr>
          <m:t>=</m:t>
        </m:r>
        <m:nary>
          <m:naryPr>
            <m:chr m:val="∑"/>
            <m:limLoc m:val="undOvr"/>
            <m:ctrlPr>
              <w:rPr>
                <w:rFonts w:ascii="Cambria Math" w:eastAsiaTheme="minorEastAsia" w:hAnsi="Cambria Math" w:cstheme="majorBidi"/>
                <w:iCs/>
                <w:szCs w:val="18"/>
              </w:rPr>
            </m:ctrlPr>
          </m:naryPr>
          <m:sub>
            <m:r>
              <w:rPr>
                <w:rFonts w:ascii="Cambria Math" w:eastAsiaTheme="minorEastAsia" w:hAnsi="Cambria Math" w:cstheme="majorBidi"/>
                <w:szCs w:val="18"/>
              </w:rPr>
              <m:t>j</m:t>
            </m:r>
          </m:sub>
          <m:sup>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N</m:t>
                </m:r>
              </m:e>
              <m:sub>
                <m:r>
                  <w:rPr>
                    <w:rFonts w:ascii="Cambria Math" w:eastAsiaTheme="minorEastAsia" w:hAnsi="Cambria Math" w:cstheme="majorBidi"/>
                    <w:szCs w:val="18"/>
                  </w:rPr>
                  <m:t>i</m:t>
                </m:r>
              </m:sub>
            </m:sSub>
          </m:sup>
          <m:e>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Q</m:t>
                </m:r>
              </m:e>
              <m:sub>
                <m:r>
                  <w:rPr>
                    <w:rFonts w:ascii="Cambria Math" w:eastAsiaTheme="minorEastAsia" w:hAnsi="Cambria Math" w:cstheme="majorBidi"/>
                    <w:szCs w:val="18"/>
                  </w:rPr>
                  <m:t>ij</m:t>
                </m:r>
              </m:sub>
            </m:sSub>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ij</m:t>
                </m:r>
              </m:sub>
              <m:sup>
                <m:r>
                  <w:rPr>
                    <w:rFonts w:ascii="Cambria Math" w:eastAsiaTheme="minorEastAsia" w:hAnsi="Cambria Math" w:cstheme="majorBidi"/>
                    <w:szCs w:val="18"/>
                  </w:rPr>
                  <m:t>*t</m:t>
                </m:r>
              </m:sup>
            </m:sSubSup>
          </m:e>
        </m:nary>
        <m:r>
          <m:rPr>
            <m:sty m:val="p"/>
          </m:rPr>
          <w:rPr>
            <w:rFonts w:ascii="Cambria Math" w:eastAsiaTheme="minorEastAsia" w:hAnsi="Cambria Math" w:cstheme="majorBidi"/>
            <w:szCs w:val="18"/>
          </w:rPr>
          <m:t>+</m:t>
        </m:r>
        <m:nary>
          <m:naryPr>
            <m:chr m:val="∑"/>
            <m:limLoc m:val="undOvr"/>
            <m:ctrlPr>
              <w:rPr>
                <w:rFonts w:ascii="Cambria Math" w:eastAsiaTheme="minorEastAsia" w:hAnsi="Cambria Math" w:cstheme="majorBidi"/>
                <w:iCs/>
                <w:szCs w:val="18"/>
              </w:rPr>
            </m:ctrlPr>
          </m:naryPr>
          <m:sub>
            <m:r>
              <w:rPr>
                <w:rFonts w:ascii="Cambria Math" w:eastAsiaTheme="minorEastAsia" w:hAnsi="Cambria Math" w:cstheme="majorBidi"/>
                <w:szCs w:val="18"/>
              </w:rPr>
              <m:t>j</m:t>
            </m:r>
          </m:sub>
          <m:sup>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N</m:t>
                </m:r>
              </m:e>
              <m:sub>
                <m:r>
                  <w:rPr>
                    <w:rFonts w:ascii="Cambria Math" w:eastAsiaTheme="minorEastAsia" w:hAnsi="Cambria Math" w:cstheme="majorBidi"/>
                    <w:szCs w:val="18"/>
                  </w:rPr>
                  <m:t>i</m:t>
                </m:r>
              </m:sub>
            </m:sSub>
          </m:sup>
          <m:e>
            <m:f>
              <m:fPr>
                <m:ctrlPr>
                  <w:rPr>
                    <w:rFonts w:ascii="Cambria Math" w:eastAsiaTheme="minorEastAsia" w:hAnsi="Cambria Math" w:cstheme="majorBidi"/>
                    <w:iCs/>
                    <w:szCs w:val="18"/>
                  </w:rPr>
                </m:ctrlPr>
              </m:fPr>
              <m:num>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DA</m:t>
                    </m:r>
                  </m:e>
                  <m:sub>
                    <m:r>
                      <w:rPr>
                        <w:rFonts w:ascii="Cambria Math" w:eastAsiaTheme="minorEastAsia" w:hAnsi="Cambria Math" w:cstheme="majorBidi"/>
                        <w:szCs w:val="18"/>
                      </w:rPr>
                      <m:t>ij</m:t>
                    </m:r>
                  </m:sub>
                </m:sSub>
              </m:num>
              <m:den>
                <m:sSub>
                  <m:sSubPr>
                    <m:ctrlPr>
                      <w:rPr>
                        <w:rFonts w:ascii="Cambria Math" w:eastAsiaTheme="minorEastAsia" w:hAnsi="Cambria Math" w:cstheme="majorBidi"/>
                        <w:i/>
                        <w:szCs w:val="18"/>
                      </w:rPr>
                    </m:ctrlPr>
                  </m:sSubPr>
                  <m:e>
                    <m:r>
                      <w:rPr>
                        <w:rFonts w:ascii="Cambria Math" w:eastAsiaTheme="minorEastAsia" w:hAnsi="Cambria Math" w:cstheme="majorBidi"/>
                      </w:rPr>
                      <m:t>l</m:t>
                    </m:r>
                  </m:e>
                  <m:sub>
                    <m:r>
                      <w:rPr>
                        <w:rFonts w:ascii="Cambria Math" w:eastAsiaTheme="minorEastAsia" w:hAnsi="Cambria Math" w:cstheme="majorBidi"/>
                      </w:rPr>
                      <m:t>ij</m:t>
                    </m:r>
                  </m:sub>
                </m:sSub>
              </m:den>
            </m:f>
            <m:r>
              <m:rPr>
                <m:sty m:val="p"/>
              </m:rPr>
              <w:rPr>
                <w:rFonts w:ascii="Cambria Math" w:eastAsiaTheme="minorEastAsia" w:hAnsi="Cambria Math" w:cstheme="majorBidi"/>
                <w:szCs w:val="18"/>
              </w:rPr>
              <m:t>∆</m:t>
            </m:r>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ij</m:t>
                </m:r>
              </m:sub>
              <m:sup>
                <m:r>
                  <w:rPr>
                    <w:rFonts w:ascii="Cambria Math" w:eastAsiaTheme="minorEastAsia" w:hAnsi="Cambria Math" w:cstheme="majorBidi"/>
                    <w:szCs w:val="18"/>
                  </w:rPr>
                  <m:t>t</m:t>
                </m:r>
              </m:sup>
            </m:sSubSup>
          </m:e>
        </m:nary>
        <m:r>
          <m:rPr>
            <m:sty m:val="p"/>
          </m:rPr>
          <w:rPr>
            <w:rFonts w:ascii="Cambria Math" w:eastAsiaTheme="minorEastAsia" w:hAnsi="Cambria Math" w:cstheme="majorBidi"/>
            <w:szCs w:val="18"/>
          </w:rPr>
          <m:t>+</m:t>
        </m:r>
        <m:nary>
          <m:naryPr>
            <m:chr m:val="∑"/>
            <m:limLoc m:val="undOvr"/>
            <m:ctrlPr>
              <w:rPr>
                <w:rFonts w:ascii="Cambria Math" w:eastAsiaTheme="minorEastAsia" w:hAnsi="Cambria Math" w:cstheme="majorBidi"/>
                <w:iCs/>
                <w:szCs w:val="18"/>
              </w:rPr>
            </m:ctrlPr>
          </m:naryPr>
          <m:sub>
            <m:r>
              <w:rPr>
                <w:rFonts w:ascii="Cambria Math" w:eastAsiaTheme="minorEastAsia" w:hAnsi="Cambria Math" w:cstheme="majorBidi"/>
                <w:szCs w:val="18"/>
              </w:rPr>
              <m:t>j</m:t>
            </m:r>
          </m:sub>
          <m:sup>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N</m:t>
                </m:r>
              </m:e>
              <m:sub>
                <m:r>
                  <w:rPr>
                    <w:rFonts w:ascii="Cambria Math" w:eastAsiaTheme="minorEastAsia" w:hAnsi="Cambria Math" w:cstheme="majorBidi"/>
                    <w:szCs w:val="18"/>
                  </w:rPr>
                  <m:t>n,i</m:t>
                </m:r>
              </m:sub>
            </m:sSub>
          </m:sup>
          <m:e>
            <m:d>
              <m:dPr>
                <m:ctrlPr>
                  <w:rPr>
                    <w:rFonts w:ascii="Cambria Math" w:eastAsiaTheme="minorEastAsia" w:hAnsi="Cambria Math" w:cstheme="majorBidi"/>
                    <w:iCs/>
                    <w:szCs w:val="18"/>
                  </w:rPr>
                </m:ctrlPr>
              </m:dPr>
              <m:e>
                <m:f>
                  <m:fPr>
                    <m:ctrlPr>
                      <w:rPr>
                        <w:rFonts w:ascii="Cambria Math" w:eastAsiaTheme="minorEastAsia" w:hAnsi="Cambria Math" w:cstheme="majorBidi"/>
                        <w:iCs/>
                        <w:szCs w:val="18"/>
                      </w:rPr>
                    </m:ctrlPr>
                  </m:fPr>
                  <m:num>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DA</m:t>
                        </m:r>
                      </m:e>
                      <m:sub>
                        <m:r>
                          <w:rPr>
                            <w:rFonts w:ascii="Cambria Math" w:eastAsiaTheme="minorEastAsia" w:hAnsi="Cambria Math" w:cstheme="majorBidi"/>
                            <w:szCs w:val="18"/>
                          </w:rPr>
                          <m:t>ij</m:t>
                        </m:r>
                      </m:sub>
                    </m:sSub>
                  </m:num>
                  <m:den>
                    <m:sSub>
                      <m:sSubPr>
                        <m:ctrlPr>
                          <w:rPr>
                            <w:rFonts w:ascii="Cambria Math" w:eastAsiaTheme="minorEastAsia" w:hAnsi="Cambria Math" w:cstheme="majorBidi"/>
                            <w:i/>
                            <w:szCs w:val="18"/>
                          </w:rPr>
                        </m:ctrlPr>
                      </m:sSubPr>
                      <m:e>
                        <m:r>
                          <w:rPr>
                            <w:rFonts w:ascii="Cambria Math" w:eastAsiaTheme="minorEastAsia" w:hAnsi="Cambria Math" w:cstheme="majorBidi"/>
                          </w:rPr>
                          <m:t>l</m:t>
                        </m:r>
                      </m:e>
                      <m:sub>
                        <m:r>
                          <w:rPr>
                            <w:rFonts w:ascii="Cambria Math" w:eastAsiaTheme="minorEastAsia" w:hAnsi="Cambria Math" w:cstheme="majorBidi"/>
                          </w:rPr>
                          <m:t>ij</m:t>
                        </m:r>
                      </m:sub>
                    </m:sSub>
                  </m:den>
                </m:f>
                <m:d>
                  <m:dPr>
                    <m:ctrlPr>
                      <w:rPr>
                        <w:rFonts w:ascii="Cambria Math" w:eastAsiaTheme="minorEastAsia" w:hAnsi="Cambria Math" w:cstheme="majorBidi"/>
                        <w:szCs w:val="18"/>
                      </w:rPr>
                    </m:ctrlPr>
                  </m:dPr>
                  <m:e>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C</m:t>
                        </m:r>
                      </m:e>
                      <m:sub>
                        <m:r>
                          <w:rPr>
                            <w:rFonts w:ascii="Cambria Math" w:eastAsiaTheme="minorEastAsia" w:hAnsi="Cambria Math" w:cstheme="majorBidi"/>
                            <w:szCs w:val="18"/>
                          </w:rPr>
                          <m:t>s</m:t>
                        </m:r>
                      </m:sub>
                    </m:sSub>
                    <m:r>
                      <m:rPr>
                        <m:sty m:val="p"/>
                      </m:rPr>
                      <w:rPr>
                        <w:rFonts w:ascii="Cambria Math" w:eastAsiaTheme="minorEastAsia" w:hAnsi="Cambria Math" w:cstheme="majorBidi"/>
                        <w:szCs w:val="18"/>
                      </w:rPr>
                      <m:t>-</m:t>
                    </m:r>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m:t>
                        </m:r>
                      </m:sub>
                      <m:sup>
                        <m:r>
                          <w:rPr>
                            <w:rFonts w:ascii="Cambria Math" w:eastAsiaTheme="minorEastAsia" w:hAnsi="Cambria Math" w:cstheme="majorBidi"/>
                            <w:szCs w:val="18"/>
                          </w:rPr>
                          <m:t>t</m:t>
                        </m:r>
                      </m:sup>
                    </m:sSubSup>
                  </m:e>
                </m:d>
              </m:e>
            </m:d>
          </m:e>
        </m:nary>
        <m:r>
          <m:rPr>
            <m:sty m:val="p"/>
          </m:rPr>
          <w:rPr>
            <w:rFonts w:ascii="Cambria Math" w:eastAsiaTheme="minorEastAsia" w:hAnsi="Cambria Math" w:cstheme="majorBidi"/>
            <w:szCs w:val="18"/>
          </w:rPr>
          <m:t>-</m:t>
        </m:r>
        <m:nary>
          <m:naryPr>
            <m:chr m:val="∑"/>
            <m:limLoc m:val="undOvr"/>
            <m:ctrlPr>
              <w:rPr>
                <w:rFonts w:ascii="Cambria Math" w:eastAsiaTheme="minorEastAsia" w:hAnsi="Cambria Math" w:cstheme="majorBidi"/>
                <w:szCs w:val="18"/>
              </w:rPr>
            </m:ctrlPr>
          </m:naryPr>
          <m:sub>
            <m:r>
              <w:rPr>
                <w:rFonts w:ascii="Cambria Math" w:eastAsiaTheme="minorEastAsia" w:hAnsi="Cambria Math" w:cstheme="majorBidi"/>
                <w:szCs w:val="18"/>
              </w:rPr>
              <m:t>j</m:t>
            </m:r>
          </m:sub>
          <m:sup>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N</m:t>
                </m:r>
              </m:e>
              <m:sub>
                <m:r>
                  <w:rPr>
                    <w:rFonts w:ascii="Cambria Math" w:eastAsiaTheme="minorEastAsia" w:hAnsi="Cambria Math" w:cstheme="majorBidi"/>
                    <w:szCs w:val="18"/>
                  </w:rPr>
                  <m:t>i</m:t>
                </m:r>
              </m:sub>
            </m:sSub>
          </m:sup>
          <m:e>
            <m:d>
              <m:dPr>
                <m:ctrlPr>
                  <w:rPr>
                    <w:rFonts w:ascii="Cambria Math" w:eastAsiaTheme="minorEastAsia" w:hAnsi="Cambria Math" w:cstheme="majorBidi"/>
                    <w:i/>
                    <w:szCs w:val="18"/>
                  </w:rPr>
                </m:ctrlPr>
              </m:dPr>
              <m:e>
                <m:f>
                  <m:fPr>
                    <m:ctrlPr>
                      <w:rPr>
                        <w:rFonts w:ascii="Cambria Math" w:eastAsiaTheme="minorEastAsia" w:hAnsi="Cambria Math" w:cstheme="majorBidi"/>
                        <w:i/>
                        <w:szCs w:val="18"/>
                      </w:rPr>
                    </m:ctrlPr>
                  </m:fPr>
                  <m:num>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R</m:t>
                        </m:r>
                      </m:e>
                      <m:sub>
                        <m:r>
                          <w:rPr>
                            <w:rFonts w:ascii="Cambria Math" w:eastAsiaTheme="minorEastAsia" w:hAnsi="Cambria Math" w:cstheme="majorBidi"/>
                            <w:szCs w:val="18"/>
                          </w:rPr>
                          <m:t>j</m:t>
                        </m:r>
                      </m:sub>
                    </m:sSub>
                    <m:d>
                      <m:dPr>
                        <m:ctrlPr>
                          <w:rPr>
                            <w:rFonts w:ascii="Cambria Math" w:eastAsiaTheme="minorEastAsia" w:hAnsi="Cambria Math" w:cstheme="majorBidi"/>
                            <w:i/>
                            <w:szCs w:val="18"/>
                          </w:rPr>
                        </m:ctrlPr>
                      </m:dPr>
                      <m:e>
                        <m:sSubSup>
                          <m:sSubSupPr>
                            <m:ctrlPr>
                              <w:rPr>
                                <w:rFonts w:ascii="Cambria Math" w:eastAsiaTheme="minorEastAsia" w:hAnsi="Cambria Math" w:cstheme="majorBidi"/>
                                <w:i/>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ij</m:t>
                            </m:r>
                          </m:sub>
                          <m:sup>
                            <m:r>
                              <w:rPr>
                                <w:rFonts w:ascii="Cambria Math" w:eastAsiaTheme="minorEastAsia" w:hAnsi="Cambria Math" w:cstheme="majorBidi"/>
                                <w:szCs w:val="18"/>
                              </w:rPr>
                              <m:t>t</m:t>
                            </m:r>
                          </m:sup>
                        </m:sSubSup>
                      </m:e>
                    </m:d>
                  </m:num>
                  <m:den>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Y</m:t>
                        </m:r>
                      </m:e>
                      <m:sub>
                        <m:r>
                          <w:rPr>
                            <w:rFonts w:ascii="Cambria Math" w:eastAsiaTheme="minorEastAsia" w:hAnsi="Cambria Math" w:cstheme="majorBidi"/>
                            <w:szCs w:val="18"/>
                          </w:rPr>
                          <m:t>bio</m:t>
                        </m:r>
                      </m:sub>
                    </m:sSub>
                  </m:den>
                </m:f>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ρ</m:t>
                    </m:r>
                  </m:e>
                  <m:sub>
                    <m:r>
                      <w:rPr>
                        <w:rFonts w:ascii="Cambria Math" w:eastAsiaTheme="minorEastAsia" w:hAnsi="Cambria Math" w:cstheme="majorBidi"/>
                        <w:szCs w:val="18"/>
                      </w:rPr>
                      <m:t>bio</m:t>
                    </m:r>
                  </m:sub>
                </m:sSub>
                <m:sSubSup>
                  <m:sSubSupPr>
                    <m:ctrlPr>
                      <w:rPr>
                        <w:rFonts w:ascii="Cambria Math" w:eastAsiaTheme="minorEastAsia" w:hAnsi="Cambria Math" w:cstheme="majorBidi"/>
                        <w:i/>
                        <w:szCs w:val="18"/>
                      </w:rPr>
                    </m:ctrlPr>
                  </m:sSubSupPr>
                  <m:e>
                    <m:r>
                      <w:rPr>
                        <w:rFonts w:ascii="Cambria Math" w:eastAsiaTheme="minorEastAsia" w:hAnsi="Cambria Math" w:cstheme="majorBidi"/>
                        <w:szCs w:val="18"/>
                      </w:rPr>
                      <m:t>V</m:t>
                    </m:r>
                  </m:e>
                  <m:sub>
                    <m:r>
                      <w:rPr>
                        <w:rFonts w:ascii="Cambria Math" w:eastAsiaTheme="minorEastAsia" w:hAnsi="Cambria Math" w:cstheme="majorBidi"/>
                        <w:szCs w:val="18"/>
                      </w:rPr>
                      <m:t>bio,j</m:t>
                    </m:r>
                  </m:sub>
                  <m:sup>
                    <m:r>
                      <w:rPr>
                        <w:rFonts w:ascii="Cambria Math" w:eastAsiaTheme="minorEastAsia" w:hAnsi="Cambria Math" w:cstheme="majorBidi"/>
                        <w:szCs w:val="18"/>
                      </w:rPr>
                      <m:t>t</m:t>
                    </m:r>
                  </m:sup>
                </m:sSubSup>
              </m:e>
            </m:d>
          </m:e>
        </m:nary>
        <m:r>
          <w:rPr>
            <w:rFonts w:ascii="Cambria Math" w:eastAsiaTheme="minorEastAsia" w:hAnsi="Cambria Math" w:cstheme="majorBidi"/>
            <w:szCs w:val="18"/>
          </w:rPr>
          <m:t>-</m:t>
        </m:r>
        <m:nary>
          <m:naryPr>
            <m:chr m:val="∑"/>
            <m:limLoc m:val="undOvr"/>
            <m:ctrlPr>
              <w:rPr>
                <w:rFonts w:ascii="Cambria Math" w:eastAsiaTheme="minorEastAsia" w:hAnsi="Cambria Math" w:cstheme="majorBidi"/>
                <w:szCs w:val="18"/>
              </w:rPr>
            </m:ctrlPr>
          </m:naryPr>
          <m:sub>
            <m:r>
              <w:rPr>
                <w:rFonts w:ascii="Cambria Math" w:eastAsiaTheme="minorEastAsia" w:hAnsi="Cambria Math" w:cstheme="majorBidi"/>
                <w:szCs w:val="18"/>
              </w:rPr>
              <m:t>j</m:t>
            </m:r>
          </m:sub>
          <m:sup>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N</m:t>
                </m:r>
              </m:e>
              <m:sub>
                <m:r>
                  <w:rPr>
                    <w:rFonts w:ascii="Cambria Math" w:eastAsiaTheme="minorEastAsia" w:hAnsi="Cambria Math" w:cstheme="majorBidi"/>
                    <w:szCs w:val="18"/>
                  </w:rPr>
                  <m:t>n,i</m:t>
                </m:r>
              </m:sub>
            </m:sSub>
          </m:sup>
          <m:e>
            <m:d>
              <m:dPr>
                <m:ctrlPr>
                  <w:rPr>
                    <w:rFonts w:ascii="Cambria Math" w:eastAsiaTheme="minorEastAsia" w:hAnsi="Cambria Math" w:cstheme="majorBidi"/>
                    <w:i/>
                    <w:szCs w:val="18"/>
                  </w:rPr>
                </m:ctrlPr>
              </m:dPr>
              <m:e>
                <m:f>
                  <m:fPr>
                    <m:ctrlPr>
                      <w:rPr>
                        <w:rFonts w:ascii="Cambria Math" w:eastAsiaTheme="minorEastAsia" w:hAnsi="Cambria Math" w:cstheme="majorBidi"/>
                        <w:i/>
                        <w:szCs w:val="18"/>
                      </w:rPr>
                    </m:ctrlPr>
                  </m:fPr>
                  <m:num>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R</m:t>
                        </m:r>
                      </m:e>
                      <m:sub>
                        <m:r>
                          <w:rPr>
                            <w:rFonts w:ascii="Cambria Math" w:eastAsiaTheme="minorEastAsia" w:hAnsi="Cambria Math" w:cstheme="majorBidi"/>
                            <w:szCs w:val="18"/>
                          </w:rPr>
                          <m:t>j</m:t>
                        </m:r>
                      </m:sub>
                    </m:sSub>
                    <m:d>
                      <m:dPr>
                        <m:ctrlPr>
                          <w:rPr>
                            <w:rFonts w:ascii="Cambria Math" w:eastAsiaTheme="minorEastAsia" w:hAnsi="Cambria Math" w:cstheme="majorBidi"/>
                            <w:i/>
                            <w:szCs w:val="18"/>
                          </w:rPr>
                        </m:ctrlPr>
                      </m:dPr>
                      <m:e>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C</m:t>
                            </m:r>
                          </m:e>
                          <m:sub>
                            <m:r>
                              <w:rPr>
                                <w:rFonts w:ascii="Cambria Math" w:eastAsiaTheme="minorEastAsia" w:hAnsi="Cambria Math" w:cstheme="majorBidi"/>
                                <w:szCs w:val="18"/>
                              </w:rPr>
                              <m:t>s</m:t>
                            </m:r>
                          </m:sub>
                        </m:sSub>
                      </m:e>
                    </m:d>
                  </m:num>
                  <m:den>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Y</m:t>
                        </m:r>
                      </m:e>
                      <m:sub>
                        <m:r>
                          <w:rPr>
                            <w:rFonts w:ascii="Cambria Math" w:eastAsiaTheme="minorEastAsia" w:hAnsi="Cambria Math" w:cstheme="majorBidi"/>
                            <w:szCs w:val="18"/>
                          </w:rPr>
                          <m:t>bio</m:t>
                        </m:r>
                      </m:sub>
                    </m:sSub>
                  </m:den>
                </m:f>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ρ</m:t>
                    </m:r>
                  </m:e>
                  <m:sub>
                    <m:r>
                      <w:rPr>
                        <w:rFonts w:ascii="Cambria Math" w:eastAsiaTheme="minorEastAsia" w:hAnsi="Cambria Math" w:cstheme="majorBidi"/>
                        <w:szCs w:val="18"/>
                      </w:rPr>
                      <m:t>bio</m:t>
                    </m:r>
                  </m:sub>
                </m:sSub>
                <m:sSubSup>
                  <m:sSubSupPr>
                    <m:ctrlPr>
                      <w:rPr>
                        <w:rFonts w:ascii="Cambria Math" w:eastAsiaTheme="minorEastAsia" w:hAnsi="Cambria Math" w:cstheme="majorBidi"/>
                        <w:i/>
                        <w:szCs w:val="18"/>
                      </w:rPr>
                    </m:ctrlPr>
                  </m:sSubSupPr>
                  <m:e>
                    <m:r>
                      <w:rPr>
                        <w:rFonts w:ascii="Cambria Math" w:eastAsiaTheme="minorEastAsia" w:hAnsi="Cambria Math" w:cstheme="majorBidi"/>
                        <w:szCs w:val="18"/>
                      </w:rPr>
                      <m:t>V</m:t>
                    </m:r>
                  </m:e>
                  <m:sub>
                    <m:r>
                      <w:rPr>
                        <w:rFonts w:ascii="Cambria Math" w:eastAsiaTheme="minorEastAsia" w:hAnsi="Cambria Math" w:cstheme="majorBidi"/>
                        <w:szCs w:val="18"/>
                      </w:rPr>
                      <m:t>bio,j</m:t>
                    </m:r>
                  </m:sub>
                  <m:sup>
                    <m:r>
                      <w:rPr>
                        <w:rFonts w:ascii="Cambria Math" w:eastAsiaTheme="minorEastAsia" w:hAnsi="Cambria Math" w:cstheme="majorBidi"/>
                        <w:szCs w:val="18"/>
                      </w:rPr>
                      <m:t>t</m:t>
                    </m:r>
                  </m:sup>
                </m:sSubSup>
              </m:e>
            </m:d>
          </m:e>
        </m:nary>
        <m:r>
          <w:rPr>
            <w:rFonts w:ascii="Cambria Math" w:eastAsiaTheme="minorEastAsia" w:hAnsi="Cambria Math" w:cstheme="majorBidi"/>
            <w:szCs w:val="18"/>
          </w:rPr>
          <m:t>-</m:t>
        </m:r>
        <m:f>
          <m:fPr>
            <m:ctrlPr>
              <w:rPr>
                <w:rFonts w:ascii="Cambria Math" w:eastAsiaTheme="minorEastAsia" w:hAnsi="Cambria Math" w:cstheme="majorBidi"/>
                <w:i/>
                <w:szCs w:val="18"/>
              </w:rPr>
            </m:ctrlPr>
          </m:fPr>
          <m:num>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R</m:t>
                </m:r>
              </m:e>
              <m:sub>
                <m:r>
                  <w:rPr>
                    <w:rFonts w:ascii="Cambria Math" w:eastAsiaTheme="minorEastAsia" w:hAnsi="Cambria Math" w:cstheme="majorBidi"/>
                    <w:szCs w:val="18"/>
                  </w:rPr>
                  <m:t>i</m:t>
                </m:r>
              </m:sub>
            </m:sSub>
            <m:d>
              <m:dPr>
                <m:ctrlPr>
                  <w:rPr>
                    <w:rFonts w:ascii="Cambria Math" w:eastAsiaTheme="minorEastAsia" w:hAnsi="Cambria Math" w:cstheme="majorBidi"/>
                    <w:i/>
                    <w:szCs w:val="18"/>
                  </w:rPr>
                </m:ctrlPr>
              </m:dPr>
              <m:e>
                <m:sSubSup>
                  <m:sSubSupPr>
                    <m:ctrlPr>
                      <w:rPr>
                        <w:rFonts w:ascii="Cambria Math" w:eastAsiaTheme="minorEastAsia" w:hAnsi="Cambria Math" w:cstheme="majorBidi"/>
                        <w:i/>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m:t>
                    </m:r>
                  </m:sub>
                  <m:sup>
                    <m:r>
                      <w:rPr>
                        <w:rFonts w:ascii="Cambria Math" w:eastAsiaTheme="minorEastAsia" w:hAnsi="Cambria Math" w:cstheme="majorBidi"/>
                        <w:szCs w:val="18"/>
                      </w:rPr>
                      <m:t>t</m:t>
                    </m:r>
                  </m:sup>
                </m:sSubSup>
              </m:e>
            </m:d>
          </m:num>
          <m:den>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Y</m:t>
                </m:r>
              </m:e>
              <m:sub>
                <m:r>
                  <w:rPr>
                    <w:rFonts w:ascii="Cambria Math" w:eastAsiaTheme="minorEastAsia" w:hAnsi="Cambria Math" w:cstheme="majorBidi"/>
                    <w:szCs w:val="18"/>
                  </w:rPr>
                  <m:t>bio</m:t>
                </m:r>
              </m:sub>
            </m:sSub>
          </m:den>
        </m:f>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ρ</m:t>
            </m:r>
          </m:e>
          <m:sub>
            <m:r>
              <w:rPr>
                <w:rFonts w:ascii="Cambria Math" w:eastAsiaTheme="minorEastAsia" w:hAnsi="Cambria Math" w:cstheme="majorBidi"/>
                <w:szCs w:val="18"/>
              </w:rPr>
              <m:t>bio</m:t>
            </m:r>
          </m:sub>
        </m:sSub>
        <m:sSubSup>
          <m:sSubSupPr>
            <m:ctrlPr>
              <w:rPr>
                <w:rFonts w:ascii="Cambria Math" w:eastAsiaTheme="minorEastAsia" w:hAnsi="Cambria Math" w:cstheme="majorBidi"/>
                <w:i/>
                <w:szCs w:val="18"/>
              </w:rPr>
            </m:ctrlPr>
          </m:sSubSupPr>
          <m:e>
            <m:r>
              <w:rPr>
                <w:rFonts w:ascii="Cambria Math" w:eastAsiaTheme="minorEastAsia" w:hAnsi="Cambria Math" w:cstheme="majorBidi"/>
                <w:szCs w:val="18"/>
              </w:rPr>
              <m:t>V</m:t>
            </m:r>
          </m:e>
          <m:sub>
            <m:r>
              <w:rPr>
                <w:rFonts w:ascii="Cambria Math" w:eastAsiaTheme="minorEastAsia" w:hAnsi="Cambria Math" w:cstheme="majorBidi"/>
                <w:szCs w:val="18"/>
              </w:rPr>
              <m:t>bio,i</m:t>
            </m:r>
          </m:sub>
          <m:sup>
            <m:r>
              <w:rPr>
                <w:rFonts w:ascii="Cambria Math" w:eastAsiaTheme="minorEastAsia" w:hAnsi="Cambria Math" w:cstheme="majorBidi"/>
                <w:szCs w:val="18"/>
              </w:rPr>
              <m:t>t</m:t>
            </m:r>
          </m:sup>
        </m:sSubSup>
      </m:oMath>
      <w:r w:rsidR="00E50D2F" w:rsidRPr="005244BD">
        <w:rPr>
          <w:rFonts w:asciiTheme="majorBidi" w:eastAsiaTheme="minorEastAsia" w:hAnsiTheme="majorBidi" w:cstheme="majorBidi"/>
          <w:szCs w:val="18"/>
        </w:rPr>
        <w:tab/>
      </w:r>
      <w:r w:rsidR="00E50D2F" w:rsidRPr="005244BD">
        <w:rPr>
          <w:rFonts w:asciiTheme="majorBidi" w:eastAsiaTheme="minorEastAsia" w:hAnsiTheme="majorBidi" w:cstheme="majorBidi"/>
          <w:szCs w:val="18"/>
        </w:rPr>
        <w:tab/>
      </w:r>
      <w:r w:rsidR="00A35ABA" w:rsidRPr="005244BD">
        <w:rPr>
          <w:rFonts w:asciiTheme="majorBidi" w:eastAsiaTheme="minorEastAsia" w:hAnsiTheme="majorBidi" w:cstheme="majorBidi"/>
          <w:iCs/>
          <w:szCs w:val="18"/>
        </w:rPr>
        <w:t xml:space="preserve">Eq. </w:t>
      </w:r>
      <w:r w:rsidR="00250E49" w:rsidRPr="005244BD">
        <w:rPr>
          <w:rFonts w:asciiTheme="majorBidi" w:eastAsiaTheme="minorEastAsia" w:hAnsiTheme="majorBidi" w:cstheme="majorBidi"/>
          <w:iCs/>
          <w:szCs w:val="18"/>
        </w:rPr>
        <w:t>7</w:t>
      </w:r>
    </w:p>
    <w:p w14:paraId="1489971B" w14:textId="41AD40B5" w:rsidR="00E523A6" w:rsidRPr="005244BD" w:rsidRDefault="007E5EE0" w:rsidP="00E50D2F">
      <w:pPr>
        <w:spacing w:line="240" w:lineRule="auto"/>
        <w:jc w:val="center"/>
        <w:rPr>
          <w:rFonts w:asciiTheme="majorBidi" w:eastAsiaTheme="minorEastAsia" w:hAnsiTheme="majorBidi" w:cstheme="majorBidi"/>
          <w:iCs/>
          <w:szCs w:val="18"/>
        </w:rPr>
      </w:pPr>
      <m:oMath>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R</m:t>
            </m:r>
          </m:e>
          <m:sub>
            <m:r>
              <w:rPr>
                <w:rFonts w:ascii="Cambria Math" w:eastAsiaTheme="minorEastAsia" w:hAnsi="Cambria Math" w:cstheme="majorBidi"/>
                <w:szCs w:val="18"/>
              </w:rPr>
              <m:t>j</m:t>
            </m:r>
          </m:sub>
        </m:sSub>
        <m:d>
          <m:dPr>
            <m:ctrlPr>
              <w:rPr>
                <w:rFonts w:ascii="Cambria Math" w:eastAsiaTheme="minorEastAsia" w:hAnsi="Cambria Math" w:cstheme="majorBidi"/>
                <w:i/>
                <w:szCs w:val="18"/>
              </w:rPr>
            </m:ctrlPr>
          </m:dPr>
          <m:e>
            <m:sSubSup>
              <m:sSubSupPr>
                <m:ctrlPr>
                  <w:rPr>
                    <w:rFonts w:ascii="Cambria Math" w:eastAsiaTheme="minorEastAsia" w:hAnsi="Cambria Math" w:cstheme="majorBidi"/>
                    <w:i/>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ij</m:t>
                </m:r>
              </m:sub>
              <m:sup>
                <m:r>
                  <w:rPr>
                    <w:rFonts w:ascii="Cambria Math" w:eastAsiaTheme="minorEastAsia" w:hAnsi="Cambria Math" w:cstheme="majorBidi"/>
                    <w:szCs w:val="18"/>
                  </w:rPr>
                  <m:t>t</m:t>
                </m:r>
              </m:sup>
            </m:sSubSup>
          </m:e>
        </m:d>
        <m:r>
          <w:rPr>
            <w:rFonts w:ascii="Cambria Math" w:eastAsiaTheme="minorEastAsia" w:hAnsi="Cambria Math" w:cstheme="majorBidi"/>
            <w:szCs w:val="18"/>
          </w:rPr>
          <m:t>=μ</m:t>
        </m:r>
        <m:f>
          <m:fPr>
            <m:ctrlPr>
              <w:rPr>
                <w:rFonts w:ascii="Cambria Math" w:eastAsiaTheme="minorEastAsia" w:hAnsi="Cambria Math" w:cstheme="majorBidi"/>
                <w:i/>
                <w:iCs/>
                <w:szCs w:val="18"/>
              </w:rPr>
            </m:ctrlPr>
          </m:fPr>
          <m:num>
            <m:sSubSup>
              <m:sSubSupPr>
                <m:ctrlPr>
                  <w:rPr>
                    <w:rFonts w:ascii="Cambria Math" w:eastAsiaTheme="minorEastAsia" w:hAnsi="Cambria Math" w:cstheme="majorBidi"/>
                    <w:i/>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ij</m:t>
                </m:r>
              </m:sub>
              <m:sup>
                <m:r>
                  <w:rPr>
                    <w:rFonts w:ascii="Cambria Math" w:eastAsiaTheme="minorEastAsia" w:hAnsi="Cambria Math" w:cstheme="majorBidi"/>
                    <w:szCs w:val="18"/>
                  </w:rPr>
                  <m:t>t</m:t>
                </m:r>
              </m:sup>
            </m:sSubSup>
          </m:num>
          <m:den>
            <m:sSubSup>
              <m:sSubSupPr>
                <m:ctrlPr>
                  <w:rPr>
                    <w:rFonts w:ascii="Cambria Math" w:eastAsiaTheme="minorEastAsia" w:hAnsi="Cambria Math" w:cstheme="majorBidi"/>
                    <w:i/>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ij</m:t>
                </m:r>
              </m:sub>
              <m:sup>
                <m:r>
                  <w:rPr>
                    <w:rFonts w:ascii="Cambria Math" w:eastAsiaTheme="minorEastAsia" w:hAnsi="Cambria Math" w:cstheme="majorBidi"/>
                    <w:szCs w:val="18"/>
                  </w:rPr>
                  <m:t>t</m:t>
                </m:r>
              </m:sup>
            </m:sSubSup>
            <m:r>
              <w:rPr>
                <w:rFonts w:ascii="Cambria Math" w:eastAsiaTheme="minorEastAsia" w:hAnsi="Cambria Math" w:cstheme="majorBidi"/>
                <w:szCs w:val="18"/>
              </w:rPr>
              <m:t>+</m:t>
            </m:r>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K</m:t>
                </m:r>
              </m:e>
              <m:sub>
                <m:r>
                  <w:rPr>
                    <w:rFonts w:ascii="Cambria Math" w:eastAsiaTheme="minorEastAsia" w:hAnsi="Cambria Math" w:cstheme="majorBidi"/>
                    <w:szCs w:val="18"/>
                  </w:rPr>
                  <m:t>m</m:t>
                </m:r>
              </m:sub>
            </m:sSub>
            <m:r>
              <w:rPr>
                <w:rFonts w:ascii="Cambria Math" w:eastAsiaTheme="minorEastAsia" w:hAnsi="Cambria Math" w:cstheme="majorBidi"/>
                <w:szCs w:val="18"/>
              </w:rPr>
              <m:t>+</m:t>
            </m:r>
            <m:f>
              <m:fPr>
                <m:ctrlPr>
                  <w:rPr>
                    <w:rFonts w:ascii="Cambria Math" w:eastAsiaTheme="minorEastAsia" w:hAnsi="Cambria Math" w:cstheme="majorBidi"/>
                    <w:i/>
                    <w:iCs/>
                    <w:szCs w:val="18"/>
                  </w:rPr>
                </m:ctrlPr>
              </m:fPr>
              <m:num>
                <m:sSup>
                  <m:sSupPr>
                    <m:ctrlPr>
                      <w:rPr>
                        <w:rFonts w:ascii="Cambria Math" w:eastAsiaTheme="minorEastAsia" w:hAnsi="Cambria Math" w:cstheme="majorBidi"/>
                        <w:i/>
                        <w:szCs w:val="18"/>
                      </w:rPr>
                    </m:ctrlPr>
                  </m:sSupPr>
                  <m:e>
                    <m:sSubSup>
                      <m:sSubSupPr>
                        <m:ctrlPr>
                          <w:rPr>
                            <w:rFonts w:ascii="Cambria Math" w:eastAsiaTheme="minorEastAsia" w:hAnsi="Cambria Math" w:cstheme="majorBidi"/>
                            <w:i/>
                            <w:szCs w:val="18"/>
                          </w:rPr>
                        </m:ctrlPr>
                      </m:sSubSupPr>
                      <m:e>
                        <m:r>
                          <w:rPr>
                            <w:rFonts w:ascii="Cambria Math" w:eastAsiaTheme="minorEastAsia" w:hAnsi="Cambria Math" w:cstheme="majorBidi"/>
                            <w:szCs w:val="18"/>
                          </w:rPr>
                          <m:t>C</m:t>
                        </m:r>
                      </m:e>
                      <m:sub>
                        <m:r>
                          <w:rPr>
                            <w:rFonts w:ascii="Cambria Math" w:eastAsiaTheme="minorEastAsia" w:hAnsi="Cambria Math" w:cstheme="majorBidi"/>
                            <w:szCs w:val="18"/>
                          </w:rPr>
                          <m:t>ij</m:t>
                        </m:r>
                      </m:sub>
                      <m:sup>
                        <m:r>
                          <w:rPr>
                            <w:rFonts w:ascii="Cambria Math" w:eastAsiaTheme="minorEastAsia" w:hAnsi="Cambria Math" w:cstheme="majorBidi"/>
                            <w:szCs w:val="18"/>
                          </w:rPr>
                          <m:t>t</m:t>
                        </m:r>
                      </m:sup>
                    </m:sSubSup>
                  </m:e>
                  <m:sup>
                    <m:r>
                      <w:rPr>
                        <w:rFonts w:ascii="Cambria Math" w:eastAsiaTheme="minorEastAsia" w:hAnsi="Cambria Math" w:cstheme="majorBidi"/>
                        <w:szCs w:val="18"/>
                      </w:rPr>
                      <m:t>2</m:t>
                    </m:r>
                  </m:sup>
                </m:sSup>
              </m:num>
              <m:den>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K</m:t>
                    </m:r>
                  </m:e>
                  <m:sub>
                    <m:r>
                      <w:rPr>
                        <w:rFonts w:ascii="Cambria Math" w:eastAsiaTheme="minorEastAsia" w:hAnsi="Cambria Math" w:cstheme="majorBidi"/>
                        <w:szCs w:val="18"/>
                      </w:rPr>
                      <m:t>i</m:t>
                    </m:r>
                  </m:sub>
                </m:sSub>
              </m:den>
            </m:f>
          </m:den>
        </m:f>
      </m:oMath>
      <w:r w:rsidR="00E50D2F" w:rsidRPr="005244BD">
        <w:rPr>
          <w:rFonts w:asciiTheme="majorBidi" w:eastAsiaTheme="minorEastAsia" w:hAnsiTheme="majorBidi" w:cstheme="majorBidi"/>
          <w:iCs/>
          <w:szCs w:val="18"/>
        </w:rPr>
        <w:tab/>
      </w:r>
      <w:r w:rsidR="00E50D2F" w:rsidRPr="005244BD">
        <w:rPr>
          <w:rFonts w:asciiTheme="majorBidi" w:eastAsiaTheme="minorEastAsia" w:hAnsiTheme="majorBidi" w:cstheme="majorBidi"/>
          <w:iCs/>
          <w:szCs w:val="18"/>
        </w:rPr>
        <w:tab/>
      </w:r>
      <w:r w:rsidR="00E50D2F" w:rsidRPr="005244BD">
        <w:rPr>
          <w:rFonts w:asciiTheme="majorBidi" w:eastAsiaTheme="minorEastAsia" w:hAnsiTheme="majorBidi" w:cstheme="majorBidi"/>
          <w:iCs/>
          <w:szCs w:val="18"/>
        </w:rPr>
        <w:tab/>
      </w:r>
      <w:r w:rsidR="005E3DC5" w:rsidRPr="005244BD">
        <w:rPr>
          <w:rFonts w:asciiTheme="majorBidi" w:eastAsiaTheme="minorEastAsia" w:hAnsiTheme="majorBidi" w:cstheme="majorBidi"/>
          <w:iCs/>
          <w:szCs w:val="18"/>
        </w:rPr>
        <w:tab/>
      </w:r>
      <w:r w:rsidR="005E3DC5" w:rsidRPr="005244BD">
        <w:rPr>
          <w:rFonts w:asciiTheme="majorBidi" w:eastAsiaTheme="minorEastAsia" w:hAnsiTheme="majorBidi" w:cstheme="majorBidi"/>
          <w:iCs/>
          <w:szCs w:val="18"/>
        </w:rPr>
        <w:tab/>
      </w:r>
      <w:r w:rsidR="00E523A6" w:rsidRPr="005244BD">
        <w:rPr>
          <w:rFonts w:asciiTheme="majorBidi" w:eastAsiaTheme="minorEastAsia" w:hAnsiTheme="majorBidi" w:cstheme="majorBidi"/>
          <w:iCs/>
          <w:szCs w:val="18"/>
        </w:rPr>
        <w:t>Eq. 8</w:t>
      </w:r>
    </w:p>
    <w:p w14:paraId="31397C3F" w14:textId="2092F1A5" w:rsidR="00E523A6" w:rsidRPr="005244BD" w:rsidRDefault="007E5EE0" w:rsidP="00E50D2F">
      <w:pPr>
        <w:spacing w:line="240" w:lineRule="auto"/>
        <w:jc w:val="center"/>
        <w:rPr>
          <w:rFonts w:asciiTheme="majorBidi" w:eastAsiaTheme="minorEastAsia" w:hAnsiTheme="majorBidi" w:cstheme="majorBidi"/>
          <w:iCs/>
          <w:szCs w:val="18"/>
        </w:rPr>
      </w:pPr>
      <m:oMath>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R</m:t>
            </m:r>
          </m:e>
          <m:sub>
            <m:r>
              <w:rPr>
                <w:rFonts w:ascii="Cambria Math" w:eastAsiaTheme="minorEastAsia" w:hAnsi="Cambria Math" w:cstheme="majorBidi"/>
                <w:szCs w:val="18"/>
              </w:rPr>
              <m:t>j</m:t>
            </m:r>
          </m:sub>
        </m:sSub>
        <m:d>
          <m:dPr>
            <m:ctrlPr>
              <w:rPr>
                <w:rFonts w:ascii="Cambria Math" w:eastAsiaTheme="minorEastAsia" w:hAnsi="Cambria Math" w:cstheme="majorBidi"/>
                <w:i/>
                <w:szCs w:val="18"/>
              </w:rPr>
            </m:ctrlPr>
          </m:dPr>
          <m:e>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C</m:t>
                </m:r>
              </m:e>
              <m:sub>
                <m:r>
                  <w:rPr>
                    <w:rFonts w:ascii="Cambria Math" w:eastAsiaTheme="minorEastAsia" w:hAnsi="Cambria Math" w:cstheme="majorBidi"/>
                    <w:szCs w:val="18"/>
                  </w:rPr>
                  <m:t>s</m:t>
                </m:r>
              </m:sub>
            </m:sSub>
          </m:e>
        </m:d>
        <m:r>
          <w:rPr>
            <w:rFonts w:ascii="Cambria Math" w:eastAsiaTheme="minorEastAsia" w:hAnsi="Cambria Math" w:cstheme="majorBidi"/>
            <w:szCs w:val="18"/>
          </w:rPr>
          <m:t>=μ</m:t>
        </m:r>
        <m:f>
          <m:fPr>
            <m:ctrlPr>
              <w:rPr>
                <w:rFonts w:ascii="Cambria Math" w:eastAsiaTheme="minorEastAsia" w:hAnsi="Cambria Math" w:cstheme="majorBidi"/>
                <w:i/>
                <w:iCs/>
                <w:szCs w:val="18"/>
              </w:rPr>
            </m:ctrlPr>
          </m:fPr>
          <m:num>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C</m:t>
                </m:r>
              </m:e>
              <m:sub>
                <m:r>
                  <w:rPr>
                    <w:rFonts w:ascii="Cambria Math" w:eastAsiaTheme="minorEastAsia" w:hAnsi="Cambria Math" w:cstheme="majorBidi"/>
                    <w:szCs w:val="18"/>
                  </w:rPr>
                  <m:t>s</m:t>
                </m:r>
              </m:sub>
            </m:sSub>
          </m:num>
          <m:den>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C</m:t>
                </m:r>
              </m:e>
              <m:sub>
                <m:r>
                  <w:rPr>
                    <w:rFonts w:ascii="Cambria Math" w:eastAsiaTheme="minorEastAsia" w:hAnsi="Cambria Math" w:cstheme="majorBidi"/>
                    <w:szCs w:val="18"/>
                  </w:rPr>
                  <m:t>s</m:t>
                </m:r>
              </m:sub>
            </m:sSub>
            <m:r>
              <w:rPr>
                <w:rFonts w:ascii="Cambria Math" w:eastAsiaTheme="minorEastAsia" w:hAnsi="Cambria Math" w:cstheme="majorBidi"/>
                <w:szCs w:val="18"/>
              </w:rPr>
              <m:t>+</m:t>
            </m:r>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K</m:t>
                </m:r>
              </m:e>
              <m:sub>
                <m:r>
                  <w:rPr>
                    <w:rFonts w:ascii="Cambria Math" w:eastAsiaTheme="minorEastAsia" w:hAnsi="Cambria Math" w:cstheme="majorBidi"/>
                    <w:szCs w:val="18"/>
                  </w:rPr>
                  <m:t>m</m:t>
                </m:r>
              </m:sub>
            </m:sSub>
            <m:r>
              <w:rPr>
                <w:rFonts w:ascii="Cambria Math" w:eastAsiaTheme="minorEastAsia" w:hAnsi="Cambria Math" w:cstheme="majorBidi"/>
                <w:szCs w:val="18"/>
              </w:rPr>
              <m:t>+</m:t>
            </m:r>
            <m:f>
              <m:fPr>
                <m:ctrlPr>
                  <w:rPr>
                    <w:rFonts w:ascii="Cambria Math" w:eastAsiaTheme="minorEastAsia" w:hAnsi="Cambria Math" w:cstheme="majorBidi"/>
                    <w:i/>
                    <w:iCs/>
                    <w:szCs w:val="18"/>
                  </w:rPr>
                </m:ctrlPr>
              </m:fPr>
              <m:num>
                <m:sSup>
                  <m:sSupPr>
                    <m:ctrlPr>
                      <w:rPr>
                        <w:rFonts w:ascii="Cambria Math" w:eastAsiaTheme="minorEastAsia" w:hAnsi="Cambria Math" w:cstheme="majorBidi"/>
                        <w:i/>
                        <w:szCs w:val="18"/>
                      </w:rPr>
                    </m:ctrlPr>
                  </m:sSupPr>
                  <m:e>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C</m:t>
                        </m:r>
                      </m:e>
                      <m:sub>
                        <m:r>
                          <w:rPr>
                            <w:rFonts w:ascii="Cambria Math" w:eastAsiaTheme="minorEastAsia" w:hAnsi="Cambria Math" w:cstheme="majorBidi"/>
                            <w:szCs w:val="18"/>
                          </w:rPr>
                          <m:t>s</m:t>
                        </m:r>
                      </m:sub>
                    </m:sSub>
                  </m:e>
                  <m:sup>
                    <m:r>
                      <w:rPr>
                        <w:rFonts w:ascii="Cambria Math" w:eastAsiaTheme="minorEastAsia" w:hAnsi="Cambria Math" w:cstheme="majorBidi"/>
                        <w:szCs w:val="18"/>
                      </w:rPr>
                      <m:t>2</m:t>
                    </m:r>
                  </m:sup>
                </m:sSup>
              </m:num>
              <m:den>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K</m:t>
                    </m:r>
                  </m:e>
                  <m:sub>
                    <m:r>
                      <w:rPr>
                        <w:rFonts w:ascii="Cambria Math" w:eastAsiaTheme="minorEastAsia" w:hAnsi="Cambria Math" w:cstheme="majorBidi"/>
                        <w:szCs w:val="18"/>
                      </w:rPr>
                      <m:t>i</m:t>
                    </m:r>
                  </m:sub>
                </m:sSub>
              </m:den>
            </m:f>
          </m:den>
        </m:f>
      </m:oMath>
      <w:r w:rsidR="00E50D2F" w:rsidRPr="005244BD">
        <w:rPr>
          <w:rFonts w:asciiTheme="majorBidi" w:eastAsiaTheme="minorEastAsia" w:hAnsiTheme="majorBidi" w:cstheme="majorBidi"/>
          <w:iCs/>
          <w:szCs w:val="18"/>
        </w:rPr>
        <w:tab/>
      </w:r>
      <w:r w:rsidR="00E50D2F" w:rsidRPr="005244BD">
        <w:rPr>
          <w:rFonts w:asciiTheme="majorBidi" w:eastAsiaTheme="minorEastAsia" w:hAnsiTheme="majorBidi" w:cstheme="majorBidi"/>
          <w:iCs/>
          <w:szCs w:val="18"/>
        </w:rPr>
        <w:tab/>
      </w:r>
      <w:r w:rsidR="00E50D2F" w:rsidRPr="005244BD">
        <w:rPr>
          <w:rFonts w:asciiTheme="majorBidi" w:eastAsiaTheme="minorEastAsia" w:hAnsiTheme="majorBidi" w:cstheme="majorBidi"/>
          <w:iCs/>
          <w:szCs w:val="18"/>
        </w:rPr>
        <w:tab/>
      </w:r>
      <w:r w:rsidR="005E3DC5" w:rsidRPr="005244BD">
        <w:rPr>
          <w:rFonts w:asciiTheme="majorBidi" w:eastAsiaTheme="minorEastAsia" w:hAnsiTheme="majorBidi" w:cstheme="majorBidi"/>
          <w:iCs/>
          <w:szCs w:val="18"/>
        </w:rPr>
        <w:tab/>
      </w:r>
      <w:r w:rsidR="005E3DC5" w:rsidRPr="005244BD">
        <w:rPr>
          <w:rFonts w:asciiTheme="majorBidi" w:eastAsiaTheme="minorEastAsia" w:hAnsiTheme="majorBidi" w:cstheme="majorBidi"/>
          <w:iCs/>
          <w:szCs w:val="18"/>
        </w:rPr>
        <w:tab/>
      </w:r>
      <w:r w:rsidR="00E523A6" w:rsidRPr="005244BD">
        <w:rPr>
          <w:rFonts w:asciiTheme="majorBidi" w:eastAsiaTheme="minorEastAsia" w:hAnsiTheme="majorBidi" w:cstheme="majorBidi"/>
          <w:iCs/>
          <w:szCs w:val="18"/>
        </w:rPr>
        <w:t xml:space="preserve">Eq. </w:t>
      </w:r>
      <w:r w:rsidR="000B07CE" w:rsidRPr="005244BD">
        <w:rPr>
          <w:rFonts w:asciiTheme="majorBidi" w:eastAsiaTheme="minorEastAsia" w:hAnsiTheme="majorBidi" w:cstheme="majorBidi"/>
          <w:iCs/>
          <w:szCs w:val="18"/>
        </w:rPr>
        <w:t>9</w:t>
      </w:r>
    </w:p>
    <w:p w14:paraId="5310DB4C" w14:textId="3D47623B" w:rsidR="00331268" w:rsidRPr="005244BD" w:rsidRDefault="0006311D" w:rsidP="0006311D">
      <w:pPr>
        <w:spacing w:line="480" w:lineRule="auto"/>
        <w:jc w:val="both"/>
        <w:rPr>
          <w:rFonts w:ascii="Times New Roman" w:eastAsiaTheme="minorEastAsia" w:hAnsi="Times New Roman" w:cs="Times New Roman"/>
          <w:szCs w:val="18"/>
        </w:rPr>
      </w:pPr>
      <w:r w:rsidRPr="005244BD">
        <w:rPr>
          <w:rFonts w:ascii="Times New Roman" w:hAnsi="Times New Roman" w:cs="Times New Roman"/>
        </w:rPr>
        <w:t>T</w:t>
      </w:r>
      <w:r w:rsidR="00331268" w:rsidRPr="005244BD">
        <w:rPr>
          <w:rFonts w:ascii="Times New Roman" w:hAnsi="Times New Roman" w:cs="Times New Roman"/>
        </w:rPr>
        <w:t>he two first additional terms</w:t>
      </w:r>
      <w:r w:rsidRPr="005244BD">
        <w:rPr>
          <w:rFonts w:ascii="Times New Roman" w:hAnsi="Times New Roman" w:cs="Times New Roman"/>
        </w:rPr>
        <w:t xml:space="preserve"> in the right-hand side of Eq. 7</w:t>
      </w:r>
      <w:r w:rsidR="00331268" w:rsidRPr="005244BD">
        <w:rPr>
          <w:rFonts w:ascii="Times New Roman" w:hAnsi="Times New Roman" w:cs="Times New Roman"/>
        </w:rPr>
        <w:t xml:space="preserve"> represent biodegradation of dissolved NAPL in the throats which connect pore </w:t>
      </w:r>
      <m:oMath>
        <m:r>
          <w:rPr>
            <w:rFonts w:ascii="Cambria Math" w:eastAsiaTheme="minorEastAsia" w:hAnsi="Cambria Math" w:cstheme="majorBidi"/>
          </w:rPr>
          <m:t>i</m:t>
        </m:r>
      </m:oMath>
      <w:r w:rsidR="008372E0" w:rsidRPr="005244BD">
        <w:rPr>
          <w:rFonts w:asciiTheme="majorBidi" w:eastAsiaTheme="minorEastAsia" w:hAnsiTheme="majorBidi" w:cstheme="majorBidi"/>
          <w:vertAlign w:val="superscript"/>
        </w:rPr>
        <w:t>th</w:t>
      </w:r>
      <w:r w:rsidR="00331268" w:rsidRPr="005244BD">
        <w:rPr>
          <w:rFonts w:ascii="Times New Roman" w:hAnsi="Times New Roman" w:cs="Times New Roman"/>
        </w:rPr>
        <w:t xml:space="preserve"> to water-filled pores and NAPL-filled pores. The first additional term is only applied when pore </w:t>
      </w:r>
      <m:oMath>
        <m:r>
          <w:rPr>
            <w:rFonts w:ascii="Cambria Math" w:eastAsiaTheme="minorEastAsia" w:hAnsi="Cambria Math" w:cstheme="majorBidi"/>
          </w:rPr>
          <m:t>i</m:t>
        </m:r>
      </m:oMath>
      <w:r w:rsidR="008372E0" w:rsidRPr="005244BD">
        <w:rPr>
          <w:rFonts w:asciiTheme="majorBidi" w:eastAsiaTheme="minorEastAsia" w:hAnsiTheme="majorBidi" w:cstheme="majorBidi"/>
          <w:vertAlign w:val="superscript"/>
        </w:rPr>
        <w:t>th</w:t>
      </w:r>
      <w:r w:rsidR="00331268" w:rsidRPr="005244BD">
        <w:rPr>
          <w:rFonts w:ascii="Times New Roman" w:hAnsi="Times New Roman" w:cs="Times New Roman"/>
        </w:rPr>
        <w:t xml:space="preserve"> is</w:t>
      </w:r>
      <w:r w:rsidR="00BA2BCB" w:rsidRPr="005244BD">
        <w:rPr>
          <w:rFonts w:ascii="Times New Roman" w:hAnsi="Times New Roman" w:cs="Times New Roman"/>
        </w:rPr>
        <w:t xml:space="preserve"> in</w:t>
      </w:r>
      <w:r w:rsidR="00331268" w:rsidRPr="005244BD">
        <w:rPr>
          <w:rFonts w:ascii="Times New Roman" w:hAnsi="Times New Roman" w:cs="Times New Roman"/>
        </w:rPr>
        <w:t xml:space="preserve"> the downstream (flow direction is to the pore </w:t>
      </w:r>
      <m:oMath>
        <m:r>
          <w:rPr>
            <w:rFonts w:ascii="Cambria Math" w:eastAsiaTheme="minorEastAsia" w:hAnsi="Cambria Math" w:cstheme="majorBidi"/>
          </w:rPr>
          <m:t>i</m:t>
        </m:r>
      </m:oMath>
      <w:r w:rsidR="008372E0" w:rsidRPr="005244BD">
        <w:rPr>
          <w:rFonts w:asciiTheme="majorBidi" w:eastAsiaTheme="minorEastAsia" w:hAnsiTheme="majorBidi" w:cstheme="majorBidi"/>
          <w:vertAlign w:val="superscript"/>
        </w:rPr>
        <w:t>th</w:t>
      </w:r>
      <w:r w:rsidR="00331268" w:rsidRPr="005244BD">
        <w:rPr>
          <w:rFonts w:ascii="Times New Roman" w:hAnsi="Times New Roman" w:cs="Times New Roman"/>
        </w:rPr>
        <w:t xml:space="preserve">). The last additional term </w:t>
      </w:r>
      <w:r w:rsidR="00E523A6" w:rsidRPr="005244BD">
        <w:rPr>
          <w:rFonts w:ascii="Times New Roman" w:hAnsi="Times New Roman" w:cs="Times New Roman"/>
        </w:rPr>
        <w:t>describes biodegradation within the water</w:t>
      </w:r>
      <w:r w:rsidR="000D3C6D" w:rsidRPr="005244BD">
        <w:rPr>
          <w:rFonts w:ascii="Times New Roman" w:hAnsi="Times New Roman" w:cs="Times New Roman"/>
        </w:rPr>
        <w:t>-</w:t>
      </w:r>
      <w:r w:rsidR="00E523A6" w:rsidRPr="005244BD">
        <w:rPr>
          <w:rFonts w:ascii="Times New Roman" w:hAnsi="Times New Roman" w:cs="Times New Roman"/>
        </w:rPr>
        <w:t>filled pores.</w:t>
      </w:r>
      <w:r w:rsidR="000B07CE" w:rsidRPr="005244BD">
        <w:rPr>
          <w:rFonts w:ascii="Times New Roman" w:hAnsi="Times New Roman" w:cs="Times New Roman"/>
        </w:rPr>
        <w:t xml:space="preserve"> In Eq. 7,</w:t>
      </w:r>
      <w:r w:rsidR="002C2F6B" w:rsidRPr="005244BD">
        <w:rPr>
          <w:rFonts w:ascii="Times New Roman" w:hAnsi="Times New Roman" w:cs="Times New Roman"/>
        </w:rPr>
        <w:t xml:space="preserve"> </w:t>
      </w:r>
      <m:oMath>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Y</m:t>
            </m:r>
          </m:e>
          <m:sub>
            <m:r>
              <m:rPr>
                <m:sty m:val="p"/>
              </m:rPr>
              <w:rPr>
                <w:rFonts w:ascii="Cambria Math" w:eastAsiaTheme="minorEastAsia" w:hAnsi="Cambria Math" w:cstheme="majorBidi"/>
                <w:szCs w:val="18"/>
              </w:rPr>
              <m:t>bio</m:t>
            </m:r>
          </m:sub>
        </m:sSub>
      </m:oMath>
      <w:r w:rsidR="002C2F6B" w:rsidRPr="005244BD">
        <w:rPr>
          <w:rFonts w:ascii="Times New Roman" w:eastAsiaTheme="minorEastAsia" w:hAnsi="Times New Roman" w:cs="Times New Roman"/>
          <w:szCs w:val="18"/>
        </w:rPr>
        <w:t xml:space="preserve"> is the yield or stoichiometric coefficient (mg of biomass per mg of NAPL), and</w:t>
      </w:r>
      <w:r w:rsidR="00E523A6" w:rsidRPr="005244BD">
        <w:rPr>
          <w:rFonts w:ascii="Times New Roman" w:hAnsi="Times New Roman" w:cs="Times New Roman"/>
        </w:rPr>
        <w:t xml:space="preserve"> </w:t>
      </w:r>
      <m:oMath>
        <m:sSubSup>
          <m:sSubSupPr>
            <m:ctrlPr>
              <w:rPr>
                <w:rFonts w:ascii="Cambria Math" w:eastAsiaTheme="minorEastAsia" w:hAnsi="Cambria Math" w:cstheme="majorBidi"/>
                <w:i/>
                <w:szCs w:val="18"/>
              </w:rPr>
            </m:ctrlPr>
          </m:sSubSupPr>
          <m:e>
            <m:r>
              <w:rPr>
                <w:rFonts w:ascii="Cambria Math" w:eastAsiaTheme="minorEastAsia" w:hAnsi="Cambria Math" w:cstheme="majorBidi"/>
                <w:szCs w:val="18"/>
              </w:rPr>
              <m:t>V</m:t>
            </m:r>
          </m:e>
          <m:sub>
            <m:r>
              <m:rPr>
                <m:sty m:val="p"/>
              </m:rPr>
              <w:rPr>
                <w:rFonts w:ascii="Cambria Math" w:eastAsiaTheme="minorEastAsia" w:hAnsi="Cambria Math" w:cstheme="majorBidi"/>
                <w:szCs w:val="18"/>
              </w:rPr>
              <m:t>bio</m:t>
            </m:r>
          </m:sub>
          <m:sup>
            <m:r>
              <w:rPr>
                <w:rFonts w:ascii="Cambria Math" w:eastAsiaTheme="minorEastAsia" w:hAnsi="Cambria Math" w:cstheme="majorBidi"/>
                <w:szCs w:val="18"/>
              </w:rPr>
              <m:t>t</m:t>
            </m:r>
          </m:sup>
        </m:sSubSup>
      </m:oMath>
      <w:r w:rsidR="00E523A6" w:rsidRPr="005244BD">
        <w:rPr>
          <w:rFonts w:ascii="Times New Roman" w:eastAsiaTheme="minorEastAsia" w:hAnsi="Times New Roman" w:cs="Times New Roman"/>
          <w:szCs w:val="18"/>
        </w:rPr>
        <w:t xml:space="preserve"> is the volume of biofilm in the throat </w:t>
      </w:r>
      <m:oMath>
        <m:r>
          <w:rPr>
            <w:rFonts w:ascii="Cambria Math" w:eastAsiaTheme="minorEastAsia" w:hAnsi="Cambria Math" w:cstheme="majorBidi"/>
          </w:rPr>
          <m:t>j</m:t>
        </m:r>
      </m:oMath>
      <w:r w:rsidR="008372E0" w:rsidRPr="005244BD">
        <w:rPr>
          <w:rFonts w:asciiTheme="majorBidi" w:eastAsiaTheme="minorEastAsia" w:hAnsiTheme="majorBidi" w:cstheme="majorBidi"/>
          <w:vertAlign w:val="superscript"/>
        </w:rPr>
        <w:t>th</w:t>
      </w:r>
      <w:r w:rsidR="00E523A6" w:rsidRPr="005244BD">
        <w:rPr>
          <w:rFonts w:ascii="Times New Roman" w:eastAsiaTheme="minorEastAsia" w:hAnsi="Times New Roman" w:cs="Times New Roman"/>
          <w:szCs w:val="18"/>
        </w:rPr>
        <w:t xml:space="preserve"> or </w:t>
      </w:r>
      <w:r w:rsidR="00BA2BCB" w:rsidRPr="005244BD">
        <w:rPr>
          <w:rFonts w:ascii="Times New Roman" w:eastAsiaTheme="minorEastAsia" w:hAnsi="Times New Roman" w:cs="Times New Roman"/>
          <w:szCs w:val="18"/>
        </w:rPr>
        <w:t xml:space="preserve">in </w:t>
      </w:r>
      <w:r w:rsidR="00E523A6" w:rsidRPr="005244BD">
        <w:rPr>
          <w:rFonts w:ascii="Times New Roman" w:eastAsiaTheme="minorEastAsia" w:hAnsi="Times New Roman" w:cs="Times New Roman"/>
          <w:szCs w:val="18"/>
        </w:rPr>
        <w:t xml:space="preserve">the water-filled pore </w:t>
      </w:r>
      <m:oMath>
        <m:r>
          <w:rPr>
            <w:rFonts w:ascii="Cambria Math" w:eastAsiaTheme="minorEastAsia" w:hAnsi="Cambria Math" w:cstheme="majorBidi"/>
          </w:rPr>
          <m:t>i</m:t>
        </m:r>
      </m:oMath>
      <w:r w:rsidR="008372E0" w:rsidRPr="005244BD">
        <w:rPr>
          <w:rFonts w:asciiTheme="majorBidi" w:eastAsiaTheme="minorEastAsia" w:hAnsiTheme="majorBidi" w:cstheme="majorBidi"/>
          <w:vertAlign w:val="superscript"/>
        </w:rPr>
        <w:t>th</w:t>
      </w:r>
      <w:r w:rsidR="002C2F6B" w:rsidRPr="005244BD">
        <w:rPr>
          <w:rFonts w:ascii="Times New Roman" w:eastAsiaTheme="minorEastAsia" w:hAnsi="Times New Roman" w:cs="Times New Roman"/>
          <w:szCs w:val="18"/>
        </w:rPr>
        <w:t xml:space="preserve"> which </w:t>
      </w:r>
      <w:r w:rsidR="003A5036" w:rsidRPr="005244BD">
        <w:rPr>
          <w:rFonts w:ascii="Times New Roman" w:eastAsiaTheme="minorEastAsia" w:hAnsi="Times New Roman" w:cs="Times New Roman"/>
          <w:szCs w:val="18"/>
        </w:rPr>
        <w:t xml:space="preserve">is </w:t>
      </w:r>
      <w:r w:rsidR="002C2F6B" w:rsidRPr="005244BD">
        <w:rPr>
          <w:rFonts w:ascii="Times New Roman" w:eastAsiaTheme="minorEastAsia" w:hAnsi="Times New Roman" w:cs="Times New Roman"/>
          <w:szCs w:val="18"/>
        </w:rPr>
        <w:t>described as:</w:t>
      </w:r>
    </w:p>
    <w:p w14:paraId="5965C195" w14:textId="68531907" w:rsidR="002C2F6B" w:rsidRPr="005244BD" w:rsidRDefault="007E5EE0" w:rsidP="00E50D2F">
      <w:pPr>
        <w:spacing w:line="480" w:lineRule="auto"/>
        <w:jc w:val="center"/>
        <w:rPr>
          <w:rFonts w:asciiTheme="majorBidi" w:eastAsiaTheme="minorEastAsia" w:hAnsiTheme="majorBidi" w:cstheme="majorBidi"/>
          <w:iCs/>
          <w:szCs w:val="18"/>
        </w:rPr>
      </w:pPr>
      <m:oMath>
        <m:sSubSup>
          <m:sSubSupPr>
            <m:ctrlPr>
              <w:rPr>
                <w:rFonts w:ascii="Cambria Math" w:eastAsiaTheme="minorEastAsia" w:hAnsi="Cambria Math" w:cstheme="majorBidi"/>
                <w:i/>
                <w:szCs w:val="18"/>
              </w:rPr>
            </m:ctrlPr>
          </m:sSubSupPr>
          <m:e>
            <m:r>
              <w:rPr>
                <w:rFonts w:ascii="Cambria Math" w:eastAsiaTheme="minorEastAsia" w:hAnsi="Cambria Math" w:cstheme="majorBidi"/>
                <w:szCs w:val="18"/>
              </w:rPr>
              <m:t>V</m:t>
            </m:r>
          </m:e>
          <m:sub>
            <m:r>
              <m:rPr>
                <m:sty m:val="p"/>
              </m:rPr>
              <w:rPr>
                <w:rFonts w:ascii="Cambria Math" w:eastAsiaTheme="minorEastAsia" w:hAnsi="Cambria Math" w:cstheme="majorBidi"/>
                <w:szCs w:val="18"/>
              </w:rPr>
              <m:t>bio</m:t>
            </m:r>
          </m:sub>
          <m:sup>
            <m:r>
              <w:rPr>
                <w:rFonts w:ascii="Cambria Math" w:eastAsiaTheme="minorEastAsia" w:hAnsi="Cambria Math" w:cstheme="majorBidi"/>
                <w:szCs w:val="18"/>
              </w:rPr>
              <m:t>t+1</m:t>
            </m:r>
          </m:sup>
        </m:sSubSup>
        <m:r>
          <w:rPr>
            <w:rFonts w:ascii="Cambria Math" w:eastAsiaTheme="minorEastAsia" w:hAnsi="Cambria Math" w:cstheme="majorBidi"/>
            <w:szCs w:val="18"/>
          </w:rPr>
          <m:t>=</m:t>
        </m:r>
        <m:sSubSup>
          <m:sSubSupPr>
            <m:ctrlPr>
              <w:rPr>
                <w:rFonts w:ascii="Cambria Math" w:eastAsiaTheme="minorEastAsia" w:hAnsi="Cambria Math" w:cstheme="majorBidi"/>
                <w:i/>
                <w:szCs w:val="18"/>
              </w:rPr>
            </m:ctrlPr>
          </m:sSubSupPr>
          <m:e>
            <m:r>
              <w:rPr>
                <w:rFonts w:ascii="Cambria Math" w:eastAsiaTheme="minorEastAsia" w:hAnsi="Cambria Math" w:cstheme="majorBidi"/>
                <w:szCs w:val="18"/>
              </w:rPr>
              <m:t>V</m:t>
            </m:r>
          </m:e>
          <m:sub>
            <m:r>
              <m:rPr>
                <m:sty m:val="p"/>
              </m:rPr>
              <w:rPr>
                <w:rFonts w:ascii="Cambria Math" w:eastAsiaTheme="minorEastAsia" w:hAnsi="Cambria Math" w:cstheme="majorBidi"/>
                <w:szCs w:val="18"/>
              </w:rPr>
              <m:t>bio</m:t>
            </m:r>
          </m:sub>
          <m:sup>
            <m:r>
              <w:rPr>
                <w:rFonts w:ascii="Cambria Math" w:eastAsiaTheme="minorEastAsia" w:hAnsi="Cambria Math" w:cstheme="majorBidi"/>
                <w:szCs w:val="18"/>
              </w:rPr>
              <m:t>t</m:t>
            </m:r>
          </m:sup>
        </m:sSubSup>
        <m:r>
          <w:rPr>
            <w:rFonts w:ascii="Cambria Math" w:eastAsiaTheme="minorEastAsia" w:hAnsi="Cambria Math" w:cstheme="majorBidi"/>
            <w:szCs w:val="18"/>
          </w:rPr>
          <m:t>+</m:t>
        </m:r>
        <m:d>
          <m:dPr>
            <m:ctrlPr>
              <w:rPr>
                <w:rFonts w:ascii="Cambria Math" w:eastAsiaTheme="minorEastAsia" w:hAnsi="Cambria Math" w:cstheme="majorBidi"/>
                <w:i/>
                <w:szCs w:val="18"/>
              </w:rPr>
            </m:ctrlPr>
          </m:dPr>
          <m:e>
            <m:r>
              <w:rPr>
                <w:rFonts w:ascii="Cambria Math" w:eastAsiaTheme="minorEastAsia" w:hAnsi="Cambria Math" w:cstheme="majorBidi"/>
                <w:szCs w:val="18"/>
              </w:rPr>
              <m:t>R-</m:t>
            </m:r>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K</m:t>
                </m:r>
              </m:e>
              <m:sub>
                <m:r>
                  <m:rPr>
                    <m:sty m:val="p"/>
                  </m:rPr>
                  <w:rPr>
                    <w:rFonts w:ascii="Cambria Math" w:eastAsiaTheme="minorEastAsia" w:hAnsi="Cambria Math" w:cstheme="majorBidi"/>
                    <w:szCs w:val="18"/>
                  </w:rPr>
                  <m:t>ext</m:t>
                </m:r>
              </m:sub>
            </m:sSub>
          </m:e>
        </m:d>
        <m:sSubSup>
          <m:sSubSupPr>
            <m:ctrlPr>
              <w:rPr>
                <w:rFonts w:ascii="Cambria Math" w:eastAsiaTheme="minorEastAsia" w:hAnsi="Cambria Math" w:cstheme="majorBidi"/>
                <w:i/>
                <w:szCs w:val="18"/>
              </w:rPr>
            </m:ctrlPr>
          </m:sSubSupPr>
          <m:e>
            <m:r>
              <w:rPr>
                <w:rFonts w:ascii="Cambria Math" w:eastAsiaTheme="minorEastAsia" w:hAnsi="Cambria Math" w:cstheme="majorBidi"/>
                <w:szCs w:val="18"/>
              </w:rPr>
              <m:t>V</m:t>
            </m:r>
          </m:e>
          <m:sub>
            <m:r>
              <m:rPr>
                <m:sty m:val="p"/>
              </m:rPr>
              <w:rPr>
                <w:rFonts w:ascii="Cambria Math" w:eastAsiaTheme="minorEastAsia" w:hAnsi="Cambria Math" w:cstheme="majorBidi"/>
                <w:szCs w:val="18"/>
              </w:rPr>
              <m:t>bio</m:t>
            </m:r>
          </m:sub>
          <m:sup>
            <m:r>
              <w:rPr>
                <w:rFonts w:ascii="Cambria Math" w:eastAsiaTheme="minorEastAsia" w:hAnsi="Cambria Math" w:cstheme="majorBidi"/>
                <w:szCs w:val="18"/>
              </w:rPr>
              <m:t>t</m:t>
            </m:r>
          </m:sup>
        </m:sSubSup>
        <m:r>
          <w:rPr>
            <w:rFonts w:ascii="Cambria Math" w:eastAsiaTheme="minorEastAsia" w:hAnsi="Cambria Math" w:cstheme="majorBidi"/>
            <w:szCs w:val="18"/>
          </w:rPr>
          <m:t>∆t</m:t>
        </m:r>
      </m:oMath>
      <w:r w:rsidR="00E50D2F" w:rsidRPr="005244BD">
        <w:rPr>
          <w:rFonts w:asciiTheme="majorBidi" w:eastAsiaTheme="minorEastAsia" w:hAnsiTheme="majorBidi" w:cstheme="majorBidi"/>
          <w:szCs w:val="18"/>
        </w:rPr>
        <w:tab/>
      </w:r>
      <w:r w:rsidR="00E50D2F" w:rsidRPr="005244BD">
        <w:rPr>
          <w:rFonts w:asciiTheme="majorBidi" w:eastAsiaTheme="minorEastAsia" w:hAnsiTheme="majorBidi" w:cstheme="majorBidi"/>
          <w:szCs w:val="18"/>
        </w:rPr>
        <w:tab/>
      </w:r>
      <w:r w:rsidR="00E50D2F" w:rsidRPr="005244BD">
        <w:rPr>
          <w:rFonts w:asciiTheme="majorBidi" w:eastAsiaTheme="minorEastAsia" w:hAnsiTheme="majorBidi" w:cstheme="majorBidi"/>
          <w:szCs w:val="18"/>
        </w:rPr>
        <w:tab/>
      </w:r>
      <w:r w:rsidR="002C2F6B" w:rsidRPr="005244BD">
        <w:rPr>
          <w:rFonts w:asciiTheme="majorBidi" w:eastAsiaTheme="minorEastAsia" w:hAnsiTheme="majorBidi" w:cstheme="majorBidi"/>
          <w:iCs/>
          <w:szCs w:val="18"/>
        </w:rPr>
        <w:t xml:space="preserve">Eq. </w:t>
      </w:r>
      <w:r w:rsidR="003371AF" w:rsidRPr="005244BD">
        <w:rPr>
          <w:rFonts w:asciiTheme="majorBidi" w:eastAsiaTheme="minorEastAsia" w:hAnsiTheme="majorBidi" w:cstheme="majorBidi"/>
          <w:iCs/>
          <w:szCs w:val="18"/>
        </w:rPr>
        <w:t>10</w:t>
      </w:r>
    </w:p>
    <w:p w14:paraId="63A1D5D2" w14:textId="67E4DB47" w:rsidR="00F02F44" w:rsidRPr="005244BD" w:rsidRDefault="00F02F44" w:rsidP="00CC5821">
      <w:pPr>
        <w:spacing w:line="480" w:lineRule="auto"/>
        <w:jc w:val="both"/>
        <w:rPr>
          <w:rFonts w:ascii="Times New Roman" w:eastAsiaTheme="minorEastAsia" w:hAnsi="Times New Roman" w:cs="Times New Roman"/>
          <w:szCs w:val="18"/>
        </w:rPr>
      </w:pPr>
      <w:r w:rsidRPr="005244BD">
        <w:rPr>
          <w:rFonts w:ascii="Times New Roman" w:hAnsi="Times New Roman" w:cs="Times New Roman"/>
        </w:rPr>
        <w:t xml:space="preserve">where, </w:t>
      </w:r>
      <m:oMath>
        <m:sSub>
          <m:sSubPr>
            <m:ctrlPr>
              <w:rPr>
                <w:rFonts w:ascii="Cambria Math" w:eastAsiaTheme="minorEastAsia" w:hAnsi="Cambria Math" w:cstheme="majorBidi"/>
                <w:i/>
                <w:szCs w:val="18"/>
              </w:rPr>
            </m:ctrlPr>
          </m:sSubPr>
          <m:e>
            <m:r>
              <w:rPr>
                <w:rFonts w:ascii="Cambria Math" w:eastAsiaTheme="minorEastAsia" w:hAnsi="Cambria Math" w:cstheme="majorBidi"/>
                <w:szCs w:val="18"/>
              </w:rPr>
              <m:t>K</m:t>
            </m:r>
          </m:e>
          <m:sub>
            <m:r>
              <m:rPr>
                <m:sty m:val="p"/>
              </m:rPr>
              <w:rPr>
                <w:rFonts w:ascii="Cambria Math" w:eastAsiaTheme="minorEastAsia" w:hAnsi="Cambria Math" w:cstheme="majorBidi"/>
                <w:szCs w:val="18"/>
              </w:rPr>
              <m:t>ext</m:t>
            </m:r>
          </m:sub>
        </m:sSub>
      </m:oMath>
      <w:r w:rsidRPr="005244BD">
        <w:rPr>
          <w:rFonts w:ascii="Times New Roman" w:eastAsiaTheme="minorEastAsia" w:hAnsi="Times New Roman" w:cs="Times New Roman"/>
          <w:szCs w:val="18"/>
        </w:rPr>
        <w:t xml:space="preserve"> </w:t>
      </w:r>
      <w:r w:rsidRPr="005244BD">
        <w:rPr>
          <w:rFonts w:asciiTheme="majorBidi" w:eastAsiaTheme="minorEastAsia" w:hAnsiTheme="majorBidi" w:cstheme="majorBidi"/>
          <w:iCs/>
          <w:szCs w:val="18"/>
        </w:rPr>
        <w:t>[s</w:t>
      </w:r>
      <w:r w:rsidRPr="005244BD">
        <w:rPr>
          <w:rFonts w:asciiTheme="majorBidi" w:eastAsiaTheme="minorEastAsia" w:hAnsiTheme="majorBidi" w:cstheme="majorBidi"/>
          <w:iCs/>
          <w:szCs w:val="18"/>
          <w:vertAlign w:val="superscript"/>
        </w:rPr>
        <w:t>-1</w:t>
      </w:r>
      <w:r w:rsidRPr="005244BD">
        <w:rPr>
          <w:rFonts w:asciiTheme="majorBidi" w:eastAsiaTheme="minorEastAsia" w:hAnsiTheme="majorBidi" w:cstheme="majorBidi"/>
          <w:iCs/>
          <w:szCs w:val="18"/>
        </w:rPr>
        <w:t xml:space="preserve">] </w:t>
      </w:r>
      <w:r w:rsidRPr="005244BD">
        <w:rPr>
          <w:rFonts w:ascii="Times New Roman" w:eastAsiaTheme="minorEastAsia" w:hAnsi="Times New Roman" w:cs="Times New Roman"/>
          <w:szCs w:val="18"/>
        </w:rPr>
        <w:t xml:space="preserve">is the extinction coefficient of bacteria and </w:t>
      </w:r>
      <m:oMath>
        <m:r>
          <w:rPr>
            <w:rFonts w:ascii="Cambria Math" w:eastAsiaTheme="minorEastAsia" w:hAnsi="Cambria Math" w:cstheme="majorBidi"/>
            <w:szCs w:val="18"/>
          </w:rPr>
          <m:t>R</m:t>
        </m:r>
      </m:oMath>
      <w:r w:rsidRPr="005244BD">
        <w:rPr>
          <w:rFonts w:ascii="Times New Roman" w:eastAsiaTheme="minorEastAsia" w:hAnsi="Times New Roman" w:cs="Times New Roman"/>
          <w:szCs w:val="18"/>
        </w:rPr>
        <w:t xml:space="preserve"> is described by Eq. 8 or Eq. 9. </w:t>
      </w:r>
      <w:r w:rsidR="00BA2BCB" w:rsidRPr="005244BD">
        <w:rPr>
          <w:rFonts w:ascii="Times New Roman" w:eastAsiaTheme="minorEastAsia" w:hAnsi="Times New Roman" w:cs="Times New Roman"/>
          <w:szCs w:val="18"/>
        </w:rPr>
        <w:t>However, t</w:t>
      </w:r>
      <w:r w:rsidRPr="005244BD">
        <w:rPr>
          <w:rFonts w:ascii="Times New Roman" w:eastAsiaTheme="minorEastAsia" w:hAnsi="Times New Roman" w:cs="Times New Roman"/>
          <w:szCs w:val="18"/>
        </w:rPr>
        <w:t>he size of water-filled pores and throats are reduced due to biofilm growth, so their radii are updated as:</w:t>
      </w:r>
    </w:p>
    <w:p w14:paraId="7436B0D5" w14:textId="4B1C4621" w:rsidR="00F02F44" w:rsidRPr="005244BD" w:rsidRDefault="007E5EE0" w:rsidP="00E50D2F">
      <w:pPr>
        <w:spacing w:line="480" w:lineRule="auto"/>
        <w:jc w:val="center"/>
        <w:rPr>
          <w:rFonts w:asciiTheme="majorBidi" w:eastAsiaTheme="minorEastAsia" w:hAnsiTheme="majorBidi" w:cstheme="majorBidi"/>
          <w:iCs/>
          <w:szCs w:val="18"/>
        </w:rPr>
      </w:pPr>
      <m:oMath>
        <m:sSubSup>
          <m:sSubSupPr>
            <m:ctrlPr>
              <w:rPr>
                <w:rFonts w:ascii="Cambria Math" w:hAnsi="Cambria Math"/>
                <w:i/>
              </w:rPr>
            </m:ctrlPr>
          </m:sSubSupPr>
          <m:e>
            <m:r>
              <w:rPr>
                <w:rFonts w:ascii="Cambria Math" w:hAnsi="Cambria Math"/>
              </w:rPr>
              <m:t>r</m:t>
            </m:r>
          </m:e>
          <m:sub>
            <m:r>
              <m:rPr>
                <m:sty m:val="p"/>
              </m:rPr>
              <w:rPr>
                <w:rFonts w:ascii="Cambria Math" w:hAnsi="Cambria Math"/>
              </w:rPr>
              <m:t>water-filled pore</m:t>
            </m:r>
            <m:r>
              <w:rPr>
                <w:rFonts w:ascii="Cambria Math" w:hAnsi="Cambria Math"/>
              </w:rPr>
              <m:t>,i</m:t>
            </m:r>
          </m:sub>
          <m:sup>
            <m:r>
              <w:rPr>
                <w:rFonts w:ascii="Cambria Math" w:hAnsi="Cambria Math"/>
              </w:rPr>
              <m:t>t+1</m:t>
            </m:r>
          </m:sup>
        </m:sSub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sSubSup>
                      <m:sSubSupPr>
                        <m:ctrlPr>
                          <w:rPr>
                            <w:rFonts w:ascii="Cambria Math" w:hAnsi="Cambria Math"/>
                            <w:i/>
                          </w:rPr>
                        </m:ctrlPr>
                      </m:sSubSupPr>
                      <m:e>
                        <m:r>
                          <w:rPr>
                            <w:rFonts w:ascii="Cambria Math" w:hAnsi="Cambria Math"/>
                          </w:rPr>
                          <m:t>(r</m:t>
                        </m:r>
                      </m:e>
                      <m:sub>
                        <m:r>
                          <m:rPr>
                            <m:sty m:val="p"/>
                          </m:rPr>
                          <w:rPr>
                            <w:rFonts w:ascii="Cambria Math" w:eastAsiaTheme="minorEastAsia" w:hAnsi="Cambria Math" w:cstheme="majorBidi"/>
                            <w:szCs w:val="18"/>
                          </w:rPr>
                          <m:t>water</m:t>
                        </m:r>
                        <m:r>
                          <m:rPr>
                            <m:sty m:val="p"/>
                          </m:rPr>
                          <w:rPr>
                            <w:rFonts w:ascii="Cambria Math" w:hAnsi="Cambria Math"/>
                          </w:rPr>
                          <m:t>-filled pore</m:t>
                        </m:r>
                        <m:r>
                          <w:rPr>
                            <w:rFonts w:ascii="Cambria Math" w:hAnsi="Cambria Math"/>
                          </w:rPr>
                          <m:t>,i</m:t>
                        </m:r>
                      </m:sub>
                      <m:sup>
                        <m:r>
                          <w:rPr>
                            <w:rFonts w:ascii="Cambria Math" w:hAnsi="Cambria Math"/>
                          </w:rPr>
                          <m:t>t=0</m:t>
                        </m:r>
                      </m:sup>
                    </m:sSubSup>
                    <m:r>
                      <w:rPr>
                        <w:rFonts w:ascii="Cambria Math" w:hAnsi="Cambria Math"/>
                      </w:rPr>
                      <m:t>)</m:t>
                    </m:r>
                  </m:e>
                  <m:sup>
                    <m:r>
                      <w:rPr>
                        <w:rFonts w:ascii="Cambria Math" w:hAnsi="Cambria Math"/>
                      </w:rPr>
                      <m:t>3</m:t>
                    </m:r>
                  </m:sup>
                </m:sSup>
                <m:r>
                  <w:rPr>
                    <w:rFonts w:ascii="Cambria Math" w:hAnsi="Cambria Math"/>
                  </w:rPr>
                  <m:t>-</m:t>
                </m:r>
                <m:f>
                  <m:fPr>
                    <m:ctrlPr>
                      <w:rPr>
                        <w:rFonts w:ascii="Cambria Math" w:hAnsi="Cambria Math"/>
                        <w:i/>
                      </w:rPr>
                    </m:ctrlPr>
                  </m:fPr>
                  <m:num>
                    <m:sSubSup>
                      <m:sSubSupPr>
                        <m:ctrlPr>
                          <w:rPr>
                            <w:rFonts w:ascii="Cambria Math" w:eastAsiaTheme="minorEastAsia" w:hAnsi="Cambria Math" w:cstheme="majorBidi"/>
                            <w:i/>
                            <w:szCs w:val="18"/>
                          </w:rPr>
                        </m:ctrlPr>
                      </m:sSubSupPr>
                      <m:e>
                        <m:r>
                          <w:rPr>
                            <w:rFonts w:ascii="Cambria Math" w:eastAsiaTheme="minorEastAsia" w:hAnsi="Cambria Math" w:cstheme="majorBidi"/>
                            <w:szCs w:val="18"/>
                          </w:rPr>
                          <m:t>V</m:t>
                        </m:r>
                      </m:e>
                      <m:sub>
                        <m:r>
                          <m:rPr>
                            <m:sty m:val="p"/>
                          </m:rPr>
                          <w:rPr>
                            <w:rFonts w:ascii="Cambria Math" w:eastAsiaTheme="minorEastAsia" w:hAnsi="Cambria Math" w:cstheme="majorBidi"/>
                            <w:szCs w:val="18"/>
                          </w:rPr>
                          <m:t>bio</m:t>
                        </m:r>
                        <m:r>
                          <w:rPr>
                            <w:rFonts w:ascii="Cambria Math" w:eastAsiaTheme="minorEastAsia" w:hAnsi="Cambria Math" w:cstheme="majorBidi"/>
                            <w:szCs w:val="18"/>
                          </w:rPr>
                          <m:t>,i</m:t>
                        </m:r>
                      </m:sub>
                      <m:sup>
                        <m:r>
                          <w:rPr>
                            <w:rFonts w:ascii="Cambria Math" w:eastAsiaTheme="minorEastAsia" w:hAnsi="Cambria Math" w:cstheme="majorBidi"/>
                            <w:szCs w:val="18"/>
                          </w:rPr>
                          <m:t>t+1</m:t>
                        </m:r>
                      </m:sup>
                    </m:sSubSup>
                  </m:num>
                  <m:den>
                    <m:f>
                      <m:fPr>
                        <m:type m:val="lin"/>
                        <m:ctrlPr>
                          <w:rPr>
                            <w:rFonts w:ascii="Cambria Math" w:hAnsi="Cambria Math"/>
                            <w:i/>
                          </w:rPr>
                        </m:ctrlPr>
                      </m:fPr>
                      <m:num>
                        <m:r>
                          <w:rPr>
                            <w:rFonts w:ascii="Cambria Math" w:hAnsi="Cambria Math"/>
                          </w:rPr>
                          <m:t>4π</m:t>
                        </m:r>
                      </m:num>
                      <m:den>
                        <m:r>
                          <w:rPr>
                            <w:rFonts w:ascii="Cambria Math" w:hAnsi="Cambria Math"/>
                          </w:rPr>
                          <m:t>3</m:t>
                        </m:r>
                      </m:den>
                    </m:f>
                  </m:den>
                </m:f>
              </m:e>
            </m:d>
          </m:e>
          <m:sup>
            <m:f>
              <m:fPr>
                <m:type m:val="lin"/>
                <m:ctrlPr>
                  <w:rPr>
                    <w:rFonts w:ascii="Cambria Math" w:hAnsi="Cambria Math"/>
                    <w:i/>
                  </w:rPr>
                </m:ctrlPr>
              </m:fPr>
              <m:num>
                <m:r>
                  <w:rPr>
                    <w:rFonts w:ascii="Cambria Math" w:hAnsi="Cambria Math"/>
                  </w:rPr>
                  <m:t>1</m:t>
                </m:r>
              </m:num>
              <m:den>
                <m:r>
                  <w:rPr>
                    <w:rFonts w:ascii="Cambria Math" w:hAnsi="Cambria Math"/>
                  </w:rPr>
                  <m:t>3</m:t>
                </m:r>
              </m:den>
            </m:f>
          </m:sup>
        </m:sSup>
      </m:oMath>
      <w:r w:rsidR="00E50D2F" w:rsidRPr="005244BD">
        <w:rPr>
          <w:rFonts w:asciiTheme="majorBidi" w:eastAsiaTheme="minorEastAsia" w:hAnsiTheme="majorBidi" w:cstheme="majorBidi"/>
        </w:rPr>
        <w:tab/>
      </w:r>
      <w:r w:rsidR="00E50D2F" w:rsidRPr="005244BD">
        <w:rPr>
          <w:rFonts w:asciiTheme="majorBidi" w:eastAsiaTheme="minorEastAsia" w:hAnsiTheme="majorBidi" w:cstheme="majorBidi"/>
        </w:rPr>
        <w:tab/>
      </w:r>
      <w:r w:rsidR="00F02F44" w:rsidRPr="005244BD">
        <w:rPr>
          <w:rFonts w:asciiTheme="majorBidi" w:eastAsiaTheme="minorEastAsia" w:hAnsiTheme="majorBidi" w:cstheme="majorBidi"/>
          <w:iCs/>
          <w:szCs w:val="18"/>
        </w:rPr>
        <w:t>Eq. 1</w:t>
      </w:r>
      <w:r w:rsidR="003371AF" w:rsidRPr="005244BD">
        <w:rPr>
          <w:rFonts w:asciiTheme="majorBidi" w:eastAsiaTheme="minorEastAsia" w:hAnsiTheme="majorBidi" w:cstheme="majorBidi"/>
          <w:iCs/>
          <w:szCs w:val="18"/>
        </w:rPr>
        <w:t>1</w:t>
      </w:r>
    </w:p>
    <w:p w14:paraId="6B8825DC" w14:textId="2BF01FCC" w:rsidR="003371AF" w:rsidRPr="005244BD" w:rsidRDefault="007E5EE0" w:rsidP="00E50D2F">
      <w:pPr>
        <w:spacing w:line="480" w:lineRule="auto"/>
        <w:jc w:val="center"/>
        <w:rPr>
          <w:rFonts w:asciiTheme="majorBidi" w:eastAsiaTheme="minorEastAsia" w:hAnsiTheme="majorBidi" w:cstheme="majorBidi"/>
          <w:iCs/>
          <w:szCs w:val="18"/>
        </w:rPr>
      </w:pPr>
      <m:oMath>
        <m:sSubSup>
          <m:sSubSupPr>
            <m:ctrlPr>
              <w:rPr>
                <w:rFonts w:ascii="Cambria Math" w:hAnsi="Cambria Math"/>
                <w:i/>
              </w:rPr>
            </m:ctrlPr>
          </m:sSubSupPr>
          <m:e>
            <m:r>
              <w:rPr>
                <w:rFonts w:ascii="Cambria Math" w:hAnsi="Cambria Math"/>
              </w:rPr>
              <m:t>r</m:t>
            </m:r>
          </m:e>
          <m:sub>
            <m:r>
              <m:rPr>
                <m:sty m:val="p"/>
              </m:rPr>
              <w:rPr>
                <w:rFonts w:ascii="Cambria Math" w:hAnsi="Cambria Math"/>
              </w:rPr>
              <m:t>throat</m:t>
            </m:r>
            <m:r>
              <w:rPr>
                <w:rFonts w:ascii="Cambria Math" w:hAnsi="Cambria Math"/>
              </w:rPr>
              <m:t>,ij</m:t>
            </m:r>
          </m:sub>
          <m:sup>
            <m:r>
              <w:rPr>
                <w:rFonts w:ascii="Cambria Math" w:hAnsi="Cambria Math"/>
              </w:rPr>
              <m:t>t+1</m:t>
            </m:r>
          </m:sup>
        </m:sSub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sSubSup>
                      <m:sSubSupPr>
                        <m:ctrlPr>
                          <w:rPr>
                            <w:rFonts w:ascii="Cambria Math" w:hAnsi="Cambria Math"/>
                            <w:i/>
                          </w:rPr>
                        </m:ctrlPr>
                      </m:sSubSupPr>
                      <m:e>
                        <m:r>
                          <w:rPr>
                            <w:rFonts w:ascii="Cambria Math" w:hAnsi="Cambria Math"/>
                          </w:rPr>
                          <m:t>(r</m:t>
                        </m:r>
                      </m:e>
                      <m:sub>
                        <m:r>
                          <m:rPr>
                            <m:sty m:val="p"/>
                          </m:rPr>
                          <w:rPr>
                            <w:rFonts w:ascii="Cambria Math" w:hAnsi="Cambria Math"/>
                          </w:rPr>
                          <m:t>throat</m:t>
                        </m:r>
                      </m:sub>
                      <m:sup>
                        <m:r>
                          <w:rPr>
                            <w:rFonts w:ascii="Cambria Math" w:hAnsi="Cambria Math"/>
                          </w:rPr>
                          <m:t>t=0</m:t>
                        </m:r>
                      </m:sup>
                    </m:sSubSup>
                    <m:r>
                      <w:rPr>
                        <w:rFonts w:ascii="Cambria Math" w:hAnsi="Cambria Math"/>
                      </w:rPr>
                      <m:t>)</m:t>
                    </m:r>
                  </m:e>
                  <m:sup>
                    <m:r>
                      <w:rPr>
                        <w:rFonts w:ascii="Cambria Math" w:hAnsi="Cambria Math"/>
                      </w:rPr>
                      <m:t>2</m:t>
                    </m:r>
                  </m:sup>
                </m:sSup>
                <m:r>
                  <w:rPr>
                    <w:rFonts w:ascii="Cambria Math" w:hAnsi="Cambria Math"/>
                  </w:rPr>
                  <m:t>-</m:t>
                </m:r>
                <m:f>
                  <m:fPr>
                    <m:ctrlPr>
                      <w:rPr>
                        <w:rFonts w:ascii="Cambria Math" w:hAnsi="Cambria Math"/>
                        <w:i/>
                      </w:rPr>
                    </m:ctrlPr>
                  </m:fPr>
                  <m:num>
                    <m:sSubSup>
                      <m:sSubSupPr>
                        <m:ctrlPr>
                          <w:rPr>
                            <w:rFonts w:ascii="Cambria Math" w:eastAsiaTheme="minorEastAsia" w:hAnsi="Cambria Math" w:cstheme="majorBidi"/>
                            <w:i/>
                            <w:szCs w:val="18"/>
                          </w:rPr>
                        </m:ctrlPr>
                      </m:sSubSupPr>
                      <m:e>
                        <m:r>
                          <w:rPr>
                            <w:rFonts w:ascii="Cambria Math" w:eastAsiaTheme="minorEastAsia" w:hAnsi="Cambria Math" w:cstheme="majorBidi"/>
                            <w:szCs w:val="18"/>
                          </w:rPr>
                          <m:t>V</m:t>
                        </m:r>
                      </m:e>
                      <m:sub>
                        <m:r>
                          <m:rPr>
                            <m:sty m:val="p"/>
                          </m:rPr>
                          <w:rPr>
                            <w:rFonts w:ascii="Cambria Math" w:eastAsiaTheme="minorEastAsia" w:hAnsi="Cambria Math" w:cstheme="majorBidi"/>
                            <w:szCs w:val="18"/>
                          </w:rPr>
                          <m:t>bio</m:t>
                        </m:r>
                        <m:r>
                          <w:rPr>
                            <w:rFonts w:ascii="Cambria Math" w:eastAsiaTheme="minorEastAsia" w:hAnsi="Cambria Math" w:cstheme="majorBidi"/>
                            <w:szCs w:val="18"/>
                          </w:rPr>
                          <m:t>,j</m:t>
                        </m:r>
                      </m:sub>
                      <m:sup>
                        <m:r>
                          <w:rPr>
                            <w:rFonts w:ascii="Cambria Math" w:eastAsiaTheme="minorEastAsia" w:hAnsi="Cambria Math" w:cstheme="majorBidi"/>
                            <w:szCs w:val="18"/>
                          </w:rPr>
                          <m:t>t+1</m:t>
                        </m:r>
                      </m:sup>
                    </m:sSubSup>
                  </m:num>
                  <m:den>
                    <m:r>
                      <w:rPr>
                        <w:rFonts w:ascii="Cambria Math" w:hAnsi="Cambria Math"/>
                      </w:rPr>
                      <m:t>π</m:t>
                    </m:r>
                    <m:sSub>
                      <m:sSubPr>
                        <m:ctrlPr>
                          <w:rPr>
                            <w:rFonts w:ascii="Cambria Math" w:hAnsi="Cambria Math"/>
                            <w:i/>
                          </w:rPr>
                        </m:ctrlPr>
                      </m:sSubPr>
                      <m:e>
                        <m:r>
                          <w:rPr>
                            <w:rFonts w:ascii="Cambria Math" w:hAnsi="Cambria Math"/>
                          </w:rPr>
                          <m:t>l</m:t>
                        </m:r>
                      </m:e>
                      <m:sub>
                        <m:r>
                          <w:rPr>
                            <w:rFonts w:ascii="Cambria Math" w:hAnsi="Cambria Math"/>
                          </w:rPr>
                          <m:t>ij</m:t>
                        </m:r>
                      </m:sub>
                    </m:sSub>
                  </m:den>
                </m:f>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oMath>
      <w:r w:rsidR="00E50D2F" w:rsidRPr="005244BD">
        <w:rPr>
          <w:rFonts w:asciiTheme="majorBidi" w:eastAsiaTheme="minorEastAsia" w:hAnsiTheme="majorBidi" w:cstheme="majorBidi"/>
        </w:rPr>
        <w:tab/>
      </w:r>
      <w:r w:rsidR="00E50D2F" w:rsidRPr="005244BD">
        <w:rPr>
          <w:rFonts w:asciiTheme="majorBidi" w:eastAsiaTheme="minorEastAsia" w:hAnsiTheme="majorBidi" w:cstheme="majorBidi"/>
        </w:rPr>
        <w:tab/>
      </w:r>
      <w:r w:rsidR="00E50D2F" w:rsidRPr="005244BD">
        <w:rPr>
          <w:rFonts w:asciiTheme="majorBidi" w:eastAsiaTheme="minorEastAsia" w:hAnsiTheme="majorBidi" w:cstheme="majorBidi"/>
        </w:rPr>
        <w:tab/>
      </w:r>
      <w:r w:rsidR="00E50D2F" w:rsidRPr="005244BD">
        <w:rPr>
          <w:rFonts w:asciiTheme="majorBidi" w:eastAsiaTheme="minorEastAsia" w:hAnsiTheme="majorBidi" w:cstheme="majorBidi"/>
        </w:rPr>
        <w:tab/>
      </w:r>
      <w:r w:rsidR="003371AF" w:rsidRPr="005244BD">
        <w:rPr>
          <w:rFonts w:asciiTheme="majorBidi" w:eastAsiaTheme="minorEastAsia" w:hAnsiTheme="majorBidi" w:cstheme="majorBidi"/>
          <w:iCs/>
          <w:szCs w:val="18"/>
        </w:rPr>
        <w:t>Eq. 12</w:t>
      </w:r>
    </w:p>
    <w:p w14:paraId="3985CD25" w14:textId="338C6DBC" w:rsidR="000518B6" w:rsidRPr="005244BD" w:rsidRDefault="000518B6" w:rsidP="003268B6">
      <w:pPr>
        <w:pStyle w:val="Heading3"/>
        <w:spacing w:after="240"/>
        <w:rPr>
          <w:rFonts w:asciiTheme="majorBidi" w:hAnsiTheme="majorBidi"/>
          <w:b w:val="0"/>
          <w:bCs w:val="0"/>
        </w:rPr>
      </w:pPr>
      <w:r w:rsidRPr="005244BD">
        <w:rPr>
          <w:rFonts w:asciiTheme="majorBidi" w:hAnsiTheme="majorBidi"/>
          <w:b w:val="0"/>
          <w:bCs w:val="0"/>
        </w:rPr>
        <w:t>2.</w:t>
      </w:r>
      <w:r w:rsidR="005106C3" w:rsidRPr="005244BD">
        <w:rPr>
          <w:rFonts w:asciiTheme="majorBidi" w:hAnsiTheme="majorBidi"/>
          <w:b w:val="0"/>
          <w:bCs w:val="0"/>
        </w:rPr>
        <w:t>1</w:t>
      </w:r>
      <w:r w:rsidRPr="005244BD">
        <w:rPr>
          <w:rFonts w:asciiTheme="majorBidi" w:hAnsiTheme="majorBidi"/>
          <w:b w:val="0"/>
          <w:bCs w:val="0"/>
        </w:rPr>
        <w:t>.</w:t>
      </w:r>
      <w:r w:rsidR="003268B6" w:rsidRPr="005244BD">
        <w:rPr>
          <w:rFonts w:asciiTheme="majorBidi" w:hAnsiTheme="majorBidi"/>
          <w:b w:val="0"/>
          <w:bCs w:val="0"/>
        </w:rPr>
        <w:t>3</w:t>
      </w:r>
      <w:r w:rsidRPr="005244BD">
        <w:rPr>
          <w:rFonts w:asciiTheme="majorBidi" w:hAnsiTheme="majorBidi"/>
          <w:b w:val="0"/>
          <w:bCs w:val="0"/>
        </w:rPr>
        <w:t xml:space="preserve">. Effect of biofilm on NAPL-filled pores and NAPL reduction </w:t>
      </w:r>
    </w:p>
    <w:p w14:paraId="1A747BE9" w14:textId="3A799B15" w:rsidR="00CB50FC" w:rsidRDefault="00985B95" w:rsidP="005E599A">
      <w:pPr>
        <w:spacing w:line="480" w:lineRule="auto"/>
        <w:jc w:val="both"/>
        <w:rPr>
          <w:rFonts w:ascii="Times New Roman" w:eastAsiaTheme="minorEastAsia" w:hAnsi="Times New Roman" w:cs="Times New Roman"/>
          <w:lang w:val="en-US"/>
        </w:rPr>
      </w:pPr>
      <w:r w:rsidRPr="005244BD">
        <w:rPr>
          <w:rFonts w:ascii="Times New Roman" w:hAnsi="Times New Roman" w:cs="Times New Roman"/>
        </w:rPr>
        <w:t xml:space="preserve">Biodegradation does not occur within the NAPL phase, i.e., water and oxygen (or any other electron acceptor) which are necessary for biodegradation are not present in the NAPL phase. Although bacteria may only survive within the aqueous phase, it may grow at the NAPL interface where substrate concentrations are highest. This mechanism is described in </w:t>
      </w:r>
      <w:r w:rsidRPr="005244BD">
        <w:rPr>
          <w:rFonts w:ascii="Times New Roman" w:hAnsi="Times New Roman" w:cs="Times New Roman"/>
        </w:rPr>
        <w:fldChar w:fldCharType="begin" w:fldLock="1"/>
      </w:r>
      <w:r w:rsidRPr="005244BD">
        <w:rPr>
          <w:rFonts w:ascii="Times New Roman" w:hAnsi="Times New Roman" w:cs="Times New Roman"/>
        </w:rPr>
        <w:instrText>ADDIN CSL_CITATION {"citationItems":[{"id":"ITEM-1","itemData":{"author":[{"dropping-particle":"","family":"Atlas","given":"Ronald M","non-dropping-particle":"","parse-names":false,"suffix":""}],"container-title":"Microbiological reviews","id":"ITEM-1","issue":"1","issued":{"date-parts":[["1981"]]},"page":"180","publisher":"American Society for Microbiology (ASM)","title":"Microbial degradation of petroleum hydrocarbons: an environmental perspective.","type":"article-journal","volume":"45"},"uris":["http://www.mendeley.com/documents/?uuid=b38a2a95-b2a3-4f14-902a-b03d976952ed"]}],"mendeley":{"formattedCitation":"(Atlas, 1981)","manualFormatting":"Atlas, 1981","plainTextFormattedCitation":"(Atlas, 1981)","previouslyFormattedCitation":"(Atlas, 1981)"},"properties":{"noteIndex":0},"schema":"https://github.com/citation-style-language/schema/raw/master/csl-citation.json"}</w:instrText>
      </w:r>
      <w:r w:rsidRPr="005244BD">
        <w:rPr>
          <w:rFonts w:ascii="Times New Roman" w:hAnsi="Times New Roman" w:cs="Times New Roman"/>
        </w:rPr>
        <w:fldChar w:fldCharType="separate"/>
      </w:r>
      <w:r w:rsidRPr="005244BD">
        <w:rPr>
          <w:rFonts w:ascii="Times New Roman" w:hAnsi="Times New Roman" w:cs="Times New Roman"/>
          <w:noProof/>
        </w:rPr>
        <w:t>Atlas, 1981</w:t>
      </w:r>
      <w:r w:rsidRPr="005244BD">
        <w:rPr>
          <w:rFonts w:ascii="Times New Roman" w:hAnsi="Times New Roman" w:cs="Times New Roman"/>
        </w:rPr>
        <w:fldChar w:fldCharType="end"/>
      </w:r>
      <w:r w:rsidR="00CB50FC">
        <w:rPr>
          <w:rFonts w:ascii="Times New Roman" w:hAnsi="Times New Roman" w:cs="Times New Roman"/>
        </w:rPr>
        <w:t>, and used in an</w:t>
      </w:r>
      <w:r w:rsidRPr="005244BD">
        <w:rPr>
          <w:rFonts w:ascii="Times New Roman" w:hAnsi="Times New Roman" w:cs="Times New Roman"/>
        </w:rPr>
        <w:t xml:space="preserve">other NAPL biodegradation model </w:t>
      </w:r>
      <w:r w:rsidRPr="00CB50FC">
        <w:rPr>
          <w:rFonts w:ascii="Times New Roman" w:eastAsiaTheme="minorEastAsia" w:hAnsi="Times New Roman" w:cs="Times New Roman"/>
          <w:lang w:val="en-US"/>
        </w:rPr>
        <w:fldChar w:fldCharType="begin" w:fldLock="1"/>
      </w:r>
      <w:r w:rsidR="00234BF0" w:rsidRPr="00CB50FC">
        <w:rPr>
          <w:rFonts w:ascii="Times New Roman" w:eastAsiaTheme="minorEastAsia" w:hAnsi="Times New Roman" w:cs="Times New Roman"/>
          <w:lang w:val="en-US"/>
        </w:rPr>
        <w:instrText>ADDIN CSL_CITATION {"citationItems":[{"id":"ITEM-1","itemData":{"author":[{"dropping-particle":"","family":"Blanc","given":"Phillip C","non-dropping-particle":"De","parse-names":false,"suffix":""},{"dropping-particle":"","family":"McKinney","given":"Daene C","non-dropping-particle":"","parse-names":false,"suffix":""},{"dropping-particle":"","family":"Speitel Jr","given":"Gerald E","non-dropping-particle":"","parse-names":false,"suffix":""}],"container-title":"Advances in porous media","id":"ITEM-1","issued":{"date-parts":[["1996"]]},"page":"1-86","publisher":"Elsevier","title":"Modeling subsurface biodegradation of non-aqueous phase liquids","type":"chapter","volume":"3"},"uris":["http://www.mendeley.com/documents/?uuid=54a64bab-977b-4c5a-a56c-b4a40b9248c0"]}],"mendeley":{"formattedCitation":"(De Blanc et al., 1996)","plainTextFormattedCitation":"(De Blanc et al., 1996)","previouslyFormattedCitation":"(De Blanc et al., 1996)"},"properties":{"noteIndex":0},"schema":"https://github.com/citation-style-language/schema/raw/master/csl-citation.json"}</w:instrText>
      </w:r>
      <w:r w:rsidRPr="00CB50FC">
        <w:rPr>
          <w:rFonts w:ascii="Times New Roman" w:eastAsiaTheme="minorEastAsia" w:hAnsi="Times New Roman" w:cs="Times New Roman"/>
          <w:lang w:val="en-US"/>
        </w:rPr>
        <w:fldChar w:fldCharType="separate"/>
      </w:r>
      <w:r w:rsidRPr="00CB50FC">
        <w:rPr>
          <w:rFonts w:ascii="Times New Roman" w:eastAsiaTheme="minorEastAsia" w:hAnsi="Times New Roman" w:cs="Times New Roman"/>
          <w:lang w:val="en-US"/>
        </w:rPr>
        <w:t>(De Blanc et al., 1996)</w:t>
      </w:r>
      <w:r w:rsidRPr="00CB50FC">
        <w:rPr>
          <w:rFonts w:ascii="Times New Roman" w:eastAsiaTheme="minorEastAsia" w:hAnsi="Times New Roman" w:cs="Times New Roman"/>
          <w:lang w:val="en-US"/>
        </w:rPr>
        <w:fldChar w:fldCharType="end"/>
      </w:r>
      <w:r w:rsidRPr="00CB50FC">
        <w:rPr>
          <w:rFonts w:ascii="Times New Roman" w:eastAsiaTheme="minorEastAsia" w:hAnsi="Times New Roman" w:cs="Times New Roman"/>
          <w:lang w:val="en-US"/>
        </w:rPr>
        <w:t>.</w:t>
      </w:r>
      <w:r w:rsidR="00DA4F82" w:rsidRPr="00CB50FC">
        <w:rPr>
          <w:rFonts w:ascii="Times New Roman" w:eastAsiaTheme="minorEastAsia" w:hAnsi="Times New Roman" w:cs="Times New Roman"/>
          <w:lang w:val="en-US"/>
        </w:rPr>
        <w:t xml:space="preserve"> </w:t>
      </w:r>
      <w:r w:rsidR="00CB50FC" w:rsidRPr="00CB50FC">
        <w:rPr>
          <w:rFonts w:ascii="Times New Roman" w:eastAsiaTheme="minorEastAsia" w:hAnsi="Times New Roman" w:cs="Times New Roman"/>
          <w:lang w:val="en-US"/>
        </w:rPr>
        <w:t>T</w:t>
      </w:r>
      <w:r w:rsidR="00DA4F82" w:rsidRPr="00CB50FC">
        <w:rPr>
          <w:rFonts w:ascii="Times New Roman" w:eastAsiaTheme="minorEastAsia" w:hAnsi="Times New Roman" w:cs="Times New Roman"/>
          <w:lang w:val="en-US"/>
        </w:rPr>
        <w:t>he only limitation of biomass growth</w:t>
      </w:r>
      <w:r w:rsidR="00CB50FC">
        <w:rPr>
          <w:rFonts w:ascii="Times New Roman" w:eastAsiaTheme="minorEastAsia" w:hAnsi="Times New Roman" w:cs="Times New Roman"/>
          <w:lang w:val="en-US"/>
        </w:rPr>
        <w:t xml:space="preserve"> in our modelling</w:t>
      </w:r>
      <w:r w:rsidR="00DA4F82" w:rsidRPr="00CB50FC">
        <w:rPr>
          <w:rFonts w:ascii="Times New Roman" w:eastAsiaTheme="minorEastAsia" w:hAnsi="Times New Roman" w:cs="Times New Roman"/>
          <w:lang w:val="en-US"/>
        </w:rPr>
        <w:t xml:space="preserve"> is the amount of NAPL</w:t>
      </w:r>
      <w:r w:rsidR="00CB50FC">
        <w:rPr>
          <w:rFonts w:ascii="Times New Roman" w:eastAsiaTheme="minorEastAsia" w:hAnsi="Times New Roman" w:cs="Times New Roman"/>
          <w:lang w:val="en-US"/>
        </w:rPr>
        <w:t xml:space="preserve"> in NAPL-filled pores</w:t>
      </w:r>
      <w:r w:rsidR="00DA4F82" w:rsidRPr="00CB50FC">
        <w:rPr>
          <w:rFonts w:ascii="Times New Roman" w:eastAsiaTheme="minorEastAsia" w:hAnsi="Times New Roman" w:cs="Times New Roman"/>
          <w:lang w:val="en-US"/>
        </w:rPr>
        <w:t>.</w:t>
      </w:r>
      <w:r w:rsidR="00CB50FC">
        <w:rPr>
          <w:rFonts w:ascii="Times New Roman" w:eastAsiaTheme="minorEastAsia" w:hAnsi="Times New Roman" w:cs="Times New Roman"/>
          <w:lang w:val="en-US"/>
        </w:rPr>
        <w:t xml:space="preserve"> </w:t>
      </w:r>
      <w:r w:rsidR="003C518F">
        <w:rPr>
          <w:rFonts w:ascii="Times New Roman" w:eastAsiaTheme="minorEastAsia" w:hAnsi="Times New Roman" w:cs="Times New Roman"/>
          <w:lang w:val="en-US"/>
        </w:rPr>
        <w:t xml:space="preserve">We discuss about the implications of this limitation in Section </w:t>
      </w:r>
      <w:r w:rsidR="005E599A">
        <w:rPr>
          <w:rFonts w:ascii="Times New Roman" w:eastAsiaTheme="minorEastAsia" w:hAnsi="Times New Roman" w:cs="Times New Roman"/>
          <w:lang w:val="en-US"/>
        </w:rPr>
        <w:t>4</w:t>
      </w:r>
      <w:r w:rsidR="003C518F">
        <w:rPr>
          <w:rFonts w:ascii="Times New Roman" w:eastAsiaTheme="minorEastAsia" w:hAnsi="Times New Roman" w:cs="Times New Roman"/>
          <w:lang w:val="en-US"/>
        </w:rPr>
        <w:t>.</w:t>
      </w:r>
    </w:p>
    <w:p w14:paraId="3FAB40A1" w14:textId="0750058C" w:rsidR="00CB3B25" w:rsidRPr="005244BD" w:rsidRDefault="00082277" w:rsidP="000F0AFC">
      <w:pPr>
        <w:spacing w:line="480" w:lineRule="auto"/>
        <w:jc w:val="both"/>
        <w:rPr>
          <w:rFonts w:asciiTheme="majorBidi" w:eastAsiaTheme="minorEastAsia" w:hAnsiTheme="majorBidi" w:cstheme="majorBidi"/>
          <w:iCs/>
          <w:szCs w:val="18"/>
        </w:rPr>
      </w:pPr>
      <w:r w:rsidRPr="005244BD">
        <w:rPr>
          <w:rFonts w:ascii="Times New Roman" w:hAnsi="Times New Roman" w:cs="Times New Roman"/>
        </w:rPr>
        <w:t xml:space="preserve">Volume and mass of NAPL in pores are reduced due to NAPL dissolution and biodegradation until the NAPL in the pores </w:t>
      </w:r>
      <w:r w:rsidR="00CC5821" w:rsidRPr="005244BD">
        <w:rPr>
          <w:rFonts w:ascii="Times New Roman" w:hAnsi="Times New Roman" w:cs="Times New Roman"/>
        </w:rPr>
        <w:t xml:space="preserve">are </w:t>
      </w:r>
      <w:r w:rsidRPr="005244BD">
        <w:rPr>
          <w:rFonts w:ascii="Times New Roman" w:hAnsi="Times New Roman" w:cs="Times New Roman"/>
        </w:rPr>
        <w:t xml:space="preserve">completely removed and </w:t>
      </w:r>
      <w:r w:rsidR="003345D5" w:rsidRPr="005244BD">
        <w:rPr>
          <w:rFonts w:ascii="Times New Roman" w:hAnsi="Times New Roman" w:cs="Times New Roman"/>
        </w:rPr>
        <w:t xml:space="preserve">the pore is </w:t>
      </w:r>
      <w:r w:rsidRPr="005244BD">
        <w:rPr>
          <w:rFonts w:ascii="Times New Roman" w:hAnsi="Times New Roman" w:cs="Times New Roman"/>
        </w:rPr>
        <w:t>filled with water</w:t>
      </w:r>
      <w:r w:rsidR="00DE221C" w:rsidRPr="005244BD">
        <w:rPr>
          <w:rFonts w:ascii="Times New Roman" w:hAnsi="Times New Roman" w:cs="Times New Roman"/>
        </w:rPr>
        <w:t xml:space="preserve"> (</w:t>
      </w:r>
      <w:r w:rsidR="00DE221C" w:rsidRPr="005244BD">
        <w:rPr>
          <w:rFonts w:ascii="Times New Roman" w:hAnsi="Times New Roman" w:cs="Times New Roman"/>
          <w:i/>
          <w:iCs/>
        </w:rPr>
        <w:t>i.e.</w:t>
      </w:r>
      <w:r w:rsidR="00DE221C" w:rsidRPr="005244BD">
        <w:rPr>
          <w:rFonts w:ascii="Times New Roman" w:hAnsi="Times New Roman" w:cs="Times New Roman"/>
        </w:rPr>
        <w:t>, when a NAPL-fille</w:t>
      </w:r>
      <w:r w:rsidR="003345D5" w:rsidRPr="005244BD">
        <w:rPr>
          <w:rFonts w:ascii="Times New Roman" w:hAnsi="Times New Roman" w:cs="Times New Roman"/>
        </w:rPr>
        <w:t>d pore is completely remediated</w:t>
      </w:r>
      <w:r w:rsidR="00CC5821" w:rsidRPr="005244BD">
        <w:rPr>
          <w:rFonts w:ascii="Times New Roman" w:hAnsi="Times New Roman" w:cs="Times New Roman"/>
        </w:rPr>
        <w:t>)</w:t>
      </w:r>
      <w:r w:rsidR="003345D5" w:rsidRPr="005244BD">
        <w:rPr>
          <w:rFonts w:ascii="Times New Roman" w:hAnsi="Times New Roman" w:cs="Times New Roman"/>
        </w:rPr>
        <w:t>.</w:t>
      </w:r>
      <w:r w:rsidR="00D32580" w:rsidRPr="005244BD">
        <w:rPr>
          <w:rFonts w:ascii="Times New Roman" w:hAnsi="Times New Roman" w:cs="Times New Roman"/>
        </w:rPr>
        <w:t xml:space="preserve"> While the NAPL biodegradation is applied to all NAPL-filled </w:t>
      </w:r>
      <w:r w:rsidR="00D32580" w:rsidRPr="005244BD">
        <w:rPr>
          <w:rFonts w:ascii="Times New Roman" w:hAnsi="Times New Roman" w:cs="Times New Roman"/>
        </w:rPr>
        <w:lastRenderedPageBreak/>
        <w:t>pores, NAPL dissolution is only applied to those NAPL-filled pores which are connected to the water-filled pores</w:t>
      </w:r>
      <w:r w:rsidR="00044B3A">
        <w:rPr>
          <w:rFonts w:ascii="Times New Roman" w:hAnsi="Times New Roman" w:cs="Times New Roman"/>
        </w:rPr>
        <w:t xml:space="preserve"> </w:t>
      </w:r>
      <w:r w:rsidR="000F0AFC">
        <w:rPr>
          <w:rFonts w:ascii="Times New Roman" w:hAnsi="Times New Roman" w:cs="Times New Roman"/>
        </w:rPr>
        <w:t>as</w:t>
      </w:r>
      <w:r w:rsidR="00044B3A" w:rsidRPr="00044B3A">
        <w:rPr>
          <w:rFonts w:ascii="Times New Roman" w:hAnsi="Times New Roman" w:cs="Times New Roman"/>
        </w:rPr>
        <w:t xml:space="preserve"> the corner flow was not considered in this modelling</w:t>
      </w:r>
      <w:r w:rsidR="00D32580" w:rsidRPr="005244BD">
        <w:rPr>
          <w:rFonts w:ascii="Times New Roman" w:hAnsi="Times New Roman" w:cs="Times New Roman"/>
        </w:rPr>
        <w:t>.</w:t>
      </w:r>
      <w:r w:rsidR="003345D5" w:rsidRPr="005244BD">
        <w:rPr>
          <w:rFonts w:ascii="Times New Roman" w:hAnsi="Times New Roman" w:cs="Times New Roman"/>
        </w:rPr>
        <w:t xml:space="preserve"> At this stage,</w:t>
      </w:r>
      <w:r w:rsidR="00DE221C" w:rsidRPr="005244BD">
        <w:rPr>
          <w:rFonts w:ascii="Times New Roman" w:hAnsi="Times New Roman" w:cs="Times New Roman"/>
        </w:rPr>
        <w:t xml:space="preserve"> the </w:t>
      </w:r>
      <w:r w:rsidR="00DE221C" w:rsidRPr="005244BD">
        <w:rPr>
          <w:rFonts w:asciiTheme="majorBidi" w:eastAsiaTheme="minorEastAsia" w:hAnsiTheme="majorBidi" w:cstheme="majorBidi"/>
          <w:iCs/>
          <w:szCs w:val="18"/>
        </w:rPr>
        <w:t xml:space="preserve">aqueous fluid flow over the pore network should be updated as described in </w:t>
      </w:r>
      <w:r w:rsidR="00CC5821" w:rsidRPr="005244BD">
        <w:rPr>
          <w:rFonts w:asciiTheme="majorBidi" w:eastAsiaTheme="minorEastAsia" w:hAnsiTheme="majorBidi" w:cstheme="majorBidi"/>
          <w:iCs/>
          <w:szCs w:val="18"/>
        </w:rPr>
        <w:t>S</w:t>
      </w:r>
      <w:r w:rsidR="00DE221C" w:rsidRPr="005244BD">
        <w:rPr>
          <w:rFonts w:asciiTheme="majorBidi" w:eastAsiaTheme="minorEastAsia" w:hAnsiTheme="majorBidi" w:cstheme="majorBidi"/>
          <w:iCs/>
          <w:szCs w:val="18"/>
        </w:rPr>
        <w:t>ection 2.1.1</w:t>
      </w:r>
      <w:r w:rsidRPr="005244BD">
        <w:rPr>
          <w:rFonts w:ascii="Times New Roman" w:hAnsi="Times New Roman" w:cs="Times New Roman"/>
        </w:rPr>
        <w:t xml:space="preserve">. </w:t>
      </w:r>
      <w:r w:rsidR="0006311D" w:rsidRPr="005244BD">
        <w:rPr>
          <w:rFonts w:ascii="Times New Roman" w:hAnsi="Times New Roman" w:cs="Times New Roman"/>
        </w:rPr>
        <w:t>Because of NAPL toxicity, b</w:t>
      </w:r>
      <w:r w:rsidR="0064054D" w:rsidRPr="005244BD">
        <w:rPr>
          <w:rFonts w:ascii="Times New Roman" w:hAnsi="Times New Roman" w:cs="Times New Roman"/>
        </w:rPr>
        <w:t>acteria</w:t>
      </w:r>
      <w:r w:rsidR="000518B6" w:rsidRPr="005244BD">
        <w:rPr>
          <w:rFonts w:ascii="Times New Roman" w:hAnsi="Times New Roman" w:cs="Times New Roman"/>
        </w:rPr>
        <w:t xml:space="preserve"> </w:t>
      </w:r>
      <w:r w:rsidR="0064054D" w:rsidRPr="005244BD">
        <w:rPr>
          <w:rFonts w:ascii="Times New Roman" w:hAnsi="Times New Roman" w:cs="Times New Roman"/>
        </w:rPr>
        <w:t>are</w:t>
      </w:r>
      <w:r w:rsidR="000518B6" w:rsidRPr="005244BD">
        <w:rPr>
          <w:rFonts w:ascii="Times New Roman" w:hAnsi="Times New Roman" w:cs="Times New Roman"/>
        </w:rPr>
        <w:t xml:space="preserve"> assumed to be </w:t>
      </w:r>
      <w:r w:rsidR="0064054D" w:rsidRPr="005244BD">
        <w:rPr>
          <w:rFonts w:ascii="Times New Roman" w:hAnsi="Times New Roman" w:cs="Times New Roman"/>
        </w:rPr>
        <w:t>sparsely distributed</w:t>
      </w:r>
      <w:r w:rsidR="000518B6" w:rsidRPr="005244BD">
        <w:rPr>
          <w:rFonts w:ascii="Times New Roman" w:hAnsi="Times New Roman" w:cs="Times New Roman"/>
        </w:rPr>
        <w:t xml:space="preserve"> at the NAPL blob surface as</w:t>
      </w:r>
      <w:r w:rsidR="00BA2BCB" w:rsidRPr="005244BD">
        <w:rPr>
          <w:rFonts w:ascii="Times New Roman" w:hAnsi="Times New Roman" w:cs="Times New Roman"/>
        </w:rPr>
        <w:t xml:space="preserve"> </w:t>
      </w:r>
      <w:r w:rsidR="000518B6" w:rsidRPr="005244BD">
        <w:rPr>
          <w:rFonts w:ascii="Times New Roman" w:hAnsi="Times New Roman" w:cs="Times New Roman"/>
        </w:rPr>
        <w:t>micro-colon</w:t>
      </w:r>
      <w:r w:rsidR="0064054D" w:rsidRPr="005244BD">
        <w:rPr>
          <w:rFonts w:ascii="Times New Roman" w:hAnsi="Times New Roman" w:cs="Times New Roman"/>
        </w:rPr>
        <w:t>ies</w:t>
      </w:r>
      <w:r w:rsidR="00A00373" w:rsidRPr="005244BD">
        <w:rPr>
          <w:rFonts w:ascii="Times New Roman" w:hAnsi="Times New Roman" w:cs="Times New Roman"/>
        </w:rPr>
        <w:t xml:space="preserve">. </w:t>
      </w:r>
      <w:r w:rsidR="000518B6" w:rsidRPr="005244BD">
        <w:rPr>
          <w:rFonts w:asciiTheme="majorBidi" w:eastAsiaTheme="minorEastAsia" w:hAnsiTheme="majorBidi" w:cstheme="majorBidi"/>
          <w:iCs/>
          <w:szCs w:val="18"/>
        </w:rPr>
        <w:t xml:space="preserve">The NAPL blob reduction </w:t>
      </w:r>
      <w:r w:rsidR="00BA2BCB" w:rsidRPr="005244BD">
        <w:rPr>
          <w:rFonts w:asciiTheme="majorBidi" w:eastAsiaTheme="minorEastAsia" w:hAnsiTheme="majorBidi" w:cstheme="majorBidi"/>
          <w:iCs/>
          <w:szCs w:val="18"/>
        </w:rPr>
        <w:t xml:space="preserve">due to dissolution and biodegradation </w:t>
      </w:r>
      <w:r w:rsidR="000518B6" w:rsidRPr="005244BD">
        <w:rPr>
          <w:rFonts w:asciiTheme="majorBidi" w:eastAsiaTheme="minorEastAsia" w:hAnsiTheme="majorBidi" w:cstheme="majorBidi"/>
          <w:iCs/>
          <w:szCs w:val="18"/>
        </w:rPr>
        <w:t>in the NAPL-filled pore</w:t>
      </w:r>
      <w:r w:rsidR="00FE01D1" w:rsidRPr="005244BD">
        <w:rPr>
          <w:rFonts w:asciiTheme="majorBidi" w:eastAsiaTheme="minorEastAsia" w:hAnsiTheme="majorBidi" w:cstheme="majorBidi"/>
          <w:iCs/>
          <w:szCs w:val="18"/>
        </w:rPr>
        <w:t xml:space="preserve"> </w:t>
      </w:r>
      <m:oMath>
        <m:r>
          <w:rPr>
            <w:rFonts w:ascii="Cambria Math" w:eastAsiaTheme="minorEastAsia" w:hAnsi="Cambria Math" w:cstheme="majorBidi"/>
          </w:rPr>
          <m:t>i</m:t>
        </m:r>
      </m:oMath>
      <w:r w:rsidR="008372E0" w:rsidRPr="005244BD">
        <w:rPr>
          <w:rFonts w:asciiTheme="majorBidi" w:eastAsiaTheme="minorEastAsia" w:hAnsiTheme="majorBidi" w:cstheme="majorBidi"/>
          <w:vertAlign w:val="superscript"/>
        </w:rPr>
        <w:t>th</w:t>
      </w:r>
      <w:r w:rsidR="000518B6" w:rsidRPr="005244BD">
        <w:rPr>
          <w:rFonts w:asciiTheme="majorBidi" w:eastAsiaTheme="minorEastAsia" w:hAnsiTheme="majorBidi" w:cstheme="majorBidi"/>
          <w:iCs/>
          <w:szCs w:val="18"/>
        </w:rPr>
        <w:t xml:space="preserve"> is given by:</w:t>
      </w:r>
    </w:p>
    <w:p w14:paraId="0B42C41C" w14:textId="449036E2" w:rsidR="00D6227E" w:rsidRPr="005244BD" w:rsidRDefault="007E5EE0" w:rsidP="00E50D2F">
      <w:pPr>
        <w:spacing w:line="480" w:lineRule="auto"/>
        <w:jc w:val="center"/>
        <w:rPr>
          <w:rFonts w:asciiTheme="majorBidi" w:eastAsiaTheme="minorEastAsia" w:hAnsiTheme="majorBidi" w:cstheme="majorBidi"/>
          <w:iCs/>
          <w:szCs w:val="18"/>
        </w:rPr>
      </w:pPr>
      <m:oMath>
        <m:sSubSup>
          <m:sSubSupPr>
            <m:ctrlPr>
              <w:rPr>
                <w:rFonts w:ascii="Cambria Math" w:hAnsi="Cambria Math"/>
                <w:i/>
              </w:rPr>
            </m:ctrlPr>
          </m:sSubSupPr>
          <m:e>
            <m:r>
              <w:rPr>
                <w:rFonts w:ascii="Cambria Math" w:hAnsi="Cambria Math"/>
              </w:rPr>
              <m:t>M</m:t>
            </m:r>
          </m:e>
          <m:sub>
            <m:r>
              <m:rPr>
                <m:sty m:val="p"/>
              </m:rPr>
              <w:rPr>
                <w:rFonts w:ascii="Cambria Math" w:hAnsi="Cambria Math"/>
              </w:rPr>
              <m:t>NAPL</m:t>
            </m:r>
            <m:r>
              <w:rPr>
                <w:rFonts w:ascii="Cambria Math" w:hAnsi="Cambria Math"/>
              </w:rPr>
              <m:t>,i</m:t>
            </m:r>
          </m:sub>
          <m:sup>
            <m:r>
              <w:rPr>
                <w:rFonts w:ascii="Cambria Math" w:hAnsi="Cambria Math"/>
              </w:rPr>
              <m:t>t+1</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sty m:val="p"/>
              </m:rPr>
              <w:rPr>
                <w:rFonts w:ascii="Cambria Math" w:hAnsi="Cambria Math"/>
              </w:rPr>
              <m:t>NAPL</m:t>
            </m:r>
            <m:r>
              <w:rPr>
                <w:rFonts w:ascii="Cambria Math" w:hAnsi="Cambria Math"/>
              </w:rPr>
              <m:t>,i</m:t>
            </m:r>
          </m:sub>
          <m:sup>
            <m:r>
              <w:rPr>
                <w:rFonts w:ascii="Cambria Math" w:hAnsi="Cambria Math"/>
              </w:rPr>
              <m:t>t</m:t>
            </m:r>
          </m:sup>
        </m:sSubSup>
        <m:r>
          <w:rPr>
            <w:rFonts w:ascii="Cambria Math" w:eastAsiaTheme="minorEastAsia" w:hAnsi="Cambria Math" w:cs="Times New Roman"/>
          </w:rPr>
          <m:t>-</m:t>
        </m:r>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j</m:t>
            </m:r>
          </m:sub>
          <m:sup>
            <m:r>
              <w:rPr>
                <w:rFonts w:ascii="Cambria Math" w:eastAsiaTheme="minorEastAsia" w:hAnsi="Cambria Math" w:cs="Times New Roman"/>
              </w:rPr>
              <m:t>K</m:t>
            </m:r>
          </m:sup>
          <m:e>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ij</m:t>
                </m:r>
              </m:sub>
            </m:sSub>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s</m:t>
                    </m:r>
                  </m:sub>
                </m:sSub>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C</m:t>
                    </m:r>
                  </m:e>
                  <m:sub>
                    <m:r>
                      <w:rPr>
                        <w:rFonts w:ascii="Cambria Math" w:eastAsiaTheme="minorEastAsia" w:hAnsi="Cambria Math" w:cs="Times New Roman"/>
                      </w:rPr>
                      <m:t>ij</m:t>
                    </m:r>
                  </m:sub>
                  <m:sup>
                    <m:r>
                      <w:rPr>
                        <w:rFonts w:ascii="Cambria Math" w:eastAsiaTheme="minorEastAsia" w:hAnsi="Cambria Math" w:cs="Times New Roman"/>
                      </w:rPr>
                      <m:t>t</m:t>
                    </m:r>
                  </m:sup>
                </m:sSubSup>
              </m:num>
              <m:den>
                <m:r>
                  <w:rPr>
                    <w:rFonts w:ascii="Cambria Math" w:eastAsiaTheme="minorEastAsia" w:hAnsi="Cambria Math" w:cs="Times New Roman"/>
                  </w:rPr>
                  <m:t>l</m:t>
                </m:r>
              </m:den>
            </m:f>
            <m:r>
              <w:rPr>
                <w:rFonts w:ascii="Cambria Math" w:eastAsiaTheme="minorEastAsia" w:hAnsi="Cambria Math" w:cs="Times New Roman"/>
              </w:rPr>
              <m:t>∆t</m:t>
            </m:r>
          </m:e>
        </m:nary>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i</m:t>
                </m:r>
              </m:sub>
            </m:sSub>
            <m:d>
              <m:dPr>
                <m:ctrlPr>
                  <w:rPr>
                    <w:rFonts w:ascii="Cambria Math" w:eastAsiaTheme="minorEastAsia" w:hAnsi="Cambria Math" w:cs="Times New Roman"/>
                    <w:i/>
                  </w:rPr>
                </m:ctrlPr>
              </m:dPr>
              <m:e>
                <m:sSub>
                  <m:sSubPr>
                    <m:ctrlPr>
                      <w:rPr>
                        <w:rFonts w:ascii="Cambria Math" w:eastAsia="Times New Roman" w:hAnsi="Cambria Math" w:cs="Times New Roman"/>
                        <w:i/>
                        <w:sz w:val="24"/>
                        <w:szCs w:val="18"/>
                      </w:rPr>
                    </m:ctrlPr>
                  </m:sSubPr>
                  <m:e>
                    <m:r>
                      <w:rPr>
                        <w:rFonts w:ascii="Cambria Math" w:hAnsi="Cambria Math"/>
                        <w:szCs w:val="18"/>
                      </w:rPr>
                      <m:t>K</m:t>
                    </m:r>
                  </m:e>
                  <m:sub>
                    <m:r>
                      <m:rPr>
                        <m:sty m:val="p"/>
                      </m:rPr>
                      <w:rPr>
                        <w:rFonts w:ascii="Cambria Math" w:hAnsi="Cambria Math"/>
                        <w:szCs w:val="18"/>
                      </w:rPr>
                      <m:t>part</m:t>
                    </m:r>
                  </m:sub>
                </m:sSub>
                <m:sSub>
                  <m:sSubPr>
                    <m:ctrlPr>
                      <w:rPr>
                        <w:rFonts w:ascii="Cambria Math" w:eastAsiaTheme="minorEastAsia" w:hAnsi="Cambria Math" w:cs="Times New Roman"/>
                        <w:i/>
                      </w:rPr>
                    </m:ctrlPr>
                  </m:sSubPr>
                  <m:e>
                    <m:r>
                      <w:rPr>
                        <w:rFonts w:ascii="Cambria Math" w:eastAsiaTheme="minorEastAsia" w:hAnsi="Cambria Math" w:cs="Times New Roman"/>
                      </w:rPr>
                      <m:t>C</m:t>
                    </m:r>
                  </m:e>
                  <m:sub>
                    <m:r>
                      <m:rPr>
                        <m:sty m:val="p"/>
                      </m:rPr>
                      <w:rPr>
                        <w:rFonts w:ascii="Cambria Math" w:eastAsiaTheme="minorEastAsia" w:hAnsi="Cambria Math" w:cs="Times New Roman"/>
                      </w:rPr>
                      <m:t>NAPL</m:t>
                    </m:r>
                  </m:sub>
                </m:sSub>
              </m:e>
            </m:d>
          </m:num>
          <m:den>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bio</m:t>
                </m:r>
              </m:sub>
            </m:sSub>
          </m:den>
        </m:f>
        <m:sSub>
          <m:sSubPr>
            <m:ctrlPr>
              <w:rPr>
                <w:rFonts w:ascii="Cambria Math" w:eastAsiaTheme="minorEastAsia" w:hAnsi="Cambria Math" w:cs="Times New Roman"/>
                <w:i/>
              </w:rPr>
            </m:ctrlPr>
          </m:sSubPr>
          <m:e>
            <m:r>
              <w:rPr>
                <w:rFonts w:ascii="Cambria Math" w:eastAsiaTheme="minorEastAsia" w:hAnsi="Cambria Math" w:cs="Times New Roman"/>
              </w:rPr>
              <m:t>ρ</m:t>
            </m:r>
          </m:e>
          <m:sub>
            <m:r>
              <m:rPr>
                <m:sty m:val="p"/>
              </m:rPr>
              <w:rPr>
                <w:rFonts w:ascii="Cambria Math" w:eastAsiaTheme="minorEastAsia" w:hAnsi="Cambria Math" w:cs="Times New Roman"/>
              </w:rPr>
              <m:t>bio</m:t>
            </m:r>
          </m:sub>
        </m:sSub>
        <m:sSubSup>
          <m:sSubSupPr>
            <m:ctrlPr>
              <w:rPr>
                <w:rFonts w:ascii="Cambria Math" w:eastAsiaTheme="minorEastAsia" w:hAnsi="Cambria Math" w:cs="Times New Roman"/>
                <w:i/>
              </w:rPr>
            </m:ctrlPr>
          </m:sSubSupPr>
          <m:e>
            <m:r>
              <w:rPr>
                <w:rFonts w:ascii="Cambria Math" w:eastAsiaTheme="minorEastAsia" w:hAnsi="Cambria Math" w:cs="Times New Roman"/>
              </w:rPr>
              <m:t>N</m:t>
            </m:r>
          </m:e>
          <m:sub>
            <m:r>
              <m:rPr>
                <m:sty m:val="p"/>
              </m:rPr>
              <w:rPr>
                <w:rFonts w:ascii="Cambria Math" w:eastAsiaTheme="minorEastAsia" w:hAnsi="Cambria Math" w:cs="Times New Roman"/>
              </w:rPr>
              <m:t>colony</m:t>
            </m:r>
            <m:r>
              <w:rPr>
                <w:rFonts w:ascii="Cambria Math" w:eastAsiaTheme="minorEastAsia" w:hAnsi="Cambria Math" w:cs="Times New Roman"/>
              </w:rPr>
              <m:t>,i</m:t>
            </m:r>
          </m:sub>
          <m:sup>
            <m:r>
              <w:rPr>
                <w:rFonts w:ascii="Cambria Math" w:eastAsiaTheme="minorEastAsia" w:hAnsi="Cambria Math" w:cs="Times New Roman"/>
              </w:rPr>
              <m:t>t</m:t>
            </m:r>
          </m:sup>
        </m:sSubSup>
        <m:sSub>
          <m:sSubPr>
            <m:ctrlPr>
              <w:rPr>
                <w:rFonts w:ascii="Cambria Math" w:eastAsiaTheme="minorEastAsia" w:hAnsi="Cambria Math" w:cs="Times New Roman"/>
                <w:i/>
              </w:rPr>
            </m:ctrlPr>
          </m:sSubPr>
          <m:e>
            <m:r>
              <w:rPr>
                <w:rFonts w:ascii="Cambria Math" w:eastAsiaTheme="minorEastAsia" w:hAnsi="Cambria Math" w:cs="Times New Roman"/>
              </w:rPr>
              <m:t>V</m:t>
            </m:r>
          </m:e>
          <m:sub>
            <m:r>
              <m:rPr>
                <m:sty m:val="p"/>
              </m:rPr>
              <w:rPr>
                <w:rFonts w:ascii="Cambria Math" w:eastAsiaTheme="minorEastAsia" w:hAnsi="Cambria Math" w:cs="Times New Roman"/>
              </w:rPr>
              <m:t>colony</m:t>
            </m:r>
          </m:sub>
        </m:sSub>
        <m:r>
          <w:rPr>
            <w:rFonts w:ascii="Cambria Math" w:eastAsiaTheme="minorEastAsia" w:hAnsi="Cambria Math" w:cs="Times New Roman"/>
          </w:rPr>
          <m:t>∆t</m:t>
        </m:r>
      </m:oMath>
      <w:r w:rsidR="00E50D2F" w:rsidRPr="005244BD">
        <w:rPr>
          <w:rFonts w:asciiTheme="majorBidi" w:eastAsiaTheme="minorEastAsia" w:hAnsiTheme="majorBidi" w:cstheme="majorBidi"/>
        </w:rPr>
        <w:tab/>
      </w:r>
      <w:r w:rsidR="00E50D2F" w:rsidRPr="005244BD">
        <w:rPr>
          <w:rFonts w:asciiTheme="majorBidi" w:eastAsiaTheme="minorEastAsia" w:hAnsiTheme="majorBidi" w:cstheme="majorBidi"/>
        </w:rPr>
        <w:tab/>
      </w:r>
      <w:r w:rsidR="00D6227E" w:rsidRPr="005244BD">
        <w:rPr>
          <w:rFonts w:asciiTheme="majorBidi" w:eastAsiaTheme="minorEastAsia" w:hAnsiTheme="majorBidi" w:cstheme="majorBidi"/>
          <w:iCs/>
          <w:szCs w:val="18"/>
        </w:rPr>
        <w:t>Eq. 13</w:t>
      </w:r>
    </w:p>
    <w:p w14:paraId="2F2902B2" w14:textId="78ACFDDF" w:rsidR="00DE221C" w:rsidRPr="005244BD" w:rsidRDefault="00FE01D1" w:rsidP="008B4AC0">
      <w:pPr>
        <w:spacing w:line="480" w:lineRule="auto"/>
        <w:jc w:val="both"/>
        <w:rPr>
          <w:rFonts w:ascii="Times New Roman" w:hAnsi="Times New Roman" w:cs="Times New Roman"/>
        </w:rPr>
      </w:pPr>
      <w:r w:rsidRPr="005244BD">
        <w:rPr>
          <w:rFonts w:ascii="Times New Roman" w:hAnsi="Times New Roman" w:cs="Times New Roman"/>
        </w:rPr>
        <w:t xml:space="preserve">where, </w:t>
      </w:r>
      <m:oMath>
        <m:sSubSup>
          <m:sSubSupPr>
            <m:ctrlPr>
              <w:rPr>
                <w:rFonts w:ascii="Cambria Math" w:hAnsi="Cambria Math"/>
                <w:i/>
              </w:rPr>
            </m:ctrlPr>
          </m:sSubSupPr>
          <m:e>
            <m:r>
              <w:rPr>
                <w:rFonts w:ascii="Cambria Math" w:hAnsi="Cambria Math"/>
              </w:rPr>
              <m:t>M</m:t>
            </m:r>
          </m:e>
          <m:sub>
            <m:r>
              <m:rPr>
                <m:sty m:val="p"/>
              </m:rPr>
              <w:rPr>
                <w:rFonts w:ascii="Cambria Math" w:hAnsi="Cambria Math"/>
              </w:rPr>
              <m:t>NAPL</m:t>
            </m:r>
            <m:r>
              <w:rPr>
                <w:rFonts w:ascii="Cambria Math" w:hAnsi="Cambria Math"/>
              </w:rPr>
              <m:t>,i</m:t>
            </m:r>
          </m:sub>
          <m:sup>
            <m:r>
              <w:rPr>
                <w:rFonts w:ascii="Cambria Math" w:hAnsi="Cambria Math"/>
              </w:rPr>
              <m:t>t</m:t>
            </m:r>
          </m:sup>
        </m:sSubSup>
      </m:oMath>
      <w:r w:rsidRPr="005244BD">
        <w:rPr>
          <w:rFonts w:ascii="Times New Roman" w:eastAsiaTheme="minorEastAsia" w:hAnsi="Times New Roman" w:cs="Times New Roman"/>
        </w:rPr>
        <w:t xml:space="preserve"> and </w:t>
      </w:r>
      <m:oMath>
        <m:sSubSup>
          <m:sSubSupPr>
            <m:ctrlPr>
              <w:rPr>
                <w:rFonts w:ascii="Cambria Math" w:hAnsi="Cambria Math"/>
                <w:i/>
              </w:rPr>
            </m:ctrlPr>
          </m:sSubSupPr>
          <m:e>
            <m:r>
              <w:rPr>
                <w:rFonts w:ascii="Cambria Math" w:hAnsi="Cambria Math"/>
              </w:rPr>
              <m:t>M</m:t>
            </m:r>
          </m:e>
          <m:sub>
            <m:r>
              <m:rPr>
                <m:sty m:val="p"/>
              </m:rPr>
              <w:rPr>
                <w:rFonts w:ascii="Cambria Math" w:hAnsi="Cambria Math"/>
              </w:rPr>
              <m:t>NAPL</m:t>
            </m:r>
            <m:r>
              <w:rPr>
                <w:rFonts w:ascii="Cambria Math" w:hAnsi="Cambria Math"/>
              </w:rPr>
              <m:t>,i</m:t>
            </m:r>
          </m:sub>
          <m:sup>
            <m:r>
              <w:rPr>
                <w:rFonts w:ascii="Cambria Math" w:hAnsi="Cambria Math"/>
              </w:rPr>
              <m:t>t+1</m:t>
            </m:r>
          </m:sup>
        </m:sSubSup>
      </m:oMath>
      <w:r w:rsidRPr="005244BD">
        <w:rPr>
          <w:rFonts w:ascii="Times New Roman" w:eastAsiaTheme="minorEastAsia" w:hAnsi="Times New Roman" w:cs="Times New Roman"/>
        </w:rPr>
        <w:t xml:space="preserve"> represent the mass of NAPL in the pore </w:t>
      </w:r>
      <m:oMath>
        <m:r>
          <w:rPr>
            <w:rFonts w:ascii="Cambria Math" w:eastAsiaTheme="minorEastAsia" w:hAnsi="Cambria Math" w:cstheme="majorBidi"/>
          </w:rPr>
          <m:t>i</m:t>
        </m:r>
      </m:oMath>
      <w:r w:rsidR="008372E0" w:rsidRPr="005244BD">
        <w:rPr>
          <w:rFonts w:asciiTheme="majorBidi" w:eastAsiaTheme="minorEastAsia" w:hAnsiTheme="majorBidi" w:cstheme="majorBidi"/>
          <w:vertAlign w:val="superscript"/>
        </w:rPr>
        <w:t>th</w:t>
      </w:r>
      <w:r w:rsidRPr="005244BD">
        <w:rPr>
          <w:rFonts w:ascii="Times New Roman" w:eastAsiaTheme="minorEastAsia" w:hAnsi="Times New Roman" w:cs="Times New Roman"/>
        </w:rPr>
        <w:t xml:space="preserve"> at the times </w:t>
      </w:r>
      <m:oMath>
        <m:r>
          <w:rPr>
            <w:rFonts w:ascii="Cambria Math" w:eastAsiaTheme="minorEastAsia" w:hAnsi="Cambria Math" w:cs="Times New Roman"/>
          </w:rPr>
          <m:t>t</m:t>
        </m:r>
      </m:oMath>
      <w:r w:rsidRPr="005244BD">
        <w:rPr>
          <w:rFonts w:ascii="Times New Roman" w:eastAsiaTheme="minorEastAsia" w:hAnsi="Times New Roman" w:cs="Times New Roman"/>
        </w:rPr>
        <w:t xml:space="preserve"> and </w:t>
      </w:r>
      <m:oMath>
        <m:r>
          <w:rPr>
            <w:rFonts w:ascii="Cambria Math" w:eastAsiaTheme="minorEastAsia" w:hAnsi="Cambria Math" w:cs="Times New Roman"/>
          </w:rPr>
          <m:t>t+1</m:t>
        </m:r>
      </m:oMath>
      <w:r w:rsidRPr="005244BD">
        <w:rPr>
          <w:rFonts w:ascii="Times New Roman" w:eastAsiaTheme="minorEastAsia" w:hAnsi="Times New Roman" w:cs="Times New Roman"/>
        </w:rPr>
        <w:t xml:space="preserve">, </w:t>
      </w:r>
      <m:oMath>
        <m:sSubSup>
          <m:sSubSupPr>
            <m:ctrlPr>
              <w:rPr>
                <w:rFonts w:ascii="Cambria Math" w:eastAsiaTheme="minorEastAsia" w:hAnsi="Cambria Math" w:cs="Times New Roman"/>
                <w:i/>
              </w:rPr>
            </m:ctrlPr>
          </m:sSubSupPr>
          <m:e>
            <m:r>
              <w:rPr>
                <w:rFonts w:ascii="Cambria Math" w:eastAsiaTheme="minorEastAsia" w:hAnsi="Cambria Math" w:cs="Times New Roman"/>
              </w:rPr>
              <m:t>N</m:t>
            </m:r>
          </m:e>
          <m:sub>
            <m:r>
              <m:rPr>
                <m:sty m:val="p"/>
              </m:rPr>
              <w:rPr>
                <w:rFonts w:ascii="Cambria Math" w:eastAsiaTheme="minorEastAsia" w:hAnsi="Cambria Math" w:cs="Times New Roman"/>
              </w:rPr>
              <m:t>colony</m:t>
            </m:r>
            <m:r>
              <w:rPr>
                <w:rFonts w:ascii="Cambria Math" w:eastAsiaTheme="minorEastAsia" w:hAnsi="Cambria Math" w:cs="Times New Roman"/>
              </w:rPr>
              <m:t>,i</m:t>
            </m:r>
          </m:sub>
          <m:sup>
            <m:r>
              <w:rPr>
                <w:rFonts w:ascii="Cambria Math" w:eastAsiaTheme="minorEastAsia" w:hAnsi="Cambria Math" w:cs="Times New Roman"/>
              </w:rPr>
              <m:t>t</m:t>
            </m:r>
          </m:sup>
        </m:sSubSup>
      </m:oMath>
      <w:r w:rsidRPr="005244BD">
        <w:rPr>
          <w:rFonts w:ascii="Times New Roman" w:eastAsiaTheme="minorEastAsia" w:hAnsi="Times New Roman" w:cs="Times New Roman"/>
        </w:rPr>
        <w:t xml:space="preserve"> is the number of micro-colonies occupying the pore </w:t>
      </w:r>
      <m:oMath>
        <m:r>
          <w:rPr>
            <w:rFonts w:ascii="Cambria Math" w:eastAsiaTheme="minorEastAsia" w:hAnsi="Cambria Math" w:cstheme="majorBidi"/>
          </w:rPr>
          <m:t>i</m:t>
        </m:r>
      </m:oMath>
      <w:r w:rsidR="008372E0" w:rsidRPr="005244BD">
        <w:rPr>
          <w:rFonts w:asciiTheme="majorBidi" w:eastAsiaTheme="minorEastAsia" w:hAnsiTheme="majorBidi" w:cstheme="majorBidi"/>
          <w:vertAlign w:val="superscript"/>
        </w:rPr>
        <w:t>th</w:t>
      </w:r>
      <w:r w:rsidRPr="005244BD">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m:rPr>
                <m:sty m:val="p"/>
              </m:rPr>
              <w:rPr>
                <w:rFonts w:ascii="Cambria Math" w:eastAsiaTheme="minorEastAsia" w:hAnsi="Cambria Math" w:cs="Times New Roman"/>
              </w:rPr>
              <m:t>colony</m:t>
            </m:r>
          </m:sub>
        </m:sSub>
      </m:oMath>
      <w:r w:rsidRPr="005244BD">
        <w:rPr>
          <w:rFonts w:ascii="Times New Roman" w:eastAsiaTheme="minorEastAsia" w:hAnsi="Times New Roman" w:cs="Times New Roman"/>
        </w:rPr>
        <w:t xml:space="preserve"> is the volume of each bacteria colony which is assumed constant. In Eq. 13, </w:t>
      </w:r>
      <m:oMath>
        <m:sSub>
          <m:sSubPr>
            <m:ctrlPr>
              <w:rPr>
                <w:rFonts w:ascii="Cambria Math" w:eastAsia="Times New Roman" w:hAnsi="Cambria Math" w:cs="Times New Roman"/>
                <w:i/>
                <w:sz w:val="24"/>
                <w:szCs w:val="18"/>
              </w:rPr>
            </m:ctrlPr>
          </m:sSubPr>
          <m:e>
            <m:r>
              <w:rPr>
                <w:rFonts w:ascii="Cambria Math" w:hAnsi="Cambria Math"/>
                <w:szCs w:val="18"/>
              </w:rPr>
              <m:t>K</m:t>
            </m:r>
          </m:e>
          <m:sub>
            <m:r>
              <m:rPr>
                <m:sty m:val="p"/>
              </m:rPr>
              <w:rPr>
                <w:rFonts w:ascii="Cambria Math" w:hAnsi="Cambria Math"/>
                <w:szCs w:val="18"/>
              </w:rPr>
              <m:t>part</m:t>
            </m:r>
          </m:sub>
        </m:sSub>
        <m:sSub>
          <m:sSubPr>
            <m:ctrlPr>
              <w:rPr>
                <w:rFonts w:ascii="Cambria Math" w:eastAsiaTheme="minorEastAsia" w:hAnsi="Cambria Math" w:cs="Times New Roman"/>
                <w:i/>
              </w:rPr>
            </m:ctrlPr>
          </m:sSubPr>
          <m:e>
            <m:r>
              <w:rPr>
                <w:rFonts w:ascii="Cambria Math" w:eastAsiaTheme="minorEastAsia" w:hAnsi="Cambria Math" w:cs="Times New Roman"/>
              </w:rPr>
              <m:t>C</m:t>
            </m:r>
          </m:e>
          <m:sub>
            <m:r>
              <m:rPr>
                <m:sty m:val="p"/>
              </m:rPr>
              <w:rPr>
                <w:rFonts w:ascii="Cambria Math" w:eastAsiaTheme="minorEastAsia" w:hAnsi="Cambria Math" w:cs="Times New Roman"/>
              </w:rPr>
              <m:t>NAPL</m:t>
            </m:r>
          </m:sub>
        </m:sSub>
      </m:oMath>
      <w:r w:rsidRPr="005244BD">
        <w:rPr>
          <w:rFonts w:ascii="Times New Roman" w:eastAsiaTheme="minorEastAsia" w:hAnsi="Times New Roman" w:cs="Times New Roman"/>
        </w:rPr>
        <w:t xml:space="preserve"> is the concentration</w:t>
      </w:r>
      <w:r w:rsidR="00BA2BCB" w:rsidRPr="005244BD">
        <w:rPr>
          <w:rFonts w:ascii="Times New Roman" w:eastAsiaTheme="minorEastAsia" w:hAnsi="Times New Roman" w:cs="Times New Roman"/>
        </w:rPr>
        <w:t xml:space="preserve"> in</w:t>
      </w:r>
      <w:r w:rsidRPr="005244BD">
        <w:rPr>
          <w:rFonts w:ascii="Times New Roman" w:eastAsiaTheme="minorEastAsia" w:hAnsi="Times New Roman" w:cs="Times New Roman"/>
        </w:rPr>
        <w:t xml:space="preserve"> the thermodynamic equilibrium in the biofilm phase</w:t>
      </w:r>
      <w:r w:rsidR="00BF5063" w:rsidRPr="005244BD">
        <w:rPr>
          <w:rFonts w:ascii="Times New Roman" w:eastAsiaTheme="minorEastAsia" w:hAnsi="Times New Roman" w:cs="Times New Roman"/>
        </w:rPr>
        <w:t xml:space="preserve"> in which </w:t>
      </w:r>
      <m:oMath>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NAPL</m:t>
            </m:r>
          </m:sub>
        </m:sSub>
      </m:oMath>
      <w:r w:rsidR="00BF5063" w:rsidRPr="005244BD">
        <w:rPr>
          <w:rFonts w:ascii="Times New Roman" w:eastAsiaTheme="minorEastAsia" w:hAnsi="Times New Roman" w:cs="Times New Roman"/>
        </w:rPr>
        <w:t xml:space="preserve"> is</w:t>
      </w:r>
      <w:r w:rsidR="00BF5063" w:rsidRPr="005244BD">
        <w:t xml:space="preserve"> </w:t>
      </w:r>
      <w:r w:rsidR="00BF5063" w:rsidRPr="005244BD">
        <w:rPr>
          <w:rFonts w:ascii="Times New Roman" w:eastAsiaTheme="minorEastAsia" w:hAnsi="Times New Roman" w:cs="Times New Roman"/>
        </w:rPr>
        <w:t xml:space="preserve">the mass concentration of pure NAPL and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m:rPr>
                <m:sty m:val="p"/>
              </m:rPr>
              <w:rPr>
                <w:rFonts w:ascii="Cambria Math" w:eastAsiaTheme="minorEastAsia" w:hAnsi="Cambria Math" w:cs="Times New Roman"/>
              </w:rPr>
              <m:t>part</m:t>
            </m:r>
          </m:sub>
        </m:sSub>
      </m:oMath>
      <w:r w:rsidR="00BF5063" w:rsidRPr="005244BD">
        <w:rPr>
          <w:rFonts w:ascii="Times New Roman" w:eastAsiaTheme="minorEastAsia" w:hAnsi="Times New Roman" w:cs="Times New Roman"/>
        </w:rPr>
        <w:t xml:space="preserve"> is the partitioning coefficient between the NAPL and the biofilm phase</w:t>
      </w:r>
      <w:r w:rsidRPr="005244BD">
        <w:rPr>
          <w:rFonts w:ascii="Times New Roman" w:eastAsiaTheme="minorEastAsia" w:hAnsi="Times New Roman" w:cs="Times New Roman"/>
        </w:rPr>
        <w:t xml:space="preserve">. </w:t>
      </w:r>
      <w:r w:rsidR="00BF5063" w:rsidRPr="005244BD">
        <w:rPr>
          <w:rFonts w:ascii="Times New Roman" w:eastAsiaTheme="minorEastAsia" w:hAnsi="Times New Roman" w:cs="Times New Roman"/>
        </w:rPr>
        <w:t xml:space="preserve">Although </w:t>
      </w:r>
      <m:oMath>
        <m:sSub>
          <m:sSubPr>
            <m:ctrlPr>
              <w:rPr>
                <w:rFonts w:ascii="Cambria Math" w:eastAsia="Times New Roman" w:hAnsi="Cambria Math" w:cs="Times New Roman"/>
                <w:i/>
                <w:sz w:val="24"/>
                <w:szCs w:val="18"/>
              </w:rPr>
            </m:ctrlPr>
          </m:sSubPr>
          <m:e>
            <m:r>
              <w:rPr>
                <w:rFonts w:ascii="Cambria Math" w:hAnsi="Cambria Math"/>
                <w:szCs w:val="18"/>
              </w:rPr>
              <m:t>K</m:t>
            </m:r>
          </m:e>
          <m:sub>
            <m:r>
              <m:rPr>
                <m:sty m:val="p"/>
              </m:rPr>
              <w:rPr>
                <w:rFonts w:ascii="Cambria Math" w:hAnsi="Cambria Math"/>
                <w:szCs w:val="18"/>
              </w:rPr>
              <m:t>part</m:t>
            </m:r>
          </m:sub>
        </m:sSub>
        <m:sSub>
          <m:sSubPr>
            <m:ctrlPr>
              <w:rPr>
                <w:rFonts w:ascii="Cambria Math" w:eastAsiaTheme="minorEastAsia" w:hAnsi="Cambria Math" w:cs="Times New Roman"/>
                <w:i/>
              </w:rPr>
            </m:ctrlPr>
          </m:sSubPr>
          <m:e>
            <m:r>
              <w:rPr>
                <w:rFonts w:ascii="Cambria Math" w:eastAsiaTheme="minorEastAsia" w:hAnsi="Cambria Math" w:cs="Times New Roman"/>
              </w:rPr>
              <m:t>C</m:t>
            </m:r>
          </m:e>
          <m:sub>
            <m:r>
              <m:rPr>
                <m:sty m:val="p"/>
              </m:rPr>
              <w:rPr>
                <w:rFonts w:ascii="Cambria Math" w:eastAsiaTheme="minorEastAsia" w:hAnsi="Cambria Math" w:cs="Times New Roman"/>
              </w:rPr>
              <m:t>NAPL</m:t>
            </m:r>
          </m:sub>
        </m:sSub>
      </m:oMath>
      <w:r w:rsidR="00BF5063" w:rsidRPr="005244BD">
        <w:rPr>
          <w:rFonts w:ascii="Times New Roman" w:eastAsiaTheme="minorEastAsia" w:hAnsi="Times New Roman" w:cs="Times New Roman"/>
        </w:rPr>
        <w:t xml:space="preserve"> is not necessarily equal to </w:t>
      </w:r>
      <m:oMath>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s</m:t>
            </m:r>
          </m:sub>
        </m:sSub>
      </m:oMath>
      <w:r w:rsidR="00BF5063" w:rsidRPr="005244BD">
        <w:rPr>
          <w:rFonts w:ascii="Times New Roman" w:eastAsiaTheme="minorEastAsia" w:hAnsi="Times New Roman" w:cs="Times New Roman"/>
        </w:rPr>
        <w:t xml:space="preserve"> when bio-surfactant is produced, for sake of simplicity, </w:t>
      </w: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i</m:t>
            </m:r>
          </m:sub>
        </m:sSub>
        <m:d>
          <m:dPr>
            <m:ctrlPr>
              <w:rPr>
                <w:rFonts w:ascii="Cambria Math" w:eastAsiaTheme="minorEastAsia" w:hAnsi="Cambria Math" w:cs="Times New Roman"/>
                <w:i/>
              </w:rPr>
            </m:ctrlPr>
          </m:dPr>
          <m:e>
            <m:sSub>
              <m:sSubPr>
                <m:ctrlPr>
                  <w:rPr>
                    <w:rFonts w:ascii="Cambria Math" w:eastAsia="Times New Roman" w:hAnsi="Cambria Math" w:cs="Times New Roman"/>
                    <w:i/>
                    <w:sz w:val="24"/>
                    <w:szCs w:val="18"/>
                  </w:rPr>
                </m:ctrlPr>
              </m:sSubPr>
              <m:e>
                <m:r>
                  <w:rPr>
                    <w:rFonts w:ascii="Cambria Math" w:hAnsi="Cambria Math"/>
                    <w:szCs w:val="18"/>
                  </w:rPr>
                  <m:t>K</m:t>
                </m:r>
              </m:e>
              <m:sub>
                <m:r>
                  <m:rPr>
                    <m:sty m:val="p"/>
                  </m:rPr>
                  <w:rPr>
                    <w:rFonts w:ascii="Cambria Math" w:hAnsi="Cambria Math"/>
                    <w:szCs w:val="18"/>
                  </w:rPr>
                  <m:t>part</m:t>
                </m:r>
              </m:sub>
            </m:sSub>
            <m:sSub>
              <m:sSubPr>
                <m:ctrlPr>
                  <w:rPr>
                    <w:rFonts w:ascii="Cambria Math" w:eastAsiaTheme="minorEastAsia" w:hAnsi="Cambria Math" w:cs="Times New Roman"/>
                    <w:i/>
                  </w:rPr>
                </m:ctrlPr>
              </m:sSubPr>
              <m:e>
                <m:r>
                  <w:rPr>
                    <w:rFonts w:ascii="Cambria Math" w:eastAsiaTheme="minorEastAsia" w:hAnsi="Cambria Math" w:cs="Times New Roman"/>
                  </w:rPr>
                  <m:t>C</m:t>
                </m:r>
              </m:e>
              <m:sub>
                <m:r>
                  <m:rPr>
                    <m:sty m:val="p"/>
                  </m:rPr>
                  <w:rPr>
                    <w:rFonts w:ascii="Cambria Math" w:eastAsiaTheme="minorEastAsia" w:hAnsi="Cambria Math" w:cs="Times New Roman"/>
                  </w:rPr>
                  <m:t>NAPL</m:t>
                </m:r>
              </m:sub>
            </m:sSub>
          </m:e>
        </m:d>
      </m:oMath>
      <w:r w:rsidR="008B4AC0" w:rsidRPr="005244BD">
        <w:rPr>
          <w:rFonts w:ascii="Times New Roman" w:eastAsiaTheme="minorEastAsia" w:hAnsi="Times New Roman" w:cs="Times New Roman"/>
        </w:rPr>
        <w:t xml:space="preserve"> is calculated using Eq. 9. </w:t>
      </w:r>
      <w:r w:rsidR="00163FAA" w:rsidRPr="005244BD">
        <w:rPr>
          <w:rFonts w:ascii="Times New Roman" w:eastAsiaTheme="minorEastAsia" w:hAnsi="Times New Roman" w:cs="Times New Roman"/>
        </w:rPr>
        <w:t xml:space="preserve">The growth of micro-colonies is predicted </w:t>
      </w:r>
      <w:r w:rsidR="00DE221C" w:rsidRPr="005244BD">
        <w:rPr>
          <w:rFonts w:ascii="Times New Roman" w:eastAsiaTheme="minorEastAsia" w:hAnsi="Times New Roman" w:cs="Times New Roman"/>
        </w:rPr>
        <w:t xml:space="preserve">using Eq. 14 and </w:t>
      </w:r>
      <w:r w:rsidR="00DE221C" w:rsidRPr="005244BD">
        <w:rPr>
          <w:rFonts w:ascii="Times New Roman" w:hAnsi="Times New Roman" w:cs="Times New Roman"/>
        </w:rPr>
        <w:t>as the number of micro-colonies increases, the radius of NAPL-filled pores decreases and must be updated using Eq. 15.</w:t>
      </w:r>
      <w:r w:rsidR="006305FB" w:rsidRPr="005244BD">
        <w:rPr>
          <w:rFonts w:ascii="Times New Roman" w:hAnsi="Times New Roman" w:cs="Times New Roman"/>
        </w:rPr>
        <w:t xml:space="preserve"> It is assumed that the reduction of NAPL-volume is roughly equal to the increase of biomass volume in the NAPL-filled pores.</w:t>
      </w:r>
    </w:p>
    <w:p w14:paraId="52866E75" w14:textId="0E542886" w:rsidR="00163FAA" w:rsidRPr="005244BD" w:rsidRDefault="007E5EE0" w:rsidP="00E50D2F">
      <w:pPr>
        <w:spacing w:line="480" w:lineRule="auto"/>
        <w:jc w:val="center"/>
        <w:rPr>
          <w:rFonts w:asciiTheme="majorBidi" w:eastAsiaTheme="minorEastAsia" w:hAnsiTheme="majorBidi" w:cstheme="majorBidi"/>
          <w:iCs/>
          <w:szCs w:val="18"/>
        </w:rPr>
      </w:pPr>
      <m:oMath>
        <m:sSubSup>
          <m:sSubSupPr>
            <m:ctrlPr>
              <w:rPr>
                <w:rFonts w:ascii="Cambria Math" w:eastAsiaTheme="minorEastAsia" w:hAnsi="Cambria Math" w:cs="Times New Roman"/>
                <w:i/>
              </w:rPr>
            </m:ctrlPr>
          </m:sSubSupPr>
          <m:e>
            <m:r>
              <w:rPr>
                <w:rFonts w:ascii="Cambria Math" w:eastAsiaTheme="minorEastAsia" w:hAnsi="Cambria Math" w:cs="Times New Roman"/>
              </w:rPr>
              <m:t>N</m:t>
            </m:r>
          </m:e>
          <m:sub>
            <m:r>
              <m:rPr>
                <m:sty m:val="p"/>
              </m:rPr>
              <w:rPr>
                <w:rFonts w:ascii="Cambria Math" w:eastAsiaTheme="minorEastAsia" w:hAnsi="Cambria Math" w:cs="Times New Roman"/>
              </w:rPr>
              <m:t>colony</m:t>
            </m:r>
            <m:r>
              <w:rPr>
                <w:rFonts w:ascii="Cambria Math" w:eastAsiaTheme="minorEastAsia" w:hAnsi="Cambria Math" w:cs="Times New Roman"/>
              </w:rPr>
              <m:t>,i</m:t>
            </m:r>
          </m:sub>
          <m:sup>
            <m:r>
              <w:rPr>
                <w:rFonts w:ascii="Cambria Math" w:eastAsiaTheme="minorEastAsia" w:hAnsi="Cambria Math" w:cs="Times New Roman"/>
              </w:rPr>
              <m:t>t+1</m:t>
            </m:r>
          </m:sup>
        </m:sSubSup>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N</m:t>
            </m:r>
          </m:e>
          <m:sub>
            <m:r>
              <m:rPr>
                <m:sty m:val="p"/>
              </m:rPr>
              <w:rPr>
                <w:rFonts w:ascii="Cambria Math" w:eastAsiaTheme="minorEastAsia" w:hAnsi="Cambria Math" w:cs="Times New Roman"/>
              </w:rPr>
              <m:t>colony</m:t>
            </m:r>
            <m:r>
              <w:rPr>
                <w:rFonts w:ascii="Cambria Math" w:eastAsiaTheme="minorEastAsia" w:hAnsi="Cambria Math" w:cs="Times New Roman"/>
              </w:rPr>
              <m:t>,i</m:t>
            </m:r>
          </m:sub>
          <m:sup>
            <m:r>
              <w:rPr>
                <w:rFonts w:ascii="Cambria Math" w:eastAsiaTheme="minorEastAsia" w:hAnsi="Cambria Math" w:cs="Times New Roman"/>
              </w:rPr>
              <m:t>t</m:t>
            </m:r>
          </m:sup>
        </m:sSubSup>
        <m:r>
          <w:rPr>
            <w:rFonts w:ascii="Cambria Math" w:eastAsiaTheme="minorEastAsia" w:hAnsi="Cambria Math" w:cs="Times New Roman"/>
          </w:rPr>
          <m:t>+</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i</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K</m:t>
                    </m:r>
                  </m:e>
                  <m:sub>
                    <m:r>
                      <m:rPr>
                        <m:sty m:val="p"/>
                      </m:rPr>
                      <w:rPr>
                        <w:rFonts w:ascii="Cambria Math" w:eastAsiaTheme="minorEastAsia" w:hAnsi="Cambria Math" w:cs="Times New Roman"/>
                      </w:rPr>
                      <m:t>part</m:t>
                    </m:r>
                  </m:sub>
                </m:sSub>
                <m:sSub>
                  <m:sSubPr>
                    <m:ctrlPr>
                      <w:rPr>
                        <w:rFonts w:ascii="Cambria Math" w:eastAsiaTheme="minorEastAsia" w:hAnsi="Cambria Math" w:cs="Times New Roman"/>
                        <w:i/>
                      </w:rPr>
                    </m:ctrlPr>
                  </m:sSubPr>
                  <m:e>
                    <m:r>
                      <w:rPr>
                        <w:rFonts w:ascii="Cambria Math" w:eastAsiaTheme="minorEastAsia" w:hAnsi="Cambria Math" w:cs="Times New Roman"/>
                      </w:rPr>
                      <m:t>C</m:t>
                    </m:r>
                  </m:e>
                  <m:sub>
                    <m:r>
                      <m:rPr>
                        <m:sty m:val="p"/>
                      </m:rPr>
                      <w:rPr>
                        <w:rFonts w:ascii="Cambria Math" w:eastAsiaTheme="minorEastAsia" w:hAnsi="Cambria Math" w:cs="Times New Roman"/>
                      </w:rPr>
                      <m:t>NAPL</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m:rPr>
                    <m:sty m:val="p"/>
                  </m:rPr>
                  <w:rPr>
                    <w:rFonts w:ascii="Cambria Math" w:eastAsiaTheme="minorEastAsia" w:hAnsi="Cambria Math" w:cs="Times New Roman"/>
                  </w:rPr>
                  <m:t>ext</m:t>
                </m:r>
              </m:sub>
            </m:sSub>
          </m:e>
        </m:d>
        <m:sSubSup>
          <m:sSubSupPr>
            <m:ctrlPr>
              <w:rPr>
                <w:rFonts w:ascii="Cambria Math" w:eastAsiaTheme="minorEastAsia" w:hAnsi="Cambria Math" w:cs="Times New Roman"/>
                <w:i/>
              </w:rPr>
            </m:ctrlPr>
          </m:sSubSupPr>
          <m:e>
            <m:r>
              <w:rPr>
                <w:rFonts w:ascii="Cambria Math" w:eastAsiaTheme="minorEastAsia" w:hAnsi="Cambria Math" w:cs="Times New Roman"/>
              </w:rPr>
              <m:t>N</m:t>
            </m:r>
          </m:e>
          <m:sub>
            <m:r>
              <m:rPr>
                <m:sty m:val="p"/>
              </m:rPr>
              <w:rPr>
                <w:rFonts w:ascii="Cambria Math" w:eastAsiaTheme="minorEastAsia" w:hAnsi="Cambria Math" w:cs="Times New Roman"/>
              </w:rPr>
              <m:t>colony</m:t>
            </m:r>
            <m:r>
              <w:rPr>
                <w:rFonts w:ascii="Cambria Math" w:eastAsiaTheme="minorEastAsia" w:hAnsi="Cambria Math" w:cs="Times New Roman"/>
              </w:rPr>
              <m:t>,i</m:t>
            </m:r>
          </m:sub>
          <m:sup>
            <m:r>
              <w:rPr>
                <w:rFonts w:ascii="Cambria Math" w:eastAsiaTheme="minorEastAsia" w:hAnsi="Cambria Math" w:cs="Times New Roman"/>
              </w:rPr>
              <m:t>t</m:t>
            </m:r>
          </m:sup>
        </m:sSubSup>
        <m:r>
          <w:rPr>
            <w:rFonts w:ascii="Cambria Math" w:eastAsiaTheme="minorEastAsia" w:hAnsi="Cambria Math" w:cs="Times New Roman"/>
          </w:rPr>
          <m:t>∆t</m:t>
        </m:r>
      </m:oMath>
      <w:r w:rsidR="00E50D2F" w:rsidRPr="005244BD">
        <w:rPr>
          <w:rFonts w:asciiTheme="majorBidi" w:eastAsiaTheme="minorEastAsia" w:hAnsiTheme="majorBidi" w:cstheme="majorBidi"/>
        </w:rPr>
        <w:tab/>
      </w:r>
      <w:r w:rsidR="00E50D2F" w:rsidRPr="005244BD">
        <w:rPr>
          <w:rFonts w:asciiTheme="majorBidi" w:eastAsiaTheme="minorEastAsia" w:hAnsiTheme="majorBidi" w:cstheme="majorBidi"/>
        </w:rPr>
        <w:tab/>
      </w:r>
      <w:r w:rsidR="00E50D2F" w:rsidRPr="005244BD">
        <w:rPr>
          <w:rFonts w:asciiTheme="majorBidi" w:eastAsiaTheme="minorEastAsia" w:hAnsiTheme="majorBidi" w:cstheme="majorBidi"/>
        </w:rPr>
        <w:tab/>
      </w:r>
      <w:r w:rsidR="00163FAA" w:rsidRPr="005244BD">
        <w:rPr>
          <w:rFonts w:asciiTheme="majorBidi" w:eastAsiaTheme="minorEastAsia" w:hAnsiTheme="majorBidi" w:cstheme="majorBidi"/>
          <w:iCs/>
          <w:szCs w:val="18"/>
        </w:rPr>
        <w:t>Eq. 14</w:t>
      </w:r>
    </w:p>
    <w:p w14:paraId="58F18BD8" w14:textId="77777777" w:rsidR="00DE221C" w:rsidRPr="005244BD" w:rsidRDefault="00DE221C" w:rsidP="00163FAA">
      <w:pPr>
        <w:spacing w:line="240" w:lineRule="auto"/>
        <w:jc w:val="right"/>
        <w:rPr>
          <w:rFonts w:asciiTheme="majorBidi" w:eastAsiaTheme="minorEastAsia" w:hAnsiTheme="majorBidi" w:cstheme="majorBidi"/>
          <w:iCs/>
          <w:szCs w:val="18"/>
        </w:rPr>
      </w:pPr>
    </w:p>
    <w:p w14:paraId="4B001448" w14:textId="600F66DE" w:rsidR="00653A12" w:rsidRPr="005244BD" w:rsidRDefault="007E5EE0" w:rsidP="00E50D2F">
      <w:pPr>
        <w:spacing w:line="480" w:lineRule="auto"/>
        <w:jc w:val="center"/>
        <w:rPr>
          <w:rFonts w:asciiTheme="majorBidi" w:eastAsiaTheme="minorEastAsia" w:hAnsiTheme="majorBidi" w:cstheme="majorBidi"/>
          <w:iCs/>
          <w:szCs w:val="18"/>
        </w:rPr>
      </w:pPr>
      <m:oMath>
        <m:sSubSup>
          <m:sSubSupPr>
            <m:ctrlPr>
              <w:rPr>
                <w:rFonts w:ascii="Cambria Math" w:hAnsi="Cambria Math"/>
                <w:i/>
              </w:rPr>
            </m:ctrlPr>
          </m:sSubSupPr>
          <m:e>
            <m:r>
              <w:rPr>
                <w:rFonts w:ascii="Cambria Math" w:hAnsi="Cambria Math"/>
              </w:rPr>
              <m:t>r</m:t>
            </m:r>
          </m:e>
          <m:sub>
            <m:r>
              <m:rPr>
                <m:sty m:val="p"/>
              </m:rPr>
              <w:rPr>
                <w:rFonts w:ascii="Cambria Math" w:hAnsi="Cambria Math"/>
              </w:rPr>
              <m:t>NAPL-filled pore</m:t>
            </m:r>
            <m:r>
              <w:rPr>
                <w:rFonts w:ascii="Cambria Math" w:hAnsi="Cambria Math"/>
              </w:rPr>
              <m:t>,i</m:t>
            </m:r>
          </m:sub>
          <m:sup>
            <m:r>
              <w:rPr>
                <w:rFonts w:ascii="Cambria Math" w:hAnsi="Cambria Math"/>
              </w:rPr>
              <m:t>t+1</m:t>
            </m:r>
          </m:sup>
        </m:sSub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sSubSup>
                      <m:sSubSupPr>
                        <m:ctrlPr>
                          <w:rPr>
                            <w:rFonts w:ascii="Cambria Math" w:hAnsi="Cambria Math"/>
                            <w:i/>
                          </w:rPr>
                        </m:ctrlPr>
                      </m:sSubSupPr>
                      <m:e>
                        <m:r>
                          <w:rPr>
                            <w:rFonts w:ascii="Cambria Math" w:hAnsi="Cambria Math"/>
                          </w:rPr>
                          <m:t>(r</m:t>
                        </m:r>
                      </m:e>
                      <m:sub>
                        <m:r>
                          <m:rPr>
                            <m:sty m:val="p"/>
                          </m:rPr>
                          <w:rPr>
                            <w:rFonts w:ascii="Cambria Math" w:eastAsiaTheme="minorEastAsia" w:hAnsi="Cambria Math" w:cstheme="majorBidi"/>
                            <w:szCs w:val="18"/>
                          </w:rPr>
                          <m:t>NAPL</m:t>
                        </m:r>
                        <m:r>
                          <m:rPr>
                            <m:sty m:val="p"/>
                          </m:rPr>
                          <w:rPr>
                            <w:rFonts w:ascii="Cambria Math" w:hAnsi="Cambria Math"/>
                          </w:rPr>
                          <m:t>-filled pore</m:t>
                        </m:r>
                        <m:r>
                          <w:rPr>
                            <w:rFonts w:ascii="Cambria Math" w:hAnsi="Cambria Math"/>
                          </w:rPr>
                          <m:t>,i</m:t>
                        </m:r>
                      </m:sub>
                      <m:sup>
                        <m:r>
                          <w:rPr>
                            <w:rFonts w:ascii="Cambria Math" w:hAnsi="Cambria Math"/>
                          </w:rPr>
                          <m:t>t=0</m:t>
                        </m:r>
                      </m:sup>
                    </m:sSubSup>
                    <m:r>
                      <w:rPr>
                        <w:rFonts w:ascii="Cambria Math" w:hAnsi="Cambria Math"/>
                      </w:rPr>
                      <m:t>)</m:t>
                    </m:r>
                  </m:e>
                  <m:sup>
                    <m:r>
                      <w:rPr>
                        <w:rFonts w:ascii="Cambria Math" w:hAnsi="Cambria Math"/>
                      </w:rPr>
                      <m:t>3</m:t>
                    </m:r>
                  </m:sup>
                </m:sSup>
                <m:r>
                  <w:rPr>
                    <w:rFonts w:ascii="Cambria Math" w:hAnsi="Cambria Math"/>
                  </w:rPr>
                  <m:t>-</m:t>
                </m:r>
                <m:f>
                  <m:fPr>
                    <m:ctrlPr>
                      <w:rPr>
                        <w:rFonts w:ascii="Cambria Math" w:hAnsi="Cambria Math"/>
                        <w:i/>
                      </w:rPr>
                    </m:ctrlPr>
                  </m:fPr>
                  <m:num>
                    <m:sSubSup>
                      <m:sSubSupPr>
                        <m:ctrlPr>
                          <w:rPr>
                            <w:rFonts w:ascii="Cambria Math" w:eastAsiaTheme="minorEastAsia" w:hAnsi="Cambria Math" w:cs="Times New Roman"/>
                            <w:i/>
                          </w:rPr>
                        </m:ctrlPr>
                      </m:sSubSupPr>
                      <m:e>
                        <m:r>
                          <w:rPr>
                            <w:rFonts w:ascii="Cambria Math" w:eastAsiaTheme="minorEastAsia" w:hAnsi="Cambria Math" w:cs="Times New Roman"/>
                          </w:rPr>
                          <m:t>N</m:t>
                        </m:r>
                      </m:e>
                      <m:sub>
                        <m:r>
                          <m:rPr>
                            <m:sty m:val="p"/>
                          </m:rPr>
                          <w:rPr>
                            <w:rFonts w:ascii="Cambria Math" w:eastAsiaTheme="minorEastAsia" w:hAnsi="Cambria Math" w:cs="Times New Roman"/>
                          </w:rPr>
                          <m:t>colony</m:t>
                        </m:r>
                        <m:r>
                          <w:rPr>
                            <w:rFonts w:ascii="Cambria Math" w:eastAsiaTheme="minorEastAsia" w:hAnsi="Cambria Math" w:cs="Times New Roman"/>
                          </w:rPr>
                          <m:t>,i</m:t>
                        </m:r>
                      </m:sub>
                      <m:sup>
                        <m:r>
                          <w:rPr>
                            <w:rFonts w:ascii="Cambria Math" w:eastAsiaTheme="minorEastAsia" w:hAnsi="Cambria Math" w:cs="Times New Roman"/>
                          </w:rPr>
                          <m:t>t+1</m:t>
                        </m:r>
                      </m:sup>
                    </m:sSubSup>
                    <m:sSub>
                      <m:sSubPr>
                        <m:ctrlPr>
                          <w:rPr>
                            <w:rFonts w:ascii="Cambria Math" w:eastAsiaTheme="minorEastAsia" w:hAnsi="Cambria Math" w:cs="Times New Roman"/>
                            <w:i/>
                          </w:rPr>
                        </m:ctrlPr>
                      </m:sSubPr>
                      <m:e>
                        <m:r>
                          <w:rPr>
                            <w:rFonts w:ascii="Cambria Math" w:eastAsiaTheme="minorEastAsia" w:hAnsi="Cambria Math" w:cs="Times New Roman"/>
                          </w:rPr>
                          <m:t>V</m:t>
                        </m:r>
                      </m:e>
                      <m:sub>
                        <m:r>
                          <m:rPr>
                            <m:sty m:val="p"/>
                          </m:rPr>
                          <w:rPr>
                            <w:rFonts w:ascii="Cambria Math" w:eastAsiaTheme="minorEastAsia" w:hAnsi="Cambria Math" w:cs="Times New Roman"/>
                          </w:rPr>
                          <m:t>colony</m:t>
                        </m:r>
                      </m:sub>
                    </m:sSub>
                  </m:num>
                  <m:den>
                    <m:f>
                      <m:fPr>
                        <m:type m:val="lin"/>
                        <m:ctrlPr>
                          <w:rPr>
                            <w:rFonts w:ascii="Cambria Math" w:hAnsi="Cambria Math"/>
                            <w:i/>
                          </w:rPr>
                        </m:ctrlPr>
                      </m:fPr>
                      <m:num>
                        <m:r>
                          <w:rPr>
                            <w:rFonts w:ascii="Cambria Math" w:hAnsi="Cambria Math"/>
                          </w:rPr>
                          <m:t>4π</m:t>
                        </m:r>
                      </m:num>
                      <m:den>
                        <m:r>
                          <w:rPr>
                            <w:rFonts w:ascii="Cambria Math" w:hAnsi="Cambria Math"/>
                          </w:rPr>
                          <m:t>3</m:t>
                        </m:r>
                      </m:den>
                    </m:f>
                  </m:den>
                </m:f>
              </m:e>
            </m:d>
          </m:e>
          <m:sup>
            <m:f>
              <m:fPr>
                <m:type m:val="lin"/>
                <m:ctrlPr>
                  <w:rPr>
                    <w:rFonts w:ascii="Cambria Math" w:hAnsi="Cambria Math"/>
                    <w:i/>
                  </w:rPr>
                </m:ctrlPr>
              </m:fPr>
              <m:num>
                <m:r>
                  <w:rPr>
                    <w:rFonts w:ascii="Cambria Math" w:hAnsi="Cambria Math"/>
                  </w:rPr>
                  <m:t>1</m:t>
                </m:r>
              </m:num>
              <m:den>
                <m:r>
                  <w:rPr>
                    <w:rFonts w:ascii="Cambria Math" w:hAnsi="Cambria Math"/>
                  </w:rPr>
                  <m:t>3</m:t>
                </m:r>
              </m:den>
            </m:f>
          </m:sup>
        </m:sSup>
      </m:oMath>
      <w:r w:rsidR="00E50D2F" w:rsidRPr="005244BD">
        <w:rPr>
          <w:rFonts w:asciiTheme="majorBidi" w:eastAsiaTheme="minorEastAsia" w:hAnsiTheme="majorBidi" w:cstheme="majorBidi"/>
        </w:rPr>
        <w:tab/>
      </w:r>
      <w:r w:rsidR="00E50D2F" w:rsidRPr="005244BD">
        <w:rPr>
          <w:rFonts w:asciiTheme="majorBidi" w:eastAsiaTheme="minorEastAsia" w:hAnsiTheme="majorBidi" w:cstheme="majorBidi"/>
        </w:rPr>
        <w:tab/>
      </w:r>
      <w:r w:rsidR="00E50D2F" w:rsidRPr="005244BD">
        <w:rPr>
          <w:rFonts w:asciiTheme="majorBidi" w:eastAsiaTheme="minorEastAsia" w:hAnsiTheme="majorBidi" w:cstheme="majorBidi"/>
        </w:rPr>
        <w:tab/>
      </w:r>
      <w:r w:rsidR="005106C3" w:rsidRPr="005244BD">
        <w:rPr>
          <w:rFonts w:asciiTheme="majorBidi" w:eastAsiaTheme="minorEastAsia" w:hAnsiTheme="majorBidi" w:cstheme="majorBidi"/>
          <w:iCs/>
          <w:szCs w:val="18"/>
        </w:rPr>
        <w:t>Eq. 15</w:t>
      </w:r>
    </w:p>
    <w:p w14:paraId="34E120CB" w14:textId="590434DB" w:rsidR="007743BF" w:rsidRPr="005244BD" w:rsidRDefault="005106C3" w:rsidP="005106C3">
      <w:pPr>
        <w:pStyle w:val="Heading2"/>
        <w:rPr>
          <w:rFonts w:asciiTheme="majorBidi" w:hAnsiTheme="majorBidi"/>
          <w:sz w:val="24"/>
          <w:szCs w:val="24"/>
        </w:rPr>
      </w:pPr>
      <w:r w:rsidRPr="005244BD">
        <w:rPr>
          <w:rFonts w:asciiTheme="majorBidi" w:hAnsiTheme="majorBidi"/>
          <w:sz w:val="24"/>
          <w:szCs w:val="24"/>
        </w:rPr>
        <w:t>2.2.</w:t>
      </w:r>
      <w:r w:rsidR="007743BF" w:rsidRPr="005244BD">
        <w:rPr>
          <w:rFonts w:asciiTheme="majorBidi" w:hAnsiTheme="majorBidi"/>
          <w:sz w:val="24"/>
          <w:szCs w:val="24"/>
        </w:rPr>
        <w:t xml:space="preserve"> Simulation </w:t>
      </w:r>
      <w:r w:rsidRPr="005244BD">
        <w:rPr>
          <w:rFonts w:asciiTheme="majorBidi" w:hAnsiTheme="majorBidi"/>
          <w:sz w:val="24"/>
          <w:szCs w:val="24"/>
        </w:rPr>
        <w:t>p</w:t>
      </w:r>
      <w:r w:rsidR="007743BF" w:rsidRPr="005244BD">
        <w:rPr>
          <w:rFonts w:asciiTheme="majorBidi" w:hAnsiTheme="majorBidi"/>
          <w:sz w:val="24"/>
          <w:szCs w:val="24"/>
        </w:rPr>
        <w:t>arameters</w:t>
      </w:r>
    </w:p>
    <w:p w14:paraId="470FFEA3" w14:textId="07988B34" w:rsidR="005106C3" w:rsidRPr="005244BD" w:rsidRDefault="005106C3" w:rsidP="005106C3">
      <w:pPr>
        <w:pStyle w:val="Heading3"/>
        <w:spacing w:after="240"/>
        <w:rPr>
          <w:rFonts w:asciiTheme="majorBidi" w:hAnsiTheme="majorBidi"/>
          <w:b w:val="0"/>
          <w:bCs w:val="0"/>
        </w:rPr>
      </w:pPr>
      <w:r w:rsidRPr="005244BD">
        <w:rPr>
          <w:rFonts w:asciiTheme="majorBidi" w:hAnsiTheme="majorBidi"/>
          <w:b w:val="0"/>
          <w:bCs w:val="0"/>
        </w:rPr>
        <w:t>2.2.1. Properties of pore networks</w:t>
      </w:r>
    </w:p>
    <w:p w14:paraId="3C712818" w14:textId="12405944" w:rsidR="00B75A58" w:rsidRPr="005244BD" w:rsidRDefault="00116552" w:rsidP="00C82010">
      <w:pPr>
        <w:spacing w:after="0" w:line="480" w:lineRule="auto"/>
        <w:jc w:val="both"/>
        <w:rPr>
          <w:rFonts w:asciiTheme="majorBidi" w:eastAsiaTheme="minorEastAsia" w:hAnsiTheme="majorBidi" w:cstheme="majorBidi"/>
          <w:iCs/>
          <w:szCs w:val="18"/>
        </w:rPr>
      </w:pPr>
      <w:bookmarkStart w:id="5" w:name="_Ref1280756"/>
      <w:r w:rsidRPr="005244BD">
        <w:rPr>
          <w:rFonts w:asciiTheme="majorBidi" w:hAnsiTheme="majorBidi" w:cstheme="majorBidi"/>
        </w:rPr>
        <w:t xml:space="preserve">The </w:t>
      </w:r>
      <w:r w:rsidR="00B75A58" w:rsidRPr="005244BD">
        <w:rPr>
          <w:rFonts w:asciiTheme="majorBidi" w:hAnsiTheme="majorBidi" w:cstheme="majorBidi"/>
        </w:rPr>
        <w:t xml:space="preserve">pore networks </w:t>
      </w:r>
      <w:r w:rsidRPr="005244BD">
        <w:rPr>
          <w:rFonts w:asciiTheme="majorBidi" w:hAnsiTheme="majorBidi" w:cstheme="majorBidi"/>
        </w:rPr>
        <w:t xml:space="preserve">are generated </w:t>
      </w:r>
      <w:r w:rsidR="00E32042" w:rsidRPr="005244BD">
        <w:rPr>
          <w:rFonts w:asciiTheme="majorBidi" w:hAnsiTheme="majorBidi" w:cstheme="majorBidi"/>
        </w:rPr>
        <w:t>according to</w:t>
      </w:r>
      <w:r w:rsidR="00B75A58" w:rsidRPr="005244BD">
        <w:rPr>
          <w:rFonts w:asciiTheme="majorBidi" w:hAnsiTheme="majorBidi" w:cstheme="majorBidi"/>
        </w:rPr>
        <w:t xml:space="preserve"> the algorithm </w:t>
      </w:r>
      <w:r w:rsidR="00E32042" w:rsidRPr="005244BD">
        <w:rPr>
          <w:rFonts w:asciiTheme="majorBidi" w:hAnsiTheme="majorBidi" w:cstheme="majorBidi"/>
        </w:rPr>
        <w:t xml:space="preserve">used </w:t>
      </w:r>
      <w:r w:rsidR="00B75A58" w:rsidRPr="005244BD">
        <w:rPr>
          <w:rFonts w:asciiTheme="majorBidi" w:hAnsiTheme="majorBidi" w:cstheme="majorBidi"/>
        </w:rPr>
        <w:t>in</w:t>
      </w:r>
      <w:r w:rsidR="007D4067" w:rsidRPr="005244BD">
        <w:rPr>
          <w:rFonts w:asciiTheme="majorBidi" w:hAnsiTheme="majorBidi" w:cstheme="majorBidi"/>
        </w:rPr>
        <w:t xml:space="preserve"> </w:t>
      </w:r>
      <w:r w:rsidR="007D4067" w:rsidRPr="005244BD">
        <w:rPr>
          <w:rFonts w:asciiTheme="majorBidi" w:hAnsiTheme="majorBidi" w:cstheme="majorBidi"/>
        </w:rPr>
        <w:fldChar w:fldCharType="begin" w:fldLock="1"/>
      </w:r>
      <w:r w:rsidR="00BF6D87" w:rsidRPr="005244BD">
        <w:rPr>
          <w:rFonts w:asciiTheme="majorBidi" w:hAnsiTheme="majorBidi" w:cstheme="majorBidi"/>
        </w:rPr>
        <w:instrText>ADDIN CSL_CITATION {"citationItems":[{"id":"ITEM-1","itemData":{"author":[{"dropping-particle":"","family":"Babaei","given":"M","non-dropping-particle":"","parse-names":false,"suffix":""},{"dropping-particle":"","family":"Joekar-Niasar","given":"V","non-dropping-particle":"","parse-names":false,"suffix":""}],"container-title":"Advances in water resources","id":"ITEM-1","issued":{"date-parts":[["2016"]]},"page":"23-29","publisher":"Elsevier","title":"A transport phase diagram for pore-level correlated porous media","type":"article-journal","volume":"92"},"uris":["http://www.mendeley.com/documents/?uuid=87d51206-4dea-4f32-9693-0a90dab4f1b0","http://www.mendeley.com/documents/?uuid=9e4fef0d-209e-46c1-a764-794f55df40ab"]}],"mendeley":{"formattedCitation":"(Babaei &amp; Joekar-Niasar, 2016)","plainTextFormattedCitation":"(Babaei &amp; Joekar-Niasar, 2016)","previouslyFormattedCitation":"(Babaei &amp; Joekar-Niasar, 2016)"},"properties":{"noteIndex":0},"schema":"https://github.com/citation-style-language/schema/raw/master/csl-citation.json"}</w:instrText>
      </w:r>
      <w:r w:rsidR="007D4067" w:rsidRPr="005244BD">
        <w:rPr>
          <w:rFonts w:asciiTheme="majorBidi" w:hAnsiTheme="majorBidi" w:cstheme="majorBidi"/>
        </w:rPr>
        <w:fldChar w:fldCharType="separate"/>
      </w:r>
      <w:r w:rsidR="007E3CAF" w:rsidRPr="005244BD">
        <w:rPr>
          <w:rFonts w:asciiTheme="majorBidi" w:hAnsiTheme="majorBidi" w:cstheme="majorBidi"/>
          <w:noProof/>
        </w:rPr>
        <w:t>(Babaei &amp; Joekar-Niasar, 2016)</w:t>
      </w:r>
      <w:r w:rsidR="007D4067" w:rsidRPr="005244BD">
        <w:rPr>
          <w:rFonts w:asciiTheme="majorBidi" w:hAnsiTheme="majorBidi" w:cstheme="majorBidi"/>
        </w:rPr>
        <w:fldChar w:fldCharType="end"/>
      </w:r>
      <w:r w:rsidR="00B75A58" w:rsidRPr="005244BD">
        <w:rPr>
          <w:rFonts w:asciiTheme="majorBidi" w:hAnsiTheme="majorBidi" w:cstheme="majorBidi"/>
        </w:rPr>
        <w:fldChar w:fldCharType="begin" w:fldLock="1"/>
      </w:r>
      <w:r w:rsidR="00B75A58" w:rsidRPr="005244BD">
        <w:rPr>
          <w:rFonts w:asciiTheme="majorBidi" w:hAnsiTheme="majorBidi" w:cstheme="majorBidi"/>
        </w:rPr>
        <w:instrText>MERGEFIELD .wWw..wWw.QIQQA_CLUSTER.oOo.9e986acd028142a1aa9fda896c340351.oOo.babaei2016transport.oOo.4F8CB0B4-CEDB-4866-8013-9B12A6C61098.xXx.SEPARATE_AUTHOR_DATE.xXx..oOo. \* MERGEFORMAT</w:instrText>
      </w:r>
      <w:r w:rsidR="00B75A58" w:rsidRPr="005244BD">
        <w:rPr>
          <w:rFonts w:asciiTheme="majorBidi" w:hAnsiTheme="majorBidi" w:cstheme="majorBidi"/>
        </w:rPr>
        <w:fldChar w:fldCharType="end"/>
      </w:r>
      <w:r w:rsidR="00046C44" w:rsidRPr="005244BD">
        <w:rPr>
          <w:rFonts w:asciiTheme="majorBidi" w:hAnsiTheme="majorBidi" w:cstheme="majorBidi"/>
        </w:rPr>
        <w:t xml:space="preserve"> </w:t>
      </w:r>
      <w:r w:rsidR="00A421D2" w:rsidRPr="000746A1">
        <w:rPr>
          <w:rFonts w:asciiTheme="majorBidi" w:hAnsiTheme="majorBidi" w:cstheme="majorBidi"/>
        </w:rPr>
        <w:t>with two realizations of uncorrelated and two realization of correlated networks (</w:t>
      </w:r>
      <w:r w:rsidR="00A421D2" w:rsidRPr="000746A1">
        <w:rPr>
          <w:rFonts w:asciiTheme="majorBidi" w:eastAsia="Times New Roman" w:hAnsiTheme="majorBidi" w:cstheme="majorBidi"/>
          <w:color w:val="201F1E"/>
          <w:sz w:val="23"/>
          <w:szCs w:val="23"/>
          <w:lang w:eastAsia="en-GB"/>
        </w:rPr>
        <w:t xml:space="preserve">statistically </w:t>
      </w:r>
      <w:r w:rsidR="00A421D2" w:rsidRPr="000746A1">
        <w:rPr>
          <w:rFonts w:asciiTheme="majorBidi" w:eastAsia="Times New Roman" w:hAnsiTheme="majorBidi" w:cstheme="majorBidi"/>
          <w:color w:val="201F1E"/>
          <w:sz w:val="23"/>
          <w:szCs w:val="23"/>
          <w:lang w:eastAsia="en-GB"/>
        </w:rPr>
        <w:lastRenderedPageBreak/>
        <w:t>identical</w:t>
      </w:r>
      <w:r w:rsidR="00A421D2" w:rsidRPr="000746A1">
        <w:rPr>
          <w:rFonts w:asciiTheme="majorBidi" w:hAnsiTheme="majorBidi" w:cstheme="majorBidi"/>
        </w:rPr>
        <w:t xml:space="preserve"> realizations) as described briefly below</w:t>
      </w:r>
      <w:r w:rsidR="00A421D2" w:rsidRPr="000746A1">
        <w:rPr>
          <w:rFonts w:asciiTheme="majorBidi" w:hAnsiTheme="majorBidi" w:cstheme="majorBidi"/>
        </w:rPr>
        <w:fldChar w:fldCharType="begin" w:fldLock="1"/>
      </w:r>
      <w:r w:rsidR="00A421D2" w:rsidRPr="000746A1">
        <w:rPr>
          <w:rFonts w:asciiTheme="majorBidi" w:hAnsiTheme="majorBidi" w:cstheme="majorBidi"/>
        </w:rPr>
        <w:instrText>MERGEFIELD .wWw..wWw.QIQQA_CLUSTER.oOo.9e986acd028142a1aa9fda896c340351.oOo.babaei2016transport.oOo.4F8CB0B4-CEDB-4866-8013-9B12A6C61098.xXx.SEPARATE_AUTHOR_DATE.xXx..oOo. \* MERGEFORMAT</w:instrText>
      </w:r>
      <w:r w:rsidR="00A421D2" w:rsidRPr="000746A1">
        <w:rPr>
          <w:rFonts w:asciiTheme="majorBidi" w:hAnsiTheme="majorBidi" w:cstheme="majorBidi"/>
        </w:rPr>
        <w:fldChar w:fldCharType="end"/>
      </w:r>
      <w:r w:rsidR="00A421D2" w:rsidRPr="000746A1">
        <w:rPr>
          <w:rFonts w:asciiTheme="majorBidi" w:hAnsiTheme="majorBidi" w:cstheme="majorBidi"/>
        </w:rPr>
        <w:t xml:space="preserve">. Also </w:t>
      </w:r>
      <w:r w:rsidR="00046C44" w:rsidRPr="005244BD">
        <w:rPr>
          <w:rFonts w:asciiTheme="majorBidi" w:hAnsiTheme="majorBidi" w:cstheme="majorBidi"/>
          <w:b/>
          <w:bCs/>
        </w:rPr>
        <w:t>Table 1</w:t>
      </w:r>
      <w:r w:rsidR="00046C44" w:rsidRPr="005244BD">
        <w:rPr>
          <w:rFonts w:asciiTheme="majorBidi" w:hAnsiTheme="majorBidi" w:cstheme="majorBidi"/>
        </w:rPr>
        <w:t xml:space="preserve"> </w:t>
      </w:r>
      <w:r w:rsidR="00B75A58" w:rsidRPr="005244BD">
        <w:rPr>
          <w:rFonts w:asciiTheme="majorBidi" w:eastAsiaTheme="minorEastAsia" w:hAnsiTheme="majorBidi" w:cstheme="majorBidi"/>
          <w:iCs/>
        </w:rPr>
        <w:t>summ</w:t>
      </w:r>
      <w:r w:rsidR="00B75A58" w:rsidRPr="005244BD">
        <w:rPr>
          <w:rFonts w:asciiTheme="majorBidi" w:eastAsiaTheme="minorEastAsia" w:hAnsiTheme="majorBidi" w:cstheme="majorBidi"/>
          <w:iCs/>
          <w:szCs w:val="18"/>
        </w:rPr>
        <w:t xml:space="preserve">arises </w:t>
      </w:r>
      <w:r w:rsidR="00E32042" w:rsidRPr="005244BD">
        <w:rPr>
          <w:rFonts w:asciiTheme="majorBidi" w:eastAsiaTheme="minorEastAsia" w:hAnsiTheme="majorBidi" w:cstheme="majorBidi"/>
          <w:iCs/>
          <w:szCs w:val="18"/>
        </w:rPr>
        <w:t xml:space="preserve">the correlation lengths and </w:t>
      </w:r>
      <w:r w:rsidR="00B75A58" w:rsidRPr="005244BD">
        <w:rPr>
          <w:rFonts w:asciiTheme="majorBidi" w:eastAsiaTheme="minorEastAsia" w:hAnsiTheme="majorBidi" w:cstheme="majorBidi"/>
          <w:iCs/>
          <w:szCs w:val="18"/>
        </w:rPr>
        <w:t xml:space="preserve">geometric properties of </w:t>
      </w:r>
      <w:r w:rsidR="004B39AB" w:rsidRPr="005244BD">
        <w:rPr>
          <w:rFonts w:asciiTheme="majorBidi" w:eastAsiaTheme="minorEastAsia" w:hAnsiTheme="majorBidi" w:cstheme="majorBidi"/>
          <w:iCs/>
          <w:szCs w:val="18"/>
        </w:rPr>
        <w:t>four</w:t>
      </w:r>
      <w:r w:rsidR="00B75A58" w:rsidRPr="005244BD">
        <w:rPr>
          <w:rFonts w:asciiTheme="majorBidi" w:eastAsiaTheme="minorEastAsia" w:hAnsiTheme="majorBidi" w:cstheme="majorBidi"/>
          <w:iCs/>
          <w:szCs w:val="18"/>
        </w:rPr>
        <w:t xml:space="preserve"> networks generated in this </w:t>
      </w:r>
      <w:r w:rsidR="00E32042" w:rsidRPr="005244BD">
        <w:rPr>
          <w:rFonts w:asciiTheme="majorBidi" w:eastAsiaTheme="minorEastAsia" w:hAnsiTheme="majorBidi" w:cstheme="majorBidi"/>
          <w:iCs/>
          <w:szCs w:val="18"/>
        </w:rPr>
        <w:t>work</w:t>
      </w:r>
      <w:r w:rsidR="00B75A58" w:rsidRPr="005244BD">
        <w:rPr>
          <w:rFonts w:asciiTheme="majorBidi" w:eastAsiaTheme="minorEastAsia" w:hAnsiTheme="majorBidi" w:cstheme="majorBidi"/>
          <w:iCs/>
          <w:szCs w:val="18"/>
        </w:rPr>
        <w:t>.</w:t>
      </w:r>
      <w:r w:rsidR="00B14378" w:rsidRPr="005244BD">
        <w:rPr>
          <w:rFonts w:asciiTheme="majorBidi" w:eastAsiaTheme="minorEastAsia" w:hAnsiTheme="majorBidi" w:cstheme="majorBidi"/>
          <w:iCs/>
          <w:szCs w:val="18"/>
        </w:rPr>
        <w:t xml:space="preserve"> Note that </w:t>
      </w:r>
      <w:r w:rsidR="000B29D0" w:rsidRPr="005244BD">
        <w:rPr>
          <w:rFonts w:asciiTheme="majorBidi" w:eastAsiaTheme="minorEastAsia" w:hAnsiTheme="majorBidi" w:cstheme="majorBidi"/>
          <w:iCs/>
          <w:szCs w:val="18"/>
        </w:rPr>
        <w:t>all these</w:t>
      </w:r>
      <w:r w:rsidR="00B14378" w:rsidRPr="005244BD">
        <w:rPr>
          <w:rFonts w:asciiTheme="majorBidi" w:eastAsiaTheme="minorEastAsia" w:hAnsiTheme="majorBidi" w:cstheme="majorBidi"/>
          <w:iCs/>
          <w:szCs w:val="18"/>
        </w:rPr>
        <w:t xml:space="preserve"> networks have similar permeability but their pore size distribution differ and so does the initial NAPL distribution. </w:t>
      </w:r>
      <w:r w:rsidR="0042102D" w:rsidRPr="005244BD">
        <w:rPr>
          <w:rFonts w:asciiTheme="majorBidi" w:eastAsiaTheme="minorEastAsia" w:hAnsiTheme="majorBidi" w:cstheme="majorBidi"/>
          <w:iCs/>
          <w:szCs w:val="18"/>
        </w:rPr>
        <w:t xml:space="preserve">These pore networks have </w:t>
      </w:r>
      <m:oMath>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μ</m:t>
            </m:r>
          </m:e>
          <m:sub>
            <m:r>
              <w:rPr>
                <w:rFonts w:ascii="Cambria Math" w:eastAsiaTheme="minorEastAsia" w:hAnsi="Cambria Math" w:cstheme="majorBidi"/>
                <w:szCs w:val="18"/>
              </w:rPr>
              <m:t>R</m:t>
            </m:r>
          </m:sub>
        </m:sSub>
        <m:r>
          <m:rPr>
            <m:sty m:val="p"/>
          </m:rPr>
          <w:rPr>
            <w:rFonts w:ascii="Cambria Math" w:eastAsiaTheme="minorEastAsia" w:hAnsi="Cambria Math" w:cstheme="majorBidi"/>
            <w:szCs w:val="18"/>
          </w:rPr>
          <m:t xml:space="preserve">=16.65 </m:t>
        </m:r>
        <m:r>
          <w:rPr>
            <w:rFonts w:ascii="Cambria Math" w:eastAsiaTheme="minorEastAsia" w:hAnsi="Cambria Math" w:cstheme="majorBidi"/>
            <w:szCs w:val="18"/>
          </w:rPr>
          <m:t>μm</m:t>
        </m:r>
      </m:oMath>
      <w:r w:rsidR="0042102D" w:rsidRPr="005244BD">
        <w:rPr>
          <w:rFonts w:asciiTheme="majorBidi" w:eastAsiaTheme="minorEastAsia" w:hAnsiTheme="majorBidi" w:cstheme="majorBidi"/>
          <w:szCs w:val="18"/>
        </w:rPr>
        <w:t xml:space="preserve"> (</w:t>
      </w:r>
      <w:r w:rsidR="0042102D" w:rsidRPr="005244BD">
        <w:rPr>
          <w:rFonts w:asciiTheme="majorBidi" w:eastAsiaTheme="minorEastAsia" w:hAnsiTheme="majorBidi" w:cstheme="majorBidi"/>
          <w:iCs/>
          <w:szCs w:val="18"/>
        </w:rPr>
        <w:t>mean of pore radii)</w:t>
      </w:r>
      <w:r w:rsidR="00B75A58" w:rsidRPr="005244BD">
        <w:rPr>
          <w:rFonts w:asciiTheme="majorBidi" w:eastAsiaTheme="minorEastAsia" w:hAnsiTheme="majorBidi" w:cstheme="majorBidi"/>
          <w:iCs/>
          <w:szCs w:val="18"/>
        </w:rPr>
        <w:t xml:space="preserve">, </w:t>
      </w:r>
      <m:oMath>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σ</m:t>
            </m:r>
          </m:e>
          <m:sub>
            <m:r>
              <w:rPr>
                <w:rFonts w:ascii="Cambria Math" w:eastAsiaTheme="minorEastAsia" w:hAnsi="Cambria Math" w:cstheme="majorBidi"/>
                <w:szCs w:val="18"/>
              </w:rPr>
              <m:t>R</m:t>
            </m:r>
          </m:sub>
        </m:sSub>
        <m:r>
          <m:rPr>
            <m:sty m:val="p"/>
          </m:rPr>
          <w:rPr>
            <w:rFonts w:ascii="Cambria Math" w:eastAsiaTheme="minorEastAsia" w:hAnsi="Cambria Math" w:cstheme="majorBidi"/>
            <w:szCs w:val="18"/>
          </w:rPr>
          <m:t>=9.57 μm</m:t>
        </m:r>
      </m:oMath>
      <w:r w:rsidR="0042102D" w:rsidRPr="005244BD">
        <w:rPr>
          <w:rFonts w:asciiTheme="majorBidi" w:eastAsiaTheme="minorEastAsia" w:hAnsiTheme="majorBidi" w:cstheme="majorBidi"/>
          <w:szCs w:val="18"/>
        </w:rPr>
        <w:t xml:space="preserve"> (</w:t>
      </w:r>
      <w:r w:rsidR="0042102D" w:rsidRPr="005244BD">
        <w:rPr>
          <w:rFonts w:asciiTheme="majorBidi" w:eastAsiaTheme="minorEastAsia" w:hAnsiTheme="majorBidi" w:cstheme="majorBidi"/>
          <w:iCs/>
          <w:szCs w:val="18"/>
        </w:rPr>
        <w:t>standard deviation of pore radii)</w:t>
      </w:r>
      <w:r w:rsidR="00B75A58" w:rsidRPr="005244BD">
        <w:rPr>
          <w:rFonts w:asciiTheme="majorBidi" w:eastAsiaTheme="minorEastAsia" w:hAnsiTheme="majorBidi" w:cstheme="majorBidi"/>
          <w:iCs/>
          <w:szCs w:val="18"/>
        </w:rPr>
        <w:t xml:space="preserve">, and </w:t>
      </w:r>
      <m:oMath>
        <m:r>
          <w:rPr>
            <w:rFonts w:ascii="Cambria Math" w:eastAsiaTheme="minorEastAsia" w:hAnsi="Cambria Math" w:cstheme="majorBidi"/>
            <w:szCs w:val="18"/>
          </w:rPr>
          <m:t>R</m:t>
        </m:r>
        <m:r>
          <m:rPr>
            <m:sty m:val="p"/>
          </m:rPr>
          <w:rPr>
            <w:rFonts w:ascii="Cambria Math" w:eastAsiaTheme="minorEastAsia" w:hAnsi="Cambria Math" w:cstheme="majorBidi"/>
            <w:szCs w:val="18"/>
          </w:rPr>
          <m:t xml:space="preserve">≤50 </m:t>
        </m:r>
        <m:r>
          <w:rPr>
            <w:rFonts w:ascii="Cambria Math" w:eastAsiaTheme="minorEastAsia" w:hAnsi="Cambria Math" w:cstheme="majorBidi"/>
            <w:szCs w:val="18"/>
          </w:rPr>
          <m:t>μm</m:t>
        </m:r>
      </m:oMath>
      <w:r w:rsidR="0042102D" w:rsidRPr="005244BD">
        <w:rPr>
          <w:rFonts w:asciiTheme="majorBidi" w:eastAsiaTheme="minorEastAsia" w:hAnsiTheme="majorBidi" w:cstheme="majorBidi"/>
          <w:iCs/>
          <w:szCs w:val="18"/>
        </w:rPr>
        <w:t xml:space="preserve"> (</w:t>
      </w:r>
      <w:r w:rsidR="00B75A58" w:rsidRPr="005244BD">
        <w:rPr>
          <w:rFonts w:asciiTheme="majorBidi" w:eastAsiaTheme="minorEastAsia" w:hAnsiTheme="majorBidi" w:cstheme="majorBidi"/>
          <w:iCs/>
          <w:szCs w:val="18"/>
        </w:rPr>
        <w:t>pore radii</w:t>
      </w:r>
      <w:r w:rsidR="0042102D" w:rsidRPr="005244BD">
        <w:rPr>
          <w:rFonts w:asciiTheme="majorBidi" w:eastAsiaTheme="minorEastAsia" w:hAnsiTheme="majorBidi" w:cstheme="majorBidi"/>
          <w:iCs/>
          <w:szCs w:val="18"/>
        </w:rPr>
        <w:t>)</w:t>
      </w:r>
      <w:r w:rsidR="00D943E4" w:rsidRPr="005244BD">
        <w:rPr>
          <w:rFonts w:asciiTheme="majorBidi" w:eastAsiaTheme="minorEastAsia" w:hAnsiTheme="majorBidi" w:cstheme="majorBidi"/>
          <w:iCs/>
          <w:szCs w:val="18"/>
        </w:rPr>
        <w:t xml:space="preserve"> with </w:t>
      </w:r>
      <w:r w:rsidR="002C273D" w:rsidRPr="005244BD">
        <w:rPr>
          <w:rFonts w:asciiTheme="majorBidi" w:eastAsiaTheme="minorEastAsia" w:hAnsiTheme="majorBidi" w:cstheme="majorBidi"/>
          <w:iCs/>
          <w:szCs w:val="18"/>
        </w:rPr>
        <w:t>t</w:t>
      </w:r>
      <w:r w:rsidR="00D943E4" w:rsidRPr="005244BD">
        <w:rPr>
          <w:rFonts w:asciiTheme="majorBidi" w:eastAsiaTheme="minorEastAsia" w:hAnsiTheme="majorBidi" w:cstheme="majorBidi"/>
          <w:iCs/>
          <w:szCs w:val="18"/>
        </w:rPr>
        <w:t>he average coordination number of 5.</w:t>
      </w:r>
      <w:r w:rsidR="002C273D" w:rsidRPr="005244BD">
        <w:rPr>
          <w:rFonts w:asciiTheme="majorBidi" w:eastAsiaTheme="minorEastAsia" w:hAnsiTheme="majorBidi" w:cstheme="majorBidi"/>
          <w:iCs/>
          <w:szCs w:val="18"/>
        </w:rPr>
        <w:t>3</w:t>
      </w:r>
      <w:r w:rsidR="00A421D2" w:rsidRPr="000746A1">
        <w:rPr>
          <w:rFonts w:asciiTheme="majorBidi" w:eastAsiaTheme="minorEastAsia" w:hAnsiTheme="majorBidi" w:cstheme="majorBidi"/>
          <w:iCs/>
          <w:szCs w:val="18"/>
        </w:rPr>
        <w:t>, making the networks’ correlation lengths close to the Berea sandstones</w:t>
      </w:r>
      <w:r w:rsidR="00A421D2" w:rsidRPr="000746A1">
        <w:rPr>
          <w:rStyle w:val="FootnoteReference"/>
          <w:rFonts w:asciiTheme="majorBidi" w:eastAsiaTheme="minorEastAsia" w:hAnsiTheme="majorBidi" w:cstheme="majorBidi"/>
          <w:iCs/>
          <w:szCs w:val="18"/>
        </w:rPr>
        <w:footnoteReference w:id="3"/>
      </w:r>
      <w:r w:rsidR="00B75A58" w:rsidRPr="005244BD">
        <w:rPr>
          <w:rFonts w:asciiTheme="majorBidi" w:eastAsiaTheme="minorEastAsia" w:hAnsiTheme="majorBidi" w:cstheme="majorBidi"/>
          <w:iCs/>
          <w:szCs w:val="18"/>
        </w:rPr>
        <w:t xml:space="preserve">. </w:t>
      </w:r>
      <w:r w:rsidR="00772167" w:rsidRPr="008273D6">
        <w:rPr>
          <w:rFonts w:asciiTheme="majorBidi" w:eastAsiaTheme="minorEastAsia" w:hAnsiTheme="majorBidi" w:cstheme="majorBidi"/>
          <w:iCs/>
          <w:szCs w:val="18"/>
        </w:rPr>
        <w:t>There are examples of contaminated sandstone aquifers across the world</w:t>
      </w:r>
      <w:r w:rsidR="00772167">
        <w:rPr>
          <w:rFonts w:asciiTheme="majorBidi" w:eastAsiaTheme="minorEastAsia" w:hAnsiTheme="majorBidi" w:cstheme="majorBidi"/>
          <w:iCs/>
          <w:szCs w:val="18"/>
        </w:rPr>
        <w:t xml:space="preserve"> </w:t>
      </w:r>
      <w:r w:rsidR="00772167">
        <w:rPr>
          <w:rFonts w:asciiTheme="majorBidi" w:eastAsiaTheme="minorEastAsia" w:hAnsiTheme="majorBidi" w:cstheme="majorBidi"/>
          <w:iCs/>
          <w:szCs w:val="18"/>
        </w:rPr>
        <w:fldChar w:fldCharType="begin" w:fldLock="1"/>
      </w:r>
      <w:r w:rsidR="00772167">
        <w:rPr>
          <w:rFonts w:asciiTheme="majorBidi" w:eastAsiaTheme="minorEastAsia" w:hAnsiTheme="majorBidi" w:cstheme="majorBidi"/>
          <w:iCs/>
          <w:szCs w:val="18"/>
        </w:rPr>
        <w:instrText>ADDIN CSL_CITATION {"citationItems":[{"id":"ITEM-1","itemData":{"author":[{"dropping-particle":"","family":"Wealthall","given":"Gary P","non-dropping-particle":"","parse-names":false,"suffix":""},{"dropping-particle":"","family":"Steele","given":"Adrian","non-dropping-particle":"","parse-names":false,"suffix":""},{"dropping-particle":"","family":"Bloomfield","given":"John P","non-dropping-particle":"","parse-names":false,"suffix":""},{"dropping-particle":"","family":"Moss","given":"Richard H","non-dropping-particle":"","parse-names":false,"suffix":""},{"dropping-particle":"","family":"Lerner","given":"David N","non-dropping-particle":"","parse-names":false,"suffix":""}],"container-title":"Journal of Contaminant Hydrology","id":"ITEM-1","issue":"1-2","issued":{"date-parts":[["2001"]]},"page":"41-51","publisher":"Elsevier","title":"Sediment filled fractures in the Permo-Triassic sandstones of the Cheshire Basin: observations and implications for pollutant transport","type":"article-journal","volume":"50"},"uris":["http://www.mendeley.com/documents/?uuid=f6067b8a-a187-4833-b03a-a79d01779d71"]}],"mendeley":{"formattedCitation":"(Wealthall et al., 2001)","manualFormatting":"(Wealthall et al., 2001,","plainTextFormattedCitation":"(Wealthall et al., 2001)","previouslyFormattedCitation":"(Wealthall et al., 2001)"},"properties":{"noteIndex":0},"schema":"https://github.com/citation-style-language/schema/raw/master/csl-citation.json"}</w:instrText>
      </w:r>
      <w:r w:rsidR="00772167">
        <w:rPr>
          <w:rFonts w:asciiTheme="majorBidi" w:eastAsiaTheme="minorEastAsia" w:hAnsiTheme="majorBidi" w:cstheme="majorBidi"/>
          <w:iCs/>
          <w:szCs w:val="18"/>
        </w:rPr>
        <w:fldChar w:fldCharType="separate"/>
      </w:r>
      <w:r w:rsidR="00772167" w:rsidRPr="00520B13">
        <w:rPr>
          <w:rFonts w:asciiTheme="majorBidi" w:eastAsiaTheme="minorEastAsia" w:hAnsiTheme="majorBidi" w:cstheme="majorBidi"/>
          <w:iCs/>
          <w:noProof/>
          <w:szCs w:val="18"/>
        </w:rPr>
        <w:t>(Wealthall et al., 2001</w:t>
      </w:r>
      <w:r w:rsidR="00772167">
        <w:rPr>
          <w:rFonts w:asciiTheme="majorBidi" w:eastAsiaTheme="minorEastAsia" w:hAnsiTheme="majorBidi" w:cstheme="majorBidi"/>
          <w:iCs/>
          <w:noProof/>
          <w:szCs w:val="18"/>
        </w:rPr>
        <w:t>,</w:t>
      </w:r>
      <w:r w:rsidR="00772167">
        <w:rPr>
          <w:rFonts w:asciiTheme="majorBidi" w:eastAsiaTheme="minorEastAsia" w:hAnsiTheme="majorBidi" w:cstheme="majorBidi"/>
          <w:iCs/>
          <w:szCs w:val="18"/>
        </w:rPr>
        <w:fldChar w:fldCharType="end"/>
      </w:r>
      <w:r w:rsidR="00772167">
        <w:rPr>
          <w:rFonts w:asciiTheme="majorBidi" w:eastAsiaTheme="minorEastAsia" w:hAnsiTheme="majorBidi" w:cstheme="majorBidi"/>
          <w:iCs/>
          <w:szCs w:val="18"/>
        </w:rPr>
        <w:t xml:space="preserve"> </w:t>
      </w:r>
      <w:r w:rsidR="00772167">
        <w:rPr>
          <w:rFonts w:asciiTheme="majorBidi" w:eastAsiaTheme="minorEastAsia" w:hAnsiTheme="majorBidi" w:cstheme="majorBidi"/>
          <w:iCs/>
          <w:szCs w:val="18"/>
        </w:rPr>
        <w:fldChar w:fldCharType="begin" w:fldLock="1"/>
      </w:r>
      <w:r w:rsidR="00772167">
        <w:rPr>
          <w:rFonts w:asciiTheme="majorBidi" w:eastAsiaTheme="minorEastAsia" w:hAnsiTheme="majorBidi" w:cstheme="majorBidi"/>
          <w:iCs/>
          <w:szCs w:val="18"/>
        </w:rPr>
        <w:instrText>ADDIN CSL_CITATION {"citationItems":[{"id":"ITEM-1","itemData":{"author":[{"dropping-particle":"","family":"Gooddy","given":"Daren C","non-dropping-particle":"","parse-names":false,"suffix":""},{"dropping-particle":"","family":"Bloomfield","given":"John P","non-dropping-particle":"","parse-names":false,"suffix":""},{"dropping-particle":"","family":"Harrold","given":"Gavin","non-dropping-particle":"","parse-names":false,"suffix":""},{"dropping-particle":"","family":"Leharne","given":"Steven A","non-dropping-particle":"","parse-names":false,"suffix":""}],"container-title":"Journal of contaminant hydrology","id":"ITEM-1","issue":"3-4","issued":{"date-parts":[["2002"]]},"page":"247-265","publisher":"Elsevier","title":"Towards a better understanding of tetrachloroethene entry pressure in the matrix of Permo-Triassic sandstones","type":"article-journal","volume":"59"},"uris":["http://www.mendeley.com/documents/?uuid=eedb4632-b5bc-4f62-aa78-84cbcd31b287"]}],"mendeley":{"formattedCitation":"(Gooddy et al., 2002)","manualFormatting":"Gooddy et al., 2002, ","plainTextFormattedCitation":"(Gooddy et al., 2002)","previouslyFormattedCitation":"(Gooddy et al., 2002)"},"properties":{"noteIndex":0},"schema":"https://github.com/citation-style-language/schema/raw/master/csl-citation.json"}</w:instrText>
      </w:r>
      <w:r w:rsidR="00772167">
        <w:rPr>
          <w:rFonts w:asciiTheme="majorBidi" w:eastAsiaTheme="minorEastAsia" w:hAnsiTheme="majorBidi" w:cstheme="majorBidi"/>
          <w:iCs/>
          <w:szCs w:val="18"/>
        </w:rPr>
        <w:fldChar w:fldCharType="separate"/>
      </w:r>
      <w:r w:rsidR="00772167" w:rsidRPr="00520B13">
        <w:rPr>
          <w:rFonts w:asciiTheme="majorBidi" w:eastAsiaTheme="minorEastAsia" w:hAnsiTheme="majorBidi" w:cstheme="majorBidi"/>
          <w:iCs/>
          <w:noProof/>
          <w:szCs w:val="18"/>
        </w:rPr>
        <w:t>Gooddy et al., 2002</w:t>
      </w:r>
      <w:r w:rsidR="00772167">
        <w:rPr>
          <w:rFonts w:asciiTheme="majorBidi" w:eastAsiaTheme="minorEastAsia" w:hAnsiTheme="majorBidi" w:cstheme="majorBidi"/>
          <w:iCs/>
          <w:noProof/>
          <w:szCs w:val="18"/>
        </w:rPr>
        <w:t xml:space="preserve">, </w:t>
      </w:r>
      <w:r w:rsidR="00772167">
        <w:rPr>
          <w:rFonts w:asciiTheme="majorBidi" w:eastAsiaTheme="minorEastAsia" w:hAnsiTheme="majorBidi" w:cstheme="majorBidi"/>
          <w:iCs/>
          <w:szCs w:val="18"/>
        </w:rPr>
        <w:fldChar w:fldCharType="end"/>
      </w:r>
      <w:r w:rsidR="00772167">
        <w:rPr>
          <w:rFonts w:asciiTheme="majorBidi" w:eastAsiaTheme="minorEastAsia" w:hAnsiTheme="majorBidi" w:cstheme="majorBidi"/>
          <w:iCs/>
          <w:szCs w:val="18"/>
        </w:rPr>
        <w:fldChar w:fldCharType="begin" w:fldLock="1"/>
      </w:r>
      <w:r w:rsidR="00772167">
        <w:rPr>
          <w:rFonts w:asciiTheme="majorBidi" w:eastAsiaTheme="minorEastAsia" w:hAnsiTheme="majorBidi" w:cstheme="majorBidi"/>
          <w:iCs/>
          <w:szCs w:val="18"/>
        </w:rPr>
        <w:instrText>ADDIN CSL_CITATION {"citationItems":[{"id":"ITEM-1","itemData":{"author":[{"dropping-particle":"","family":"Powell","given":"Karen L","non-dropping-particle":"","parse-names":false,"suffix":""},{"dropping-particle":"","family":"Taylor","given":"Richard G","non-dropping-particle":"","parse-names":false,"suffix":""},{"dropping-particle":"","family":"Cronin","given":"Aidan A","non-dropping-particle":"","parse-names":false,"suffix":""},{"dropping-particle":"","family":"Barrett","given":"Mike H","non-dropping-particle":"","parse-names":false,"suffix":""},{"dropping-particle":"","family":"Pedley","given":"Steve","non-dropping-particle":"","parse-names":false,"suffix":""},{"dropping-particle":"","family":"Sellwood","given":"Jane","non-dropping-particle":"","parse-names":false,"suffix":""},{"dropping-particle":"","family":"Trowsdale","given":"Sam A","non-dropping-particle":"","parse-names":false,"suffix":""},{"dropping-particle":"","family":"Lerner","given":"David N","non-dropping-particle":"","parse-names":false,"suffix":""}],"container-title":"Water Research","id":"ITEM-1","issue":"2","issued":{"date-parts":[["2003"]]},"page":"339-352","publisher":"Elsevier","title":"Microbial contamination of two urban sandstone aquifers in the UK","type":"article-journal","volume":"37"},"uris":["http://www.mendeley.com/documents/?uuid=1679cdab-e7bb-4700-83d0-b4d3396fc035"]}],"mendeley":{"formattedCitation":"(Powell et al., 2003)","manualFormatting":"Powell et al., 2003, ","plainTextFormattedCitation":"(Powell et al., 2003)","previouslyFormattedCitation":"(Powell et al., 2003)"},"properties":{"noteIndex":0},"schema":"https://github.com/citation-style-language/schema/raw/master/csl-citation.json"}</w:instrText>
      </w:r>
      <w:r w:rsidR="00772167">
        <w:rPr>
          <w:rFonts w:asciiTheme="majorBidi" w:eastAsiaTheme="minorEastAsia" w:hAnsiTheme="majorBidi" w:cstheme="majorBidi"/>
          <w:iCs/>
          <w:szCs w:val="18"/>
        </w:rPr>
        <w:fldChar w:fldCharType="separate"/>
      </w:r>
      <w:r w:rsidR="00772167" w:rsidRPr="00520B13">
        <w:rPr>
          <w:rFonts w:asciiTheme="majorBidi" w:eastAsiaTheme="minorEastAsia" w:hAnsiTheme="majorBidi" w:cstheme="majorBidi"/>
          <w:iCs/>
          <w:noProof/>
          <w:szCs w:val="18"/>
        </w:rPr>
        <w:t>Powell et al., 2003</w:t>
      </w:r>
      <w:r w:rsidR="00772167">
        <w:rPr>
          <w:rFonts w:asciiTheme="majorBidi" w:eastAsiaTheme="minorEastAsia" w:hAnsiTheme="majorBidi" w:cstheme="majorBidi"/>
          <w:iCs/>
          <w:noProof/>
          <w:szCs w:val="18"/>
        </w:rPr>
        <w:t xml:space="preserve">, </w:t>
      </w:r>
      <w:r w:rsidR="00772167">
        <w:rPr>
          <w:rFonts w:asciiTheme="majorBidi" w:eastAsiaTheme="minorEastAsia" w:hAnsiTheme="majorBidi" w:cstheme="majorBidi"/>
          <w:iCs/>
          <w:szCs w:val="18"/>
        </w:rPr>
        <w:fldChar w:fldCharType="end"/>
      </w:r>
      <w:r w:rsidR="00772167">
        <w:rPr>
          <w:rFonts w:asciiTheme="majorBidi" w:eastAsiaTheme="minorEastAsia" w:hAnsiTheme="majorBidi" w:cstheme="majorBidi"/>
          <w:iCs/>
          <w:szCs w:val="18"/>
        </w:rPr>
        <w:fldChar w:fldCharType="begin" w:fldLock="1"/>
      </w:r>
      <w:r w:rsidR="00772167">
        <w:rPr>
          <w:rFonts w:asciiTheme="majorBidi" w:eastAsiaTheme="minorEastAsia" w:hAnsiTheme="majorBidi" w:cstheme="majorBidi"/>
          <w:iCs/>
          <w:szCs w:val="18"/>
        </w:rPr>
        <w:instrText>ADDIN CSL_CITATION {"citationItems":[{"id":"ITEM-1","itemData":{"author":[{"dropping-particle":"","family":"Javanbakht","given":"Gina","non-dropping-particle":"","parse-names":false,"suffix":""},{"dropping-particle":"","family":"Goual","given":"Lamia","non-dropping-particle":"","parse-names":false,"suffix":""}],"container-title":"Journal of contaminant hydrology","id":"ITEM-1","issued":{"date-parts":[["2016"]]},"page":"61-73","publisher":"Elsevier","title":"Mobilization and micellar solubilization of NAPL contaminants in aquifer rocks","type":"article-journal","volume":"185"},"uris":["http://www.mendeley.com/documents/?uuid=1c3374e1-eb2f-464d-a6ac-227b7e200404"]}],"mendeley":{"formattedCitation":"(Javanbakht &amp; Goual, 2016)","manualFormatting":"Javanbakht &amp; Goual, 2016)","plainTextFormattedCitation":"(Javanbakht &amp; Goual, 2016)","previouslyFormattedCitation":"(Javanbakht &amp; Goual, 2016)"},"properties":{"noteIndex":0},"schema":"https://github.com/citation-style-language/schema/raw/master/csl-citation.json"}</w:instrText>
      </w:r>
      <w:r w:rsidR="00772167">
        <w:rPr>
          <w:rFonts w:asciiTheme="majorBidi" w:eastAsiaTheme="minorEastAsia" w:hAnsiTheme="majorBidi" w:cstheme="majorBidi"/>
          <w:iCs/>
          <w:szCs w:val="18"/>
        </w:rPr>
        <w:fldChar w:fldCharType="separate"/>
      </w:r>
      <w:r w:rsidR="00772167" w:rsidRPr="00520B13">
        <w:rPr>
          <w:rFonts w:asciiTheme="majorBidi" w:eastAsiaTheme="minorEastAsia" w:hAnsiTheme="majorBidi" w:cstheme="majorBidi"/>
          <w:iCs/>
          <w:noProof/>
          <w:szCs w:val="18"/>
        </w:rPr>
        <w:t>Javanbakht &amp; Goual, 2016)</w:t>
      </w:r>
      <w:r w:rsidR="00772167">
        <w:rPr>
          <w:rFonts w:asciiTheme="majorBidi" w:eastAsiaTheme="minorEastAsia" w:hAnsiTheme="majorBidi" w:cstheme="majorBidi"/>
          <w:iCs/>
          <w:szCs w:val="18"/>
        </w:rPr>
        <w:fldChar w:fldCharType="end"/>
      </w:r>
      <w:r w:rsidR="00772167">
        <w:rPr>
          <w:rFonts w:asciiTheme="majorBidi" w:eastAsiaTheme="minorEastAsia" w:hAnsiTheme="majorBidi" w:cstheme="majorBidi"/>
          <w:iCs/>
          <w:szCs w:val="18"/>
        </w:rPr>
        <w:t xml:space="preserve">. </w:t>
      </w:r>
      <w:r w:rsidR="006D4109" w:rsidRPr="005244BD">
        <w:rPr>
          <w:rFonts w:asciiTheme="majorBidi" w:eastAsiaTheme="minorEastAsia" w:hAnsiTheme="majorBidi" w:cstheme="majorBidi"/>
          <w:iCs/>
          <w:szCs w:val="18"/>
        </w:rPr>
        <w:t>We can obtain the</w:t>
      </w:r>
      <w:r w:rsidR="00B75A58" w:rsidRPr="005244BD">
        <w:rPr>
          <w:rFonts w:asciiTheme="majorBidi" w:eastAsiaTheme="minorEastAsia" w:hAnsiTheme="majorBidi" w:cstheme="majorBidi"/>
          <w:iCs/>
          <w:szCs w:val="18"/>
        </w:rPr>
        <w:t xml:space="preserve"> mean and variance of</w:t>
      </w:r>
      <w:r w:rsidR="006D4109" w:rsidRPr="005244BD">
        <w:rPr>
          <w:rFonts w:asciiTheme="majorBidi" w:eastAsiaTheme="minorEastAsia" w:hAnsiTheme="majorBidi" w:cstheme="majorBidi"/>
          <w:iCs/>
          <w:szCs w:val="18"/>
        </w:rPr>
        <w:t xml:space="preserve"> the natural logarithm of</w:t>
      </w:r>
      <w:r w:rsidR="00B75A58" w:rsidRPr="005244BD">
        <w:rPr>
          <w:rFonts w:asciiTheme="majorBidi" w:eastAsiaTheme="minorEastAsia" w:hAnsiTheme="majorBidi" w:cstheme="majorBidi"/>
          <w:iCs/>
          <w:szCs w:val="18"/>
        </w:rPr>
        <w:t xml:space="preserve"> </w:t>
      </w:r>
      <m:oMath>
        <m:r>
          <w:rPr>
            <w:rFonts w:ascii="Cambria Math" w:eastAsiaTheme="minorEastAsia" w:hAnsi="Cambria Math" w:cstheme="majorBidi"/>
            <w:szCs w:val="18"/>
          </w:rPr>
          <m:t>R</m:t>
        </m:r>
      </m:oMath>
      <w:r w:rsidR="00B75A58" w:rsidRPr="005244BD">
        <w:rPr>
          <w:rFonts w:asciiTheme="majorBidi" w:eastAsiaTheme="minorEastAsia" w:hAnsiTheme="majorBidi" w:cstheme="majorBidi"/>
          <w:iCs/>
          <w:szCs w:val="18"/>
        </w:rPr>
        <w:t xml:space="preserve"> </w:t>
      </w:r>
      <m:oMath>
        <m:r>
          <w:rPr>
            <w:rFonts w:ascii="Cambria Math" w:eastAsiaTheme="minorEastAsia" w:hAnsi="Cambria Math" w:cstheme="majorBidi"/>
            <w:szCs w:val="18"/>
          </w:rPr>
          <m:t>(</m:t>
        </m:r>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μ</m:t>
            </m:r>
          </m:e>
          <m:sub>
            <m:r>
              <w:rPr>
                <w:rFonts w:ascii="Cambria Math" w:eastAsiaTheme="minorEastAsia" w:hAnsi="Cambria Math" w:cstheme="majorBidi"/>
                <w:szCs w:val="18"/>
              </w:rPr>
              <m:t>Y</m:t>
            </m:r>
          </m:sub>
        </m:sSub>
      </m:oMath>
      <w:r w:rsidR="006D4109" w:rsidRPr="005244BD">
        <w:rPr>
          <w:rFonts w:asciiTheme="majorBidi" w:eastAsiaTheme="minorEastAsia" w:hAnsiTheme="majorBidi" w:cstheme="majorBidi"/>
          <w:iCs/>
          <w:szCs w:val="18"/>
        </w:rPr>
        <w:t xml:space="preserve"> and </w:t>
      </w:r>
      <m:oMath>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σ</m:t>
            </m:r>
          </m:e>
          <m:sub>
            <m:r>
              <w:rPr>
                <w:rFonts w:ascii="Cambria Math" w:eastAsiaTheme="minorEastAsia" w:hAnsi="Cambria Math" w:cstheme="majorBidi"/>
                <w:szCs w:val="18"/>
              </w:rPr>
              <m:t>Y</m:t>
            </m:r>
          </m:sub>
        </m:sSub>
        <m:r>
          <w:rPr>
            <w:rFonts w:ascii="Cambria Math" w:eastAsiaTheme="minorEastAsia" w:hAnsi="Cambria Math" w:cstheme="majorBidi"/>
            <w:szCs w:val="18"/>
          </w:rPr>
          <m:t>)</m:t>
        </m:r>
      </m:oMath>
      <w:r w:rsidR="006D4109" w:rsidRPr="005244BD">
        <w:rPr>
          <w:rFonts w:asciiTheme="majorBidi" w:eastAsiaTheme="minorEastAsia" w:hAnsiTheme="majorBidi" w:cstheme="majorBidi"/>
          <w:iCs/>
          <w:szCs w:val="18"/>
        </w:rPr>
        <w:t xml:space="preserve"> as functions of</w:t>
      </w:r>
      <w:r w:rsidR="00B75A58" w:rsidRPr="005244BD">
        <w:rPr>
          <w:rFonts w:asciiTheme="majorBidi" w:eastAsiaTheme="minorEastAsia" w:hAnsiTheme="majorBidi" w:cstheme="majorBidi"/>
          <w:iCs/>
          <w:szCs w:val="18"/>
        </w:rPr>
        <w:t xml:space="preserve"> the mean and variance of </w:t>
      </w:r>
      <m:oMath>
        <m:r>
          <w:rPr>
            <w:rFonts w:ascii="Cambria Math" w:eastAsiaTheme="minorEastAsia" w:hAnsi="Cambria Math" w:cstheme="majorBidi"/>
            <w:szCs w:val="18"/>
          </w:rPr>
          <m:t>R</m:t>
        </m:r>
      </m:oMath>
      <w:r w:rsidR="00B75A58" w:rsidRPr="005244BD">
        <w:rPr>
          <w:rFonts w:asciiTheme="majorBidi" w:eastAsiaTheme="minorEastAsia" w:hAnsiTheme="majorBidi" w:cstheme="majorBidi"/>
          <w:iCs/>
          <w:szCs w:val="18"/>
        </w:rPr>
        <w:t xml:space="preserve"> </w:t>
      </w:r>
      <w:r w:rsidR="006D4109" w:rsidRPr="005244BD">
        <w:rPr>
          <w:rFonts w:asciiTheme="majorBidi" w:eastAsiaTheme="minorEastAsia" w:hAnsiTheme="majorBidi" w:cstheme="majorBidi"/>
          <w:iCs/>
          <w:szCs w:val="18"/>
        </w:rPr>
        <w:t>(</w:t>
      </w:r>
      <m:oMath>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μ</m:t>
            </m:r>
          </m:e>
          <m:sub>
            <m:r>
              <w:rPr>
                <w:rFonts w:ascii="Cambria Math" w:eastAsiaTheme="minorEastAsia" w:hAnsi="Cambria Math" w:cstheme="majorBidi"/>
                <w:szCs w:val="18"/>
              </w:rPr>
              <m:t>R</m:t>
            </m:r>
          </m:sub>
        </m:sSub>
      </m:oMath>
      <w:r w:rsidR="006D4109" w:rsidRPr="005244BD">
        <w:rPr>
          <w:rFonts w:asciiTheme="majorBidi" w:eastAsiaTheme="minorEastAsia" w:hAnsiTheme="majorBidi" w:cstheme="majorBidi"/>
          <w:iCs/>
          <w:szCs w:val="18"/>
        </w:rPr>
        <w:t xml:space="preserve"> and </w:t>
      </w:r>
      <m:oMath>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σ</m:t>
            </m:r>
          </m:e>
          <m:sub>
            <m:r>
              <w:rPr>
                <w:rFonts w:ascii="Cambria Math" w:eastAsiaTheme="minorEastAsia" w:hAnsi="Cambria Math" w:cstheme="majorBidi"/>
                <w:szCs w:val="18"/>
              </w:rPr>
              <m:t>R</m:t>
            </m:r>
          </m:sub>
        </m:sSub>
      </m:oMath>
      <w:r w:rsidR="006D4109" w:rsidRPr="005244BD">
        <w:rPr>
          <w:rFonts w:asciiTheme="majorBidi" w:eastAsiaTheme="minorEastAsia" w:hAnsiTheme="majorBidi" w:cstheme="majorBidi"/>
          <w:iCs/>
          <w:szCs w:val="18"/>
        </w:rPr>
        <w:t>)</w:t>
      </w:r>
      <w:r w:rsidR="00B75A58" w:rsidRPr="005244BD">
        <w:rPr>
          <w:rFonts w:asciiTheme="majorBidi" w:eastAsiaTheme="minorEastAsia" w:hAnsiTheme="majorBidi" w:cstheme="majorBidi"/>
          <w:iCs/>
          <w:szCs w:val="18"/>
        </w:rPr>
        <w:t xml:space="preserve"> by </w:t>
      </w:r>
      <m:oMath>
        <m:sSub>
          <m:sSubPr>
            <m:ctrlPr>
              <w:rPr>
                <w:rFonts w:ascii="Cambria Math" w:eastAsiaTheme="minorEastAsia" w:hAnsi="Cambria Math" w:cstheme="majorBidi"/>
                <w:iCs/>
                <w:szCs w:val="18"/>
              </w:rPr>
            </m:ctrlPr>
          </m:sSubPr>
          <m:e>
            <m:r>
              <w:rPr>
                <w:rFonts w:ascii="Cambria Math" w:eastAsiaTheme="minorEastAsia" w:hAnsi="Cambria Math" w:cstheme="majorBidi"/>
                <w:szCs w:val="18"/>
              </w:rPr>
              <m:t>μ</m:t>
            </m:r>
          </m:e>
          <m:sub>
            <m:r>
              <w:rPr>
                <w:rFonts w:ascii="Cambria Math" w:eastAsiaTheme="minorEastAsia" w:hAnsi="Cambria Math" w:cstheme="majorBidi"/>
                <w:szCs w:val="18"/>
              </w:rPr>
              <m:t>Y</m:t>
            </m:r>
          </m:sub>
        </m:sSub>
        <m:r>
          <m:rPr>
            <m:sty m:val="p"/>
          </m:rPr>
          <w:rPr>
            <w:rFonts w:ascii="Cambria Math" w:eastAsiaTheme="minorEastAsia" w:hAnsi="Cambria Math" w:cstheme="majorBidi"/>
            <w:szCs w:val="18"/>
          </w:rPr>
          <m:t>=ln⁡(</m:t>
        </m:r>
        <m:f>
          <m:fPr>
            <m:type m:val="lin"/>
            <m:ctrlPr>
              <w:rPr>
                <w:rFonts w:ascii="Cambria Math" w:eastAsiaTheme="minorEastAsia" w:hAnsi="Cambria Math" w:cstheme="majorBidi"/>
                <w:iCs/>
                <w:szCs w:val="18"/>
              </w:rPr>
            </m:ctrlPr>
          </m:fPr>
          <m:num>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μ</m:t>
                </m:r>
              </m:e>
              <m:sub>
                <m:r>
                  <w:rPr>
                    <w:rFonts w:ascii="Cambria Math" w:eastAsiaTheme="minorEastAsia" w:hAnsi="Cambria Math" w:cstheme="majorBidi"/>
                    <w:szCs w:val="18"/>
                  </w:rPr>
                  <m:t>R</m:t>
                </m:r>
              </m:sub>
              <m:sup>
                <m:r>
                  <m:rPr>
                    <m:sty m:val="p"/>
                  </m:rPr>
                  <w:rPr>
                    <w:rFonts w:ascii="Cambria Math" w:eastAsiaTheme="minorEastAsia" w:hAnsi="Cambria Math" w:cstheme="majorBidi"/>
                    <w:szCs w:val="18"/>
                  </w:rPr>
                  <m:t>2</m:t>
                </m:r>
              </m:sup>
            </m:sSubSup>
          </m:num>
          <m:den>
            <m:rad>
              <m:radPr>
                <m:degHide m:val="1"/>
                <m:ctrlPr>
                  <w:rPr>
                    <w:rFonts w:ascii="Cambria Math" w:eastAsiaTheme="minorEastAsia" w:hAnsi="Cambria Math" w:cstheme="majorBidi"/>
                    <w:iCs/>
                    <w:szCs w:val="18"/>
                  </w:rPr>
                </m:ctrlPr>
              </m:radPr>
              <m:deg/>
              <m:e>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μ</m:t>
                    </m:r>
                  </m:e>
                  <m:sub>
                    <m:r>
                      <w:rPr>
                        <w:rFonts w:ascii="Cambria Math" w:eastAsiaTheme="minorEastAsia" w:hAnsi="Cambria Math" w:cstheme="majorBidi"/>
                        <w:szCs w:val="18"/>
                      </w:rPr>
                      <m:t>R</m:t>
                    </m:r>
                  </m:sub>
                  <m:sup>
                    <m:r>
                      <m:rPr>
                        <m:sty m:val="p"/>
                      </m:rPr>
                      <w:rPr>
                        <w:rFonts w:ascii="Cambria Math" w:eastAsiaTheme="minorEastAsia" w:hAnsi="Cambria Math" w:cstheme="majorBidi"/>
                        <w:szCs w:val="18"/>
                      </w:rPr>
                      <m:t>2</m:t>
                    </m:r>
                  </m:sup>
                </m:sSubSup>
                <m:r>
                  <m:rPr>
                    <m:sty m:val="p"/>
                  </m:rPr>
                  <w:rPr>
                    <w:rFonts w:ascii="Cambria Math" w:eastAsiaTheme="minorEastAsia" w:hAnsi="Cambria Math" w:cstheme="majorBidi"/>
                    <w:szCs w:val="18"/>
                  </w:rPr>
                  <m:t>+</m:t>
                </m:r>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σ</m:t>
                    </m:r>
                  </m:e>
                  <m:sub>
                    <m:r>
                      <w:rPr>
                        <w:rFonts w:ascii="Cambria Math" w:eastAsiaTheme="minorEastAsia" w:hAnsi="Cambria Math" w:cstheme="majorBidi"/>
                        <w:szCs w:val="18"/>
                      </w:rPr>
                      <m:t>R</m:t>
                    </m:r>
                  </m:sub>
                  <m:sup>
                    <m:r>
                      <m:rPr>
                        <m:sty m:val="p"/>
                      </m:rPr>
                      <w:rPr>
                        <w:rFonts w:ascii="Cambria Math" w:eastAsiaTheme="minorEastAsia" w:hAnsi="Cambria Math" w:cstheme="majorBidi"/>
                        <w:szCs w:val="18"/>
                      </w:rPr>
                      <m:t>2</m:t>
                    </m:r>
                  </m:sup>
                </m:sSubSup>
              </m:e>
            </m:rad>
          </m:den>
        </m:f>
        <m:r>
          <m:rPr>
            <m:sty m:val="p"/>
          </m:rPr>
          <w:rPr>
            <w:rFonts w:ascii="Cambria Math" w:eastAsiaTheme="minorEastAsia" w:hAnsi="Cambria Math" w:cstheme="majorBidi"/>
            <w:szCs w:val="18"/>
          </w:rPr>
          <m:t>)</m:t>
        </m:r>
      </m:oMath>
      <w:r w:rsidR="00B75A58" w:rsidRPr="005244BD">
        <w:rPr>
          <w:rFonts w:asciiTheme="majorBidi" w:eastAsiaTheme="minorEastAsia" w:hAnsiTheme="majorBidi" w:cstheme="majorBidi"/>
          <w:szCs w:val="18"/>
        </w:rPr>
        <w:t xml:space="preserve"> </w:t>
      </w:r>
      <w:r w:rsidR="00B75A58" w:rsidRPr="005244BD">
        <w:rPr>
          <w:rFonts w:asciiTheme="majorBidi" w:eastAsiaTheme="minorEastAsia" w:hAnsiTheme="majorBidi" w:cstheme="majorBidi"/>
          <w:iCs/>
          <w:szCs w:val="18"/>
        </w:rPr>
        <w:t xml:space="preserve">and </w:t>
      </w:r>
      <m:oMath>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σ</m:t>
            </m:r>
          </m:e>
          <m:sub>
            <m:r>
              <w:rPr>
                <w:rFonts w:ascii="Cambria Math" w:eastAsiaTheme="minorEastAsia" w:hAnsi="Cambria Math" w:cstheme="majorBidi"/>
                <w:szCs w:val="18"/>
              </w:rPr>
              <m:t>Y</m:t>
            </m:r>
          </m:sub>
          <m:sup>
            <m:r>
              <m:rPr>
                <m:sty m:val="p"/>
              </m:rPr>
              <w:rPr>
                <w:rFonts w:ascii="Cambria Math" w:eastAsiaTheme="minorEastAsia" w:hAnsi="Cambria Math" w:cstheme="majorBidi"/>
                <w:szCs w:val="18"/>
              </w:rPr>
              <m:t>2</m:t>
            </m:r>
          </m:sup>
        </m:sSubSup>
        <m:r>
          <m:rPr>
            <m:sty m:val="p"/>
          </m:rPr>
          <w:rPr>
            <w:rFonts w:ascii="Cambria Math" w:eastAsiaTheme="minorEastAsia" w:hAnsi="Cambria Math" w:cstheme="majorBidi"/>
            <w:szCs w:val="18"/>
          </w:rPr>
          <m:t>=</m:t>
        </m:r>
        <m:rad>
          <m:radPr>
            <m:degHide m:val="1"/>
            <m:ctrlPr>
              <w:rPr>
                <w:rFonts w:ascii="Cambria Math" w:eastAsiaTheme="minorEastAsia" w:hAnsi="Cambria Math" w:cstheme="majorBidi"/>
                <w:iCs/>
                <w:szCs w:val="18"/>
              </w:rPr>
            </m:ctrlPr>
          </m:radPr>
          <m:deg/>
          <m:e>
            <m:func>
              <m:funcPr>
                <m:ctrlPr>
                  <w:rPr>
                    <w:rFonts w:ascii="Cambria Math" w:eastAsiaTheme="minorEastAsia" w:hAnsi="Cambria Math" w:cstheme="majorBidi"/>
                    <w:iCs/>
                    <w:szCs w:val="18"/>
                  </w:rPr>
                </m:ctrlPr>
              </m:funcPr>
              <m:fName>
                <m:r>
                  <m:rPr>
                    <m:sty m:val="p"/>
                  </m:rPr>
                  <w:rPr>
                    <w:rFonts w:ascii="Cambria Math" w:eastAsiaTheme="minorEastAsia" w:hAnsi="Cambria Math" w:cstheme="majorBidi"/>
                    <w:szCs w:val="18"/>
                  </w:rPr>
                  <m:t>ln</m:t>
                </m:r>
              </m:fName>
              <m:e>
                <m:d>
                  <m:dPr>
                    <m:ctrlPr>
                      <w:rPr>
                        <w:rFonts w:ascii="Cambria Math" w:eastAsiaTheme="minorEastAsia" w:hAnsi="Cambria Math" w:cstheme="majorBidi"/>
                        <w:iCs/>
                        <w:szCs w:val="18"/>
                      </w:rPr>
                    </m:ctrlPr>
                  </m:dPr>
                  <m:e>
                    <m:f>
                      <m:fPr>
                        <m:type m:val="lin"/>
                        <m:ctrlPr>
                          <w:rPr>
                            <w:rFonts w:ascii="Cambria Math" w:eastAsiaTheme="minorEastAsia" w:hAnsi="Cambria Math" w:cstheme="majorBidi"/>
                            <w:iCs/>
                            <w:szCs w:val="18"/>
                          </w:rPr>
                        </m:ctrlPr>
                      </m:fPr>
                      <m:num>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σ</m:t>
                            </m:r>
                          </m:e>
                          <m:sub>
                            <m:r>
                              <w:rPr>
                                <w:rFonts w:ascii="Cambria Math" w:eastAsiaTheme="minorEastAsia" w:hAnsi="Cambria Math" w:cstheme="majorBidi"/>
                                <w:szCs w:val="18"/>
                              </w:rPr>
                              <m:t>R</m:t>
                            </m:r>
                          </m:sub>
                          <m:sup>
                            <m:r>
                              <m:rPr>
                                <m:sty m:val="p"/>
                              </m:rPr>
                              <w:rPr>
                                <w:rFonts w:ascii="Cambria Math" w:eastAsiaTheme="minorEastAsia" w:hAnsi="Cambria Math" w:cstheme="majorBidi"/>
                                <w:szCs w:val="18"/>
                              </w:rPr>
                              <m:t>2</m:t>
                            </m:r>
                          </m:sup>
                        </m:sSubSup>
                      </m:num>
                      <m:den>
                        <m:sSubSup>
                          <m:sSubSupPr>
                            <m:ctrlPr>
                              <w:rPr>
                                <w:rFonts w:ascii="Cambria Math" w:eastAsiaTheme="minorEastAsia" w:hAnsi="Cambria Math" w:cstheme="majorBidi"/>
                                <w:iCs/>
                                <w:szCs w:val="18"/>
                              </w:rPr>
                            </m:ctrlPr>
                          </m:sSubSupPr>
                          <m:e>
                            <m:r>
                              <w:rPr>
                                <w:rFonts w:ascii="Cambria Math" w:eastAsiaTheme="minorEastAsia" w:hAnsi="Cambria Math" w:cstheme="majorBidi"/>
                                <w:szCs w:val="18"/>
                              </w:rPr>
                              <m:t>μ</m:t>
                            </m:r>
                          </m:e>
                          <m:sub>
                            <m:r>
                              <w:rPr>
                                <w:rFonts w:ascii="Cambria Math" w:eastAsiaTheme="minorEastAsia" w:hAnsi="Cambria Math" w:cstheme="majorBidi"/>
                                <w:szCs w:val="18"/>
                              </w:rPr>
                              <m:t>R</m:t>
                            </m:r>
                          </m:sub>
                          <m:sup>
                            <m:r>
                              <m:rPr>
                                <m:sty m:val="p"/>
                              </m:rPr>
                              <w:rPr>
                                <w:rFonts w:ascii="Cambria Math" w:eastAsiaTheme="minorEastAsia" w:hAnsi="Cambria Math" w:cstheme="majorBidi"/>
                                <w:szCs w:val="18"/>
                              </w:rPr>
                              <m:t>2</m:t>
                            </m:r>
                          </m:sup>
                        </m:sSubSup>
                      </m:den>
                    </m:f>
                    <m:r>
                      <m:rPr>
                        <m:sty m:val="p"/>
                      </m:rPr>
                      <w:rPr>
                        <w:rFonts w:ascii="Cambria Math" w:eastAsiaTheme="minorEastAsia" w:hAnsi="Cambria Math" w:cstheme="majorBidi"/>
                        <w:szCs w:val="18"/>
                      </w:rPr>
                      <m:t>+1</m:t>
                    </m:r>
                  </m:e>
                </m:d>
              </m:e>
            </m:func>
          </m:e>
        </m:rad>
      </m:oMath>
      <w:r w:rsidR="00B75A58" w:rsidRPr="005244BD">
        <w:rPr>
          <w:rFonts w:asciiTheme="majorBidi" w:eastAsiaTheme="minorEastAsia" w:hAnsiTheme="majorBidi" w:cstheme="majorBidi"/>
          <w:iCs/>
          <w:szCs w:val="18"/>
        </w:rPr>
        <w:t xml:space="preserve">. </w:t>
      </w:r>
      <w:r w:rsidR="0042102D" w:rsidRPr="005244BD">
        <w:rPr>
          <w:rFonts w:asciiTheme="majorBidi" w:eastAsiaTheme="minorEastAsia" w:hAnsiTheme="majorBidi" w:cstheme="majorBidi"/>
          <w:iCs/>
          <w:szCs w:val="18"/>
        </w:rPr>
        <w:t xml:space="preserve">The maximum pore radius in these networks is 50 </w:t>
      </w:r>
      <m:oMath>
        <m:r>
          <m:rPr>
            <m:sty m:val="p"/>
          </m:rPr>
          <w:rPr>
            <w:rFonts w:ascii="Cambria Math" w:eastAsiaTheme="minorEastAsia" w:hAnsi="Cambria Math" w:cstheme="majorBidi"/>
            <w:szCs w:val="18"/>
          </w:rPr>
          <m:t>μm</m:t>
        </m:r>
      </m:oMath>
      <w:r w:rsidR="009A2091" w:rsidRPr="005244BD">
        <w:rPr>
          <w:rFonts w:asciiTheme="majorBidi" w:eastAsiaTheme="minorEastAsia" w:hAnsiTheme="majorBidi" w:cstheme="majorBidi"/>
          <w:szCs w:val="18"/>
        </w:rPr>
        <w:t xml:space="preserve"> with a </w:t>
      </w:r>
      <w:r w:rsidR="00B75A58" w:rsidRPr="005244BD">
        <w:rPr>
          <w:rFonts w:asciiTheme="majorBidi" w:eastAsiaTheme="minorEastAsia" w:hAnsiTheme="majorBidi" w:cstheme="majorBidi"/>
          <w:iCs/>
          <w:szCs w:val="18"/>
        </w:rPr>
        <w:t>minimum distance</w:t>
      </w:r>
      <w:r w:rsidR="009A2091" w:rsidRPr="005244BD">
        <w:rPr>
          <w:rFonts w:asciiTheme="majorBidi" w:eastAsiaTheme="minorEastAsia" w:hAnsiTheme="majorBidi" w:cstheme="majorBidi"/>
          <w:iCs/>
          <w:szCs w:val="18"/>
        </w:rPr>
        <w:t xml:space="preserve"> of 100 </w:t>
      </w:r>
      <m:oMath>
        <m:r>
          <m:rPr>
            <m:sty m:val="p"/>
          </m:rPr>
          <w:rPr>
            <w:rFonts w:ascii="Cambria Math" w:eastAsiaTheme="minorEastAsia" w:hAnsi="Cambria Math" w:cstheme="majorBidi"/>
            <w:szCs w:val="18"/>
          </w:rPr>
          <m:t>μm</m:t>
        </m:r>
      </m:oMath>
      <w:r w:rsidR="009A2091" w:rsidRPr="005244BD">
        <w:rPr>
          <w:rFonts w:asciiTheme="majorBidi" w:eastAsiaTheme="minorEastAsia" w:hAnsiTheme="majorBidi" w:cstheme="majorBidi"/>
          <w:szCs w:val="18"/>
        </w:rPr>
        <w:t xml:space="preserve"> </w:t>
      </w:r>
      <w:r w:rsidR="00B75A58" w:rsidRPr="005244BD">
        <w:rPr>
          <w:rFonts w:asciiTheme="majorBidi" w:eastAsiaTheme="minorEastAsia" w:hAnsiTheme="majorBidi" w:cstheme="majorBidi"/>
          <w:iCs/>
          <w:szCs w:val="18"/>
        </w:rPr>
        <w:t xml:space="preserve">between each pair of </w:t>
      </w:r>
      <w:r w:rsidR="009A2091" w:rsidRPr="005244BD">
        <w:rPr>
          <w:rFonts w:asciiTheme="majorBidi" w:eastAsiaTheme="minorEastAsia" w:hAnsiTheme="majorBidi" w:cstheme="majorBidi"/>
          <w:iCs/>
          <w:szCs w:val="18"/>
        </w:rPr>
        <w:t xml:space="preserve">pores </w:t>
      </w:r>
      <w:r w:rsidR="00B75A58" w:rsidRPr="005244BD">
        <w:rPr>
          <w:rFonts w:asciiTheme="majorBidi" w:eastAsiaTheme="minorEastAsia" w:hAnsiTheme="majorBidi" w:cstheme="majorBidi"/>
          <w:iCs/>
          <w:szCs w:val="18"/>
        </w:rPr>
        <w:t>(body centres)</w:t>
      </w:r>
      <w:r w:rsidR="00D943E4" w:rsidRPr="005244BD">
        <w:rPr>
          <w:rFonts w:asciiTheme="majorBidi" w:eastAsiaTheme="minorEastAsia" w:hAnsiTheme="majorBidi" w:cstheme="majorBidi"/>
          <w:iCs/>
          <w:szCs w:val="18"/>
        </w:rPr>
        <w:t xml:space="preserve"> (i.e., the space is filled randomly with pores)</w:t>
      </w:r>
      <w:r w:rsidR="009A2091" w:rsidRPr="005244BD">
        <w:rPr>
          <w:rFonts w:asciiTheme="majorBidi" w:eastAsiaTheme="minorEastAsia" w:hAnsiTheme="majorBidi" w:cstheme="majorBidi"/>
          <w:iCs/>
          <w:szCs w:val="18"/>
        </w:rPr>
        <w:t>.</w:t>
      </w:r>
      <w:r w:rsidR="00D943E4" w:rsidRPr="005244BD">
        <w:rPr>
          <w:rFonts w:asciiTheme="majorBidi" w:eastAsiaTheme="minorEastAsia" w:hAnsiTheme="majorBidi" w:cstheme="majorBidi"/>
          <w:iCs/>
          <w:szCs w:val="18"/>
        </w:rPr>
        <w:t xml:space="preserve"> The average distance between the centres of pore bodies of these networks is 119 </w:t>
      </w:r>
      <m:oMath>
        <m:r>
          <m:rPr>
            <m:sty m:val="p"/>
          </m:rPr>
          <w:rPr>
            <w:rFonts w:ascii="Cambria Math" w:eastAsiaTheme="minorEastAsia" w:hAnsi="Cambria Math" w:cstheme="majorBidi"/>
            <w:szCs w:val="18"/>
          </w:rPr>
          <m:t>μm</m:t>
        </m:r>
      </m:oMath>
      <w:r w:rsidR="00D943E4" w:rsidRPr="005244BD">
        <w:rPr>
          <w:rFonts w:asciiTheme="majorBidi" w:eastAsiaTheme="minorEastAsia" w:hAnsiTheme="majorBidi" w:cstheme="majorBidi"/>
          <w:szCs w:val="18"/>
        </w:rPr>
        <w:t xml:space="preserve"> (i.e., this distance is called as </w:t>
      </w:r>
      <w:r w:rsidR="00D943E4" w:rsidRPr="005244BD">
        <w:rPr>
          <w:rFonts w:asciiTheme="majorBidi" w:eastAsiaTheme="minorEastAsia" w:hAnsiTheme="majorBidi" w:cstheme="majorBidi"/>
          <w:iCs/>
          <w:szCs w:val="18"/>
        </w:rPr>
        <w:t>t</w:t>
      </w:r>
      <w:r w:rsidR="00B75A58" w:rsidRPr="005244BD">
        <w:rPr>
          <w:rFonts w:asciiTheme="majorBidi" w:eastAsiaTheme="minorEastAsia" w:hAnsiTheme="majorBidi" w:cstheme="majorBidi"/>
          <w:iCs/>
          <w:szCs w:val="18"/>
        </w:rPr>
        <w:t xml:space="preserve">he characteristic length of the pore network </w:t>
      </w:r>
      <w:r w:rsidR="007D4067"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{"citationItems":[{"id":"ITEM-1","itemData":{"author":[{"dropping-particle":"","family":"Bijeljic","given":"Branko","non-dropping-particle":"","parse-names":false,"suffix":""},{"dropping-particle":"","family":"Muggeridge","given":"Ann H","non-dropping-particle":"","parse-names":false,"suffix":""},{"dropping-particle":"","family":"Blunt","given":"Martin J","non-dropping-particle":"","parse-names":false,"suffix":""}],"container-title":"Water Resources Research","id":"ITEM-1","issue":"11","issued":{"date-parts":[["2004"]]},"publisher":"Wiley Online Library","title":"Pore-scale modeling of longitudinal dispersion","type":"article-journal","volume":"40"},"uris":["http://www.mendeley.com/documents/?uuid=928e58aa-f165-4472-bd6b-58003905cc80","http://www.mendeley.com/documents/?uuid=04b396e1-7618-491d-81f0-9a79664ac271"]}],"mendeley":{"formattedCitation":"(Bijeljic et al., 2004)","plainTextFormattedCitation":"(Bijeljic et al., 2004)","previouslyFormattedCitation":"(Bijeljic et al., 2004)"},"properties":{"noteIndex":0},"schema":"https://github.com/citation-style-language/schema/raw/master/csl-citation.json"}</w:instrText>
      </w:r>
      <w:r w:rsidR="007D4067"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(Bijeljic et al., 2004)</w:t>
      </w:r>
      <w:r w:rsidR="007D4067" w:rsidRPr="005244BD">
        <w:rPr>
          <w:rFonts w:asciiTheme="majorBidi" w:eastAsiaTheme="minorEastAsia" w:hAnsiTheme="majorBidi" w:cstheme="majorBidi"/>
          <w:iCs/>
          <w:szCs w:val="18"/>
        </w:rPr>
        <w:fldChar w:fldCharType="end"/>
      </w:r>
      <w:r w:rsidR="00D943E4" w:rsidRPr="005244BD">
        <w:rPr>
          <w:rFonts w:asciiTheme="majorBidi" w:eastAsiaTheme="minorEastAsia" w:hAnsiTheme="majorBidi" w:cstheme="majorBidi"/>
          <w:iCs/>
          <w:szCs w:val="18"/>
        </w:rPr>
        <w:t>)</w:t>
      </w:r>
      <w:r w:rsidR="00B75A58" w:rsidRPr="005244BD">
        <w:rPr>
          <w:rFonts w:asciiTheme="majorBidi" w:eastAsiaTheme="minorEastAsia" w:hAnsiTheme="majorBidi" w:cstheme="majorBidi"/>
          <w:iCs/>
          <w:szCs w:val="18"/>
        </w:rPr>
        <w:t xml:space="preserve">. </w:t>
      </w:r>
      <w:r w:rsidR="002C273D" w:rsidRPr="005244BD">
        <w:rPr>
          <w:rFonts w:asciiTheme="majorBidi" w:eastAsiaTheme="minorEastAsia" w:hAnsiTheme="majorBidi" w:cstheme="majorBidi"/>
          <w:iCs/>
          <w:szCs w:val="18"/>
        </w:rPr>
        <w:t xml:space="preserve">This average characteristic length is </w:t>
      </w:r>
      <w:r w:rsidR="00DA0DF4" w:rsidRPr="00DA0DF4">
        <w:rPr>
          <w:rFonts w:asciiTheme="majorBidi" w:eastAsiaTheme="minorEastAsia" w:hAnsiTheme="majorBidi" w:cstheme="majorBidi"/>
          <w:iCs/>
          <w:szCs w:val="18"/>
        </w:rPr>
        <w:t xml:space="preserve">close to </w:t>
      </w:r>
      <w:r w:rsidR="002C273D" w:rsidRPr="005244BD">
        <w:rPr>
          <w:rFonts w:asciiTheme="majorBidi" w:eastAsiaTheme="minorEastAsia" w:hAnsiTheme="majorBidi" w:cstheme="majorBidi"/>
          <w:iCs/>
          <w:szCs w:val="18"/>
        </w:rPr>
        <w:t xml:space="preserve">the </w:t>
      </w:r>
      <w:r w:rsidR="00B75A58" w:rsidRPr="005244BD">
        <w:rPr>
          <w:rFonts w:asciiTheme="majorBidi" w:eastAsiaTheme="minorEastAsia" w:hAnsiTheme="majorBidi" w:cstheme="majorBidi"/>
          <w:iCs/>
          <w:szCs w:val="18"/>
        </w:rPr>
        <w:t xml:space="preserve">Berea sandstone with a characteristic length of 131 μm and </w:t>
      </w:r>
      <w:r w:rsidR="002C273D" w:rsidRPr="005244BD">
        <w:rPr>
          <w:rFonts w:asciiTheme="majorBidi" w:eastAsiaTheme="minorEastAsia" w:hAnsiTheme="majorBidi" w:cstheme="majorBidi"/>
          <w:iCs/>
          <w:szCs w:val="18"/>
        </w:rPr>
        <w:t>other modelling studies with the</w:t>
      </w:r>
      <w:r w:rsidR="00B75A58" w:rsidRPr="005244BD">
        <w:rPr>
          <w:rFonts w:asciiTheme="majorBidi" w:eastAsiaTheme="minorEastAsia" w:hAnsiTheme="majorBidi" w:cstheme="majorBidi"/>
          <w:iCs/>
          <w:szCs w:val="18"/>
        </w:rPr>
        <w:t xml:space="preserve"> range of 100 to 150 </w:t>
      </w:r>
      <m:oMath>
        <m:r>
          <w:rPr>
            <w:rFonts w:ascii="Cambria Math" w:eastAsiaTheme="minorEastAsia" w:hAnsi="Cambria Math" w:cstheme="majorBidi"/>
            <w:szCs w:val="18"/>
          </w:rPr>
          <m:t>μm</m:t>
        </m:r>
      </m:oMath>
      <w:r w:rsidR="002C273D" w:rsidRPr="005244BD">
        <w:rPr>
          <w:rFonts w:asciiTheme="majorBidi" w:eastAsiaTheme="minorEastAsia" w:hAnsiTheme="majorBidi" w:cstheme="majorBidi"/>
          <w:iCs/>
          <w:szCs w:val="18"/>
        </w:rPr>
        <w:t xml:space="preserve"> </w:t>
      </w:r>
      <w:r w:rsidR="007D4067"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Øren","given":"Pål-Eric","non-dropping-particle":"","parse-names":false,"suffix":""},{"dropping-particle":"","family":"Bakke","given":"Stig","non-dropping-particle":"","parse-names":false,"suffix":""}],"container-title":"Journal of Petroleum Science and Engineering","id":"ITEM-1","issue":"3-4","issued":{"date-parts":[["2003"]]},"page":"177-199","publisher":"Elsevier","title":"Reconstruction of Berea sandstone and pore-scale modelling of wettability effects","type":"article-journal","volume":"39"},"uris":["http://www.mendeley.com/documents/?uuid=5ae408b5-9a84-4d77-b1b8-c7c265687eff","http://www.mendeley.com/documents/?uuid=684be0a7-d107-40dd-b0af-ea337281f007"]}],"mendeley":{"formattedCitation":"(Øren &amp; Bakke, 2003)","manualFormatting":"(Øren &amp; Bakke, 2003","plainTextFormattedCitation":"(Øren &amp; Bakke, 2003)","previouslyFormattedCitation":"(Øren &amp; Bakke, 2003)"},"properties":{"noteIndex":0},"schema":"https://github.com/citation-style-language/schema/raw/master/csl-citation.json"}</w:instrText>
      </w:r>
      <w:r w:rsidR="007D4067"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(Øren &amp; Bakke, 2003</w:t>
      </w:r>
      <w:r w:rsidR="007D4067" w:rsidRPr="005244BD">
        <w:rPr>
          <w:rFonts w:asciiTheme="majorBidi" w:eastAsiaTheme="minorEastAsia" w:hAnsiTheme="majorBidi" w:cstheme="majorBidi"/>
          <w:iCs/>
          <w:szCs w:val="18"/>
        </w:rPr>
        <w:fldChar w:fldCharType="end"/>
      </w:r>
      <w:r w:rsidR="004E651B" w:rsidRPr="005244BD">
        <w:rPr>
          <w:rFonts w:asciiTheme="majorBidi" w:eastAsiaTheme="minorEastAsia" w:hAnsiTheme="majorBidi" w:cstheme="majorBidi"/>
          <w:iCs/>
          <w:szCs w:val="18"/>
        </w:rPr>
        <w:t>,</w:t>
      </w:r>
      <w:r w:rsidR="007D4067" w:rsidRPr="005244BD">
        <w:rPr>
          <w:rFonts w:asciiTheme="majorBidi" w:eastAsiaTheme="minorEastAsia" w:hAnsiTheme="majorBidi" w:cstheme="majorBidi"/>
          <w:iCs/>
          <w:szCs w:val="18"/>
        </w:rPr>
        <w:t xml:space="preserve"> </w:t>
      </w:r>
      <w:r w:rsidR="007D4067"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{"citationItems":[{"id":"ITEM-1","itemData":{"author":[{"dropping-particle":"","family":"Bijeljic","given":"Branko","non-dropping-particle":"","parse-names":false,"suffix":""},{"dropping-particle":"","family":"Muggeridge","given":"Ann H","non-dropping-particle":"","parse-names":false,"suffix":""},{"dropping-particle":"","family":"Blunt","given":"Martin J","non-dropping-particle":"","parse-names":false,"suffix":""}],"container-title":"Water Resources Research","id":"ITEM-1","issue":"11","issued":{"date-parts":[["2004"]]},"publisher":"Wiley Online Library","title":"Pore-scale modeling of longitudinal dispersion","type":"article-journal","volume":"40"},"uris":["http://www.mendeley.com/documents/?uuid=04b396e1-7618-491d-81f0-9a79664ac271","http://www.mendeley.com/documents/?uuid=928e58aa-f165-4472-bd6b-58003905cc80"]}],"mendeley":{"formattedCitation":"(Bijeljic et al., 2004)","manualFormatting":"Bijeljic et al., 2004","plainTextFormattedCitation":"(Bijeljic et al., 2004)","previouslyFormattedCitation":"(Bijeljic et al., 2004)"},"properties":{"noteIndex":0},"schema":"https://github.com/citation-style-language/schema/raw/master/csl-citation.json"}</w:instrText>
      </w:r>
      <w:r w:rsidR="007D4067"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Bijeljic et al., 2004</w:t>
      </w:r>
      <w:r w:rsidR="007D4067" w:rsidRPr="005244BD">
        <w:rPr>
          <w:rFonts w:asciiTheme="majorBidi" w:eastAsiaTheme="minorEastAsia" w:hAnsiTheme="majorBidi" w:cstheme="majorBidi"/>
          <w:iCs/>
          <w:szCs w:val="18"/>
        </w:rPr>
        <w:fldChar w:fldCharType="end"/>
      </w:r>
      <w:r w:rsidR="004E651B" w:rsidRPr="005244BD">
        <w:rPr>
          <w:rFonts w:asciiTheme="majorBidi" w:eastAsiaTheme="minorEastAsia" w:hAnsiTheme="majorBidi" w:cstheme="majorBidi"/>
          <w:iCs/>
          <w:szCs w:val="18"/>
        </w:rPr>
        <w:t>,</w:t>
      </w:r>
      <w:r w:rsidR="007D4067" w:rsidRPr="005244BD">
        <w:rPr>
          <w:rFonts w:asciiTheme="majorBidi" w:eastAsiaTheme="minorEastAsia" w:hAnsiTheme="majorBidi" w:cstheme="majorBidi"/>
          <w:iCs/>
          <w:szCs w:val="18"/>
        </w:rPr>
        <w:t xml:space="preserve"> </w:t>
      </w:r>
      <w:r w:rsidR="007D4067" w:rsidRPr="005244BD">
        <w:rPr>
          <w:rFonts w:asciiTheme="majorBidi" w:eastAsiaTheme="minorEastAsia" w:hAnsiTheme="majorBidi" w:cstheme="majorBidi"/>
          <w:iCs/>
          <w:szCs w:val="18"/>
        </w:rPr>
        <w:fldChar w:fldCharType="begin" w:fldLock="1"/>
      </w:r>
      <w:r w:rsidR="00BF6D87" w:rsidRPr="005244BD">
        <w:rPr>
          <w:rFonts w:asciiTheme="majorBidi" w:eastAsiaTheme="minorEastAsia" w:hAnsiTheme="majorBidi" w:cstheme="majorBidi"/>
          <w:iCs/>
          <w:szCs w:val="18"/>
        </w:rPr>
        <w:instrText>ADDIN CSL_CITATION {"citationItems":[{"id":"ITEM-1","itemData":{"author":[{"dropping-particle":"","family":"Mostaghimi","given":"Peyman","non-dropping-particle":"","parse-names":false,"suffix":""},{"dropping-particle":"","family":"Bijeljic","given":"Branko","non-dropping-particle":"","parse-names":false,"suffix":""},{"dropping-particle":"","family":"Blunt","given":"Martin","non-dropping-particle":"","parse-names":false,"suffix":""},{"dropping-particle":"","family":"others","given":"","non-dropping-particle":"","parse-names":false,"suffix":""}],"container-title":"SPE Journal","id":"ITEM-1","issue":"04","issued":{"date-parts":[["2012"]]},"page":"1-131","publisher":"Society of Petroleum Engineers","title":"Simulation of flow and dispersion on pore-space images","type":"article-journal","volume":"17"},"uris":["http://www.mendeley.com/documents/?uuid=b6b95725-2d7a-4ee2-aedb-81f539fd7b84","http://www.mendeley.com/documents/?uuid=b21b8cbe-bea4-41c8-82c9-b0121cbe8f14"]}],"mendeley":{"formattedCitation":"(Mostaghimi et al., 2012)","manualFormatting":"Mostaghimi et al., 2012)","plainTextFormattedCitation":"(Mostaghimi et al., 2012)","previouslyFormattedCitation":"(Mostaghimi et al., 2012)"},"properties":{"noteIndex":0},"schema":"https://github.com/citation-style-language/schema/raw/master/csl-citation.json"}</w:instrText>
      </w:r>
      <w:r w:rsidR="007D4067" w:rsidRPr="005244BD">
        <w:rPr>
          <w:rFonts w:asciiTheme="majorBidi" w:eastAsiaTheme="minorEastAsia" w:hAnsiTheme="majorBidi" w:cstheme="majorBidi"/>
          <w:iCs/>
          <w:szCs w:val="18"/>
        </w:rPr>
        <w:fldChar w:fldCharType="separate"/>
      </w:r>
      <w:r w:rsidR="007E3CAF" w:rsidRPr="005244BD">
        <w:rPr>
          <w:rFonts w:asciiTheme="majorBidi" w:eastAsiaTheme="minorEastAsia" w:hAnsiTheme="majorBidi" w:cstheme="majorBidi"/>
          <w:iCs/>
          <w:noProof/>
          <w:szCs w:val="18"/>
        </w:rPr>
        <w:t>Mostaghimi et al., 2012)</w:t>
      </w:r>
      <w:r w:rsidR="007D4067" w:rsidRPr="005244BD">
        <w:rPr>
          <w:rFonts w:asciiTheme="majorBidi" w:eastAsiaTheme="minorEastAsia" w:hAnsiTheme="majorBidi" w:cstheme="majorBidi"/>
          <w:iCs/>
          <w:szCs w:val="18"/>
        </w:rPr>
        <w:fldChar w:fldCharType="end"/>
      </w:r>
      <w:r w:rsidR="00B75A58" w:rsidRPr="005244BD">
        <w:rPr>
          <w:rFonts w:asciiTheme="majorBidi" w:eastAsiaTheme="minorEastAsia" w:hAnsiTheme="majorBidi" w:cstheme="majorBidi"/>
          <w:iCs/>
          <w:szCs w:val="18"/>
        </w:rPr>
        <w:t xml:space="preserve">. </w:t>
      </w:r>
      <w:r w:rsidR="00DA0DF4" w:rsidRPr="000746A1">
        <w:rPr>
          <w:rFonts w:asciiTheme="majorBidi" w:eastAsiaTheme="minorEastAsia" w:hAnsiTheme="majorBidi" w:cstheme="majorBidi"/>
          <w:iCs/>
          <w:szCs w:val="18"/>
        </w:rPr>
        <w:t xml:space="preserve">Additionally the correlation lengths </w:t>
      </w:r>
      <w:r w:rsidR="00DA0DF4" w:rsidRPr="000746A1">
        <w:rPr>
          <w:rFonts w:asciiTheme="majorBidi" w:eastAsiaTheme="minorEastAsia" w:hAnsiTheme="majorBidi" w:cstheme="majorBidi"/>
          <w:iCs/>
        </w:rPr>
        <w:t>reported in</w:t>
      </w:r>
      <w:r w:rsidR="00C82010">
        <w:rPr>
          <w:rFonts w:asciiTheme="majorBidi" w:eastAsiaTheme="minorEastAsia" w:hAnsiTheme="majorBidi" w:cstheme="majorBidi"/>
          <w:iCs/>
        </w:rPr>
        <w:t xml:space="preserve"> Babaei &amp; Joekar-Niasar</w:t>
      </w:r>
      <w:r w:rsidR="00C82010" w:rsidRPr="00C82010">
        <w:rPr>
          <w:rFonts w:asciiTheme="majorBidi" w:eastAsiaTheme="minorEastAsia" w:hAnsiTheme="majorBidi" w:cstheme="majorBidi"/>
          <w:iCs/>
        </w:rPr>
        <w:t xml:space="preserve"> </w:t>
      </w:r>
      <w:r w:rsidR="00C82010">
        <w:rPr>
          <w:rFonts w:asciiTheme="majorBidi" w:eastAsiaTheme="minorEastAsia" w:hAnsiTheme="majorBidi" w:cstheme="majorBidi"/>
          <w:iCs/>
        </w:rPr>
        <w:t>(</w:t>
      </w:r>
      <w:r w:rsidR="00C82010" w:rsidRPr="00C82010">
        <w:rPr>
          <w:rFonts w:asciiTheme="majorBidi" w:eastAsiaTheme="minorEastAsia" w:hAnsiTheme="majorBidi" w:cstheme="majorBidi"/>
          <w:iCs/>
        </w:rPr>
        <w:t>2016</w:t>
      </w:r>
      <w:r w:rsidR="00C82010">
        <w:rPr>
          <w:rFonts w:asciiTheme="majorBidi" w:eastAsiaTheme="minorEastAsia" w:hAnsiTheme="majorBidi" w:cstheme="majorBidi"/>
          <w:iCs/>
        </w:rPr>
        <w:t>)</w:t>
      </w:r>
      <w:r w:rsidR="00DA0DF4" w:rsidRPr="000746A1">
        <w:rPr>
          <w:rFonts w:asciiTheme="majorBidi" w:eastAsiaTheme="minorEastAsia" w:hAnsiTheme="majorBidi" w:cstheme="majorBidi"/>
          <w:iCs/>
        </w:rPr>
        <w:t>, correspond</w:t>
      </w:r>
      <w:r w:rsidR="00DA0DF4" w:rsidRPr="000746A1">
        <w:rPr>
          <w:rFonts w:asciiTheme="majorBidi" w:eastAsiaTheme="minorEastAsia" w:hAnsiTheme="majorBidi" w:cstheme="majorBidi"/>
          <w:iCs/>
          <w:szCs w:val="18"/>
        </w:rPr>
        <w:t xml:space="preserve"> to the typical pore scale correlation lengths observed by imaging for sandstones (</w:t>
      </w:r>
      <w:r w:rsidR="00DA0DF4" w:rsidRPr="000746A1">
        <w:rPr>
          <w:rFonts w:asciiTheme="majorBidi" w:hAnsiTheme="majorBidi" w:cstheme="majorBidi"/>
        </w:rPr>
        <w:fldChar w:fldCharType="begin" w:fldLock="1"/>
      </w:r>
      <w:r w:rsidR="00234BF0">
        <w:rPr>
          <w:rFonts w:asciiTheme="majorBidi" w:hAnsiTheme="majorBidi" w:cstheme="majorBidi"/>
        </w:rPr>
        <w:instrText>ADDIN CSL_CITATION {"citationItems":[{"id":"ITEM-1","itemData":{"author":[{"dropping-particle":"","family":"Babaei","given":"M","non-dropping-particle":"","parse-names":false,"suffix":""},{"dropping-particle":"","family":"Joekar-Niasar","given":"V","non-dropping-particle":"","parse-names":false,"suffix":""}],"container-title":"Advances in water resources","id":"ITEM-1","issued":{"date-parts":[["2016"]]},"page":"23-29","publisher":"Elsevier","title":"A transport phase diagram for pore-level correlated porous media","type":"article-journal","volume":"92"},"uris":["http://www.mendeley.com/documents/?uuid=87d51206-4dea-4f32-9693-0a90dab4f1b0","http://www.mendeley.com/documents/?uuid=9e4fef0d-209e-46c1-a764-794f55df40ab"]}],"mendeley":{"formattedCitation":"(Babaei &amp; Joekar-Niasar, 2016)","manualFormatting":"Babaei &amp; Joekar-Niasar, 2016","plainTextFormattedCitation":"(Babaei &amp; Joekar-Niasar, 2016)","previouslyFormattedCitation":"(Babaei &amp; Joekar-Niasar, 2016)"},"properties":{"noteIndex":0},"schema":"https://github.com/citation-style-language/schema/raw/master/csl-citation.json"}</w:instrText>
      </w:r>
      <w:r w:rsidR="00DA0DF4" w:rsidRPr="000746A1">
        <w:rPr>
          <w:rFonts w:asciiTheme="majorBidi" w:hAnsiTheme="majorBidi" w:cstheme="majorBidi"/>
        </w:rPr>
        <w:fldChar w:fldCharType="separate"/>
      </w:r>
      <w:r w:rsidR="00DA0DF4" w:rsidRPr="000746A1">
        <w:rPr>
          <w:rFonts w:asciiTheme="majorBidi" w:hAnsiTheme="majorBidi" w:cstheme="majorBidi"/>
          <w:noProof/>
        </w:rPr>
        <w:t>Babaei &amp; Joekar-Niasar, 2016</w:t>
      </w:r>
      <w:r w:rsidR="00DA0DF4" w:rsidRPr="000746A1">
        <w:rPr>
          <w:rFonts w:asciiTheme="majorBidi" w:hAnsiTheme="majorBidi" w:cstheme="majorBidi"/>
        </w:rPr>
        <w:fldChar w:fldCharType="end"/>
      </w:r>
      <w:r w:rsidR="00DA0DF4" w:rsidRPr="000746A1">
        <w:rPr>
          <w:rFonts w:asciiTheme="majorBidi" w:hAnsiTheme="majorBidi" w:cstheme="majorBidi"/>
        </w:rPr>
        <w:t xml:space="preserve"> and reference therein). </w:t>
      </w:r>
      <w:r w:rsidR="002A46C2" w:rsidRPr="005244BD">
        <w:rPr>
          <w:rFonts w:asciiTheme="majorBidi" w:eastAsiaTheme="minorEastAsia" w:hAnsiTheme="majorBidi" w:cstheme="majorBidi"/>
          <w:iCs/>
          <w:szCs w:val="18"/>
        </w:rPr>
        <w:t>In this study, t</w:t>
      </w:r>
      <w:r w:rsidR="00B75A58" w:rsidRPr="005244BD">
        <w:rPr>
          <w:rFonts w:asciiTheme="majorBidi" w:eastAsiaTheme="minorEastAsia" w:hAnsiTheme="majorBidi" w:cstheme="majorBidi"/>
          <w:iCs/>
          <w:szCs w:val="18"/>
        </w:rPr>
        <w:t xml:space="preserve">he radii of throats </w:t>
      </w:r>
      <w:r w:rsidR="002A46C2" w:rsidRPr="005244BD">
        <w:rPr>
          <w:rFonts w:asciiTheme="majorBidi" w:eastAsiaTheme="minorEastAsia" w:hAnsiTheme="majorBidi" w:cstheme="majorBidi"/>
          <w:iCs/>
          <w:szCs w:val="18"/>
        </w:rPr>
        <w:t>(</w:t>
      </w:r>
      <m:oMath>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r</m:t>
            </m:r>
          </m:e>
          <m:sub>
            <m:r>
              <w:rPr>
                <w:rFonts w:ascii="Cambria Math" w:eastAsiaTheme="minorEastAsia" w:hAnsi="Cambria Math" w:cstheme="majorBidi"/>
                <w:szCs w:val="18"/>
              </w:rPr>
              <m:t>th</m:t>
            </m:r>
          </m:sub>
        </m:sSub>
      </m:oMath>
      <w:r w:rsidR="002A46C2" w:rsidRPr="005244BD">
        <w:rPr>
          <w:rFonts w:asciiTheme="majorBidi" w:eastAsiaTheme="minorEastAsia" w:hAnsiTheme="majorBidi" w:cstheme="majorBidi"/>
          <w:iCs/>
          <w:szCs w:val="18"/>
        </w:rPr>
        <w:t xml:space="preserve">) were </w:t>
      </w:r>
      <w:r w:rsidR="00B75A58" w:rsidRPr="005244BD">
        <w:rPr>
          <w:rFonts w:asciiTheme="majorBidi" w:eastAsiaTheme="minorEastAsia" w:hAnsiTheme="majorBidi" w:cstheme="majorBidi"/>
          <w:iCs/>
          <w:szCs w:val="18"/>
        </w:rPr>
        <w:t>calculated using the radii of the two neighbouring pore bodies</w:t>
      </w:r>
      <w:r w:rsidR="002A46C2" w:rsidRPr="005244BD">
        <w:rPr>
          <w:rFonts w:asciiTheme="majorBidi" w:eastAsiaTheme="minorEastAsia" w:hAnsiTheme="majorBidi" w:cstheme="majorBidi"/>
          <w:iCs/>
          <w:szCs w:val="18"/>
        </w:rPr>
        <w:t xml:space="preserve"> (</w:t>
      </w:r>
      <m:oMath>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r</m:t>
            </m:r>
          </m:e>
          <m:sub>
            <m:r>
              <w:rPr>
                <w:rFonts w:ascii="Cambria Math" w:eastAsiaTheme="minorEastAsia" w:hAnsi="Cambria Math" w:cstheme="majorBidi"/>
                <w:szCs w:val="18"/>
              </w:rPr>
              <m:t>i</m:t>
            </m:r>
          </m:sub>
        </m:sSub>
      </m:oMath>
      <w:r w:rsidR="002A46C2" w:rsidRPr="005244BD">
        <w:rPr>
          <w:rFonts w:asciiTheme="majorBidi" w:eastAsiaTheme="minorEastAsia" w:hAnsiTheme="majorBidi" w:cstheme="majorBidi"/>
          <w:iCs/>
          <w:szCs w:val="18"/>
        </w:rPr>
        <w:t xml:space="preserve"> and </w:t>
      </w:r>
      <m:oMath>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r</m:t>
            </m:r>
          </m:e>
          <m:sub>
            <m:r>
              <w:rPr>
                <w:rFonts w:ascii="Cambria Math" w:eastAsiaTheme="minorEastAsia" w:hAnsi="Cambria Math" w:cstheme="majorBidi"/>
                <w:szCs w:val="18"/>
              </w:rPr>
              <m:t>j</m:t>
            </m:r>
          </m:sub>
        </m:sSub>
      </m:oMath>
      <w:r w:rsidR="002A46C2" w:rsidRPr="005244BD">
        <w:rPr>
          <w:rFonts w:asciiTheme="majorBidi" w:eastAsiaTheme="minorEastAsia" w:hAnsiTheme="majorBidi" w:cstheme="majorBidi"/>
          <w:iCs/>
          <w:szCs w:val="18"/>
        </w:rPr>
        <w:t>)</w:t>
      </w:r>
      <w:r w:rsidR="00B75A58" w:rsidRPr="005244BD">
        <w:rPr>
          <w:rFonts w:asciiTheme="majorBidi" w:eastAsiaTheme="minorEastAsia" w:hAnsiTheme="majorBidi" w:cstheme="majorBidi"/>
          <w:iCs/>
          <w:szCs w:val="18"/>
        </w:rPr>
        <w:t xml:space="preserve"> </w:t>
      </w:r>
      <w:r w:rsidR="00B75A58" w:rsidRPr="005244BD">
        <w:rPr>
          <w:rFonts w:asciiTheme="majorBidi" w:eastAsiaTheme="minorEastAsia" w:hAnsiTheme="majorBidi" w:cstheme="majorBidi"/>
          <w:iCs/>
          <w:szCs w:val="18"/>
        </w:rPr>
        <w:fldChar w:fldCharType="begin" w:fldLock="1"/>
      </w:r>
      <w:r w:rsidR="00B75A58" w:rsidRPr="005244BD">
        <w:rPr>
          <w:rFonts w:asciiTheme="majorBidi" w:eastAsiaTheme="minorEastAsia" w:hAnsiTheme="majorBidi" w:cstheme="majorBidi"/>
          <w:iCs/>
          <w:szCs w:val="18"/>
        </w:rPr>
        <w:instrText>MERGEFIELD .wWw..wWw.QIQQA_CLUSTER.oOo.93715085f6104857ac753e138dd7f78d.oOo.joekar2008insights.oOo.4F8CB0B4-CEDB-4866-8013-9B12A6C61098.xXx.SEPARATE_AUTHOR_DATE.xXx..oOo. \* MERGEFORMAT</w:instrText>
      </w:r>
      <w:r w:rsidR="00B75A58" w:rsidRPr="005244BD">
        <w:rPr>
          <w:rFonts w:asciiTheme="majorBidi" w:eastAsiaTheme="minorEastAsia" w:hAnsiTheme="majorBidi" w:cstheme="majorBidi"/>
          <w:iCs/>
          <w:szCs w:val="18"/>
        </w:rPr>
        <w:fldChar w:fldCharType="separate"/>
      </w:r>
      <w:r w:rsidR="00B75A58" w:rsidRPr="005244BD">
        <w:rPr>
          <w:rFonts w:ascii="Times New Roman" w:hAnsi="Times New Roman" w:cs="Times New Roman"/>
          <w:szCs w:val="24"/>
        </w:rPr>
        <w:t>[Joekar-Niasar et al., 2008]</w:t>
      </w:r>
      <w:r w:rsidR="00B75A58" w:rsidRPr="005244BD">
        <w:rPr>
          <w:rFonts w:asciiTheme="majorBidi" w:eastAsiaTheme="minorEastAsia" w:hAnsiTheme="majorBidi" w:cstheme="majorBidi"/>
          <w:iCs/>
          <w:szCs w:val="18"/>
        </w:rPr>
        <w:fldChar w:fldCharType="end"/>
      </w:r>
      <w:r w:rsidR="00B75A58" w:rsidRPr="005244BD">
        <w:rPr>
          <w:rFonts w:asciiTheme="majorBidi" w:eastAsiaTheme="minorEastAsia" w:hAnsiTheme="majorBidi" w:cstheme="majorBidi"/>
          <w:iCs/>
          <w:szCs w:val="18"/>
        </w:rPr>
        <w:t>:</w:t>
      </w:r>
    </w:p>
    <w:p w14:paraId="2869BB31" w14:textId="0BFA2326" w:rsidR="000C0BBA" w:rsidRPr="005244BD" w:rsidRDefault="007E5EE0" w:rsidP="00772167">
      <w:pPr>
        <w:spacing w:after="0" w:line="480" w:lineRule="auto"/>
        <w:jc w:val="center"/>
        <w:rPr>
          <w:rFonts w:asciiTheme="majorBidi" w:eastAsiaTheme="minorEastAsia" w:hAnsiTheme="majorBidi" w:cstheme="majorBidi"/>
          <w:iCs/>
          <w:szCs w:val="18"/>
        </w:rPr>
      </w:pPr>
      <m:oMath>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r</m:t>
            </m:r>
          </m:e>
          <m:sub>
            <m:r>
              <w:rPr>
                <w:rFonts w:ascii="Cambria Math" w:eastAsiaTheme="minorEastAsia" w:hAnsi="Cambria Math" w:cstheme="majorBidi"/>
                <w:szCs w:val="18"/>
              </w:rPr>
              <m:t>th</m:t>
            </m:r>
          </m:sub>
        </m:sSub>
        <m:r>
          <w:rPr>
            <w:rFonts w:ascii="Cambria Math" w:eastAsiaTheme="minorEastAsia" w:hAnsi="Cambria Math" w:cstheme="majorBidi"/>
            <w:szCs w:val="18"/>
          </w:rPr>
          <m:t>=</m:t>
        </m:r>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r</m:t>
            </m:r>
          </m:e>
          <m:sub>
            <m:r>
              <w:rPr>
                <w:rFonts w:ascii="Cambria Math" w:eastAsiaTheme="minorEastAsia" w:hAnsi="Cambria Math" w:cstheme="majorBidi"/>
                <w:szCs w:val="18"/>
              </w:rPr>
              <m:t>i</m:t>
            </m:r>
          </m:sub>
        </m:sSub>
        <m:sSub>
          <m:sSubPr>
            <m:ctrlPr>
              <w:rPr>
                <w:rFonts w:ascii="Cambria Math" w:eastAsiaTheme="minorEastAsia" w:hAnsi="Cambria Math" w:cstheme="majorBidi"/>
                <w:i/>
                <w:iCs/>
                <w:szCs w:val="18"/>
              </w:rPr>
            </m:ctrlPr>
          </m:sSubPr>
          <m:e>
            <m:r>
              <w:rPr>
                <w:rFonts w:ascii="Cambria Math" w:eastAsiaTheme="minorEastAsia" w:hAnsi="Cambria Math" w:cstheme="majorBidi"/>
                <w:szCs w:val="18"/>
              </w:rPr>
              <m:t>r</m:t>
            </m:r>
          </m:e>
          <m:sub>
            <m:r>
              <w:rPr>
                <w:rFonts w:ascii="Cambria Math" w:eastAsiaTheme="minorEastAsia" w:hAnsi="Cambria Math" w:cstheme="majorBidi"/>
                <w:szCs w:val="18"/>
              </w:rPr>
              <m:t>j</m:t>
            </m:r>
          </m:sub>
        </m:sSub>
        <m:sSup>
          <m:sSupPr>
            <m:ctrlPr>
              <w:rPr>
                <w:rFonts w:ascii="Cambria Math" w:eastAsiaTheme="minorEastAsia" w:hAnsi="Cambria Math" w:cstheme="majorBidi"/>
                <w:i/>
                <w:iCs/>
                <w:szCs w:val="18"/>
              </w:rPr>
            </m:ctrlPr>
          </m:sSupPr>
          <m:e>
            <m:d>
              <m:dPr>
                <m:ctrlPr>
                  <w:rPr>
                    <w:rFonts w:ascii="Cambria Math" w:eastAsiaTheme="minorEastAsia" w:hAnsi="Cambria Math" w:cstheme="majorBidi"/>
                    <w:i/>
                    <w:iCs/>
                    <w:szCs w:val="18"/>
                  </w:rPr>
                </m:ctrlPr>
              </m:dPr>
              <m:e>
                <m:sSubSup>
                  <m:sSubSupPr>
                    <m:ctrlPr>
                      <w:rPr>
                        <w:rFonts w:ascii="Cambria Math" w:eastAsiaTheme="minorEastAsia" w:hAnsi="Cambria Math" w:cstheme="majorBidi"/>
                        <w:i/>
                        <w:iCs/>
                        <w:szCs w:val="18"/>
                      </w:rPr>
                    </m:ctrlPr>
                  </m:sSubSupPr>
                  <m:e>
                    <m:r>
                      <w:rPr>
                        <w:rFonts w:ascii="Cambria Math" w:eastAsiaTheme="minorEastAsia" w:hAnsi="Cambria Math" w:cstheme="majorBidi"/>
                        <w:szCs w:val="18"/>
                      </w:rPr>
                      <m:t>r</m:t>
                    </m:r>
                  </m:e>
                  <m:sub>
                    <m:r>
                      <w:rPr>
                        <w:rFonts w:ascii="Cambria Math" w:eastAsiaTheme="minorEastAsia" w:hAnsi="Cambria Math" w:cstheme="majorBidi"/>
                        <w:szCs w:val="18"/>
                      </w:rPr>
                      <m:t>i</m:t>
                    </m:r>
                  </m:sub>
                  <m:sup>
                    <m:f>
                      <m:fPr>
                        <m:type m:val="lin"/>
                        <m:ctrlPr>
                          <w:rPr>
                            <w:rFonts w:ascii="Cambria Math" w:eastAsiaTheme="minorEastAsia" w:hAnsi="Cambria Math" w:cstheme="majorBidi"/>
                            <w:i/>
                            <w:iCs/>
                            <w:szCs w:val="18"/>
                          </w:rPr>
                        </m:ctrlPr>
                      </m:fPr>
                      <m:num>
                        <m:r>
                          <w:rPr>
                            <w:rFonts w:ascii="Cambria Math" w:eastAsiaTheme="minorEastAsia" w:hAnsi="Cambria Math" w:cstheme="majorBidi"/>
                            <w:szCs w:val="18"/>
                          </w:rPr>
                          <m:t>1</m:t>
                        </m:r>
                      </m:num>
                      <m:den>
                        <m:r>
                          <w:rPr>
                            <w:rFonts w:ascii="Cambria Math" w:eastAsiaTheme="minorEastAsia" w:hAnsi="Cambria Math" w:cstheme="majorBidi"/>
                            <w:szCs w:val="18"/>
                          </w:rPr>
                          <m:t>0.9</m:t>
                        </m:r>
                      </m:den>
                    </m:f>
                  </m:sup>
                </m:sSubSup>
                <m:r>
                  <w:rPr>
                    <w:rFonts w:ascii="Cambria Math" w:eastAsiaTheme="minorEastAsia" w:hAnsi="Cambria Math" w:cstheme="majorBidi"/>
                    <w:szCs w:val="18"/>
                  </w:rPr>
                  <m:t>+</m:t>
                </m:r>
                <m:sSubSup>
                  <m:sSubSupPr>
                    <m:ctrlPr>
                      <w:rPr>
                        <w:rFonts w:ascii="Cambria Math" w:eastAsiaTheme="minorEastAsia" w:hAnsi="Cambria Math" w:cstheme="majorBidi"/>
                        <w:i/>
                        <w:iCs/>
                        <w:szCs w:val="18"/>
                      </w:rPr>
                    </m:ctrlPr>
                  </m:sSubSupPr>
                  <m:e>
                    <m:r>
                      <w:rPr>
                        <w:rFonts w:ascii="Cambria Math" w:eastAsiaTheme="minorEastAsia" w:hAnsi="Cambria Math" w:cstheme="majorBidi"/>
                        <w:szCs w:val="18"/>
                      </w:rPr>
                      <m:t>r</m:t>
                    </m:r>
                  </m:e>
                  <m:sub>
                    <m:r>
                      <w:rPr>
                        <w:rFonts w:ascii="Cambria Math" w:eastAsiaTheme="minorEastAsia" w:hAnsi="Cambria Math" w:cstheme="majorBidi"/>
                        <w:szCs w:val="18"/>
                      </w:rPr>
                      <m:t>j</m:t>
                    </m:r>
                  </m:sub>
                  <m:sup>
                    <m:f>
                      <m:fPr>
                        <m:type m:val="lin"/>
                        <m:ctrlPr>
                          <w:rPr>
                            <w:rFonts w:ascii="Cambria Math" w:eastAsiaTheme="minorEastAsia" w:hAnsi="Cambria Math" w:cstheme="majorBidi"/>
                            <w:i/>
                            <w:iCs/>
                            <w:szCs w:val="18"/>
                          </w:rPr>
                        </m:ctrlPr>
                      </m:fPr>
                      <m:num>
                        <m:r>
                          <w:rPr>
                            <w:rFonts w:ascii="Cambria Math" w:eastAsiaTheme="minorEastAsia" w:hAnsi="Cambria Math" w:cstheme="majorBidi"/>
                            <w:szCs w:val="18"/>
                          </w:rPr>
                          <m:t>1</m:t>
                        </m:r>
                      </m:num>
                      <m:den>
                        <m:r>
                          <w:rPr>
                            <w:rFonts w:ascii="Cambria Math" w:eastAsiaTheme="minorEastAsia" w:hAnsi="Cambria Math" w:cstheme="majorBidi"/>
                            <w:szCs w:val="18"/>
                          </w:rPr>
                          <m:t>0.9</m:t>
                        </m:r>
                      </m:den>
                    </m:f>
                  </m:sup>
                </m:sSubSup>
              </m:e>
            </m:d>
          </m:e>
          <m:sup>
            <m:r>
              <w:rPr>
                <w:rFonts w:ascii="Cambria Math" w:eastAsiaTheme="minorEastAsia" w:hAnsi="Cambria Math" w:cstheme="majorBidi"/>
                <w:szCs w:val="18"/>
              </w:rPr>
              <m:t>-0.9</m:t>
            </m:r>
          </m:sup>
        </m:sSup>
        <m:r>
          <w:rPr>
            <w:rFonts w:ascii="Cambria Math" w:eastAsiaTheme="minorEastAsia" w:hAnsi="Cambria Math" w:cstheme="majorBidi"/>
            <w:szCs w:val="18"/>
          </w:rPr>
          <m:t xml:space="preserve"> </m:t>
        </m:r>
      </m:oMath>
      <w:r w:rsidR="00E50D2F" w:rsidRPr="005244BD">
        <w:rPr>
          <w:rFonts w:asciiTheme="majorBidi" w:eastAsiaTheme="minorEastAsia" w:hAnsiTheme="majorBidi" w:cstheme="majorBidi"/>
          <w:szCs w:val="18"/>
        </w:rPr>
        <w:tab/>
      </w:r>
      <w:r w:rsidR="00E50D2F" w:rsidRPr="005244BD">
        <w:rPr>
          <w:rFonts w:asciiTheme="majorBidi" w:eastAsiaTheme="minorEastAsia" w:hAnsiTheme="majorBidi" w:cstheme="majorBidi"/>
          <w:szCs w:val="18"/>
        </w:rPr>
        <w:tab/>
      </w:r>
      <w:r w:rsidR="00E50D2F" w:rsidRPr="005244BD">
        <w:rPr>
          <w:rFonts w:asciiTheme="majorBidi" w:eastAsiaTheme="minorEastAsia" w:hAnsiTheme="majorBidi" w:cstheme="majorBidi"/>
          <w:szCs w:val="18"/>
        </w:rPr>
        <w:tab/>
      </w:r>
      <w:r w:rsidR="00B75A58" w:rsidRPr="005244BD">
        <w:rPr>
          <w:rFonts w:asciiTheme="majorBidi" w:eastAsiaTheme="minorEastAsia" w:hAnsiTheme="majorBidi" w:cstheme="majorBidi"/>
          <w:iCs/>
          <w:szCs w:val="18"/>
        </w:rPr>
        <w:t xml:space="preserve">Eq. </w:t>
      </w:r>
      <w:r w:rsidR="00655DC5" w:rsidRPr="005244BD">
        <w:rPr>
          <w:rFonts w:asciiTheme="majorBidi" w:eastAsiaTheme="minorEastAsia" w:hAnsiTheme="majorBidi" w:cstheme="majorBidi"/>
          <w:iCs/>
          <w:szCs w:val="18"/>
        </w:rPr>
        <w:t>16</w:t>
      </w:r>
      <w:bookmarkStart w:id="6" w:name="_Ref14959861"/>
      <w:bookmarkStart w:id="7" w:name="_Ref18586059"/>
    </w:p>
    <w:p w14:paraId="1296C00D" w14:textId="6EC9941C" w:rsidR="005106C3" w:rsidRPr="005244BD" w:rsidRDefault="005106C3" w:rsidP="00B91E94">
      <w:pPr>
        <w:spacing w:after="0" w:line="480" w:lineRule="auto"/>
        <w:jc w:val="both"/>
        <w:rPr>
          <w:rFonts w:asciiTheme="majorBidi" w:eastAsia="Calibri" w:hAnsiTheme="majorBidi" w:cstheme="majorBidi"/>
          <w:sz w:val="20"/>
          <w:szCs w:val="20"/>
        </w:rPr>
      </w:pPr>
      <w:bookmarkStart w:id="8" w:name="_Ref21687348"/>
      <w:r w:rsidRPr="005244BD">
        <w:rPr>
          <w:rFonts w:asciiTheme="majorBidi" w:hAnsiTheme="majorBidi" w:cstheme="majorBidi"/>
          <w:b/>
          <w:bCs/>
          <w:sz w:val="20"/>
          <w:szCs w:val="20"/>
        </w:rPr>
        <w:t xml:space="preserve">Table </w:t>
      </w:r>
      <w:r w:rsidRPr="005244BD">
        <w:rPr>
          <w:rFonts w:asciiTheme="majorBidi" w:hAnsiTheme="majorBidi" w:cstheme="majorBidi"/>
          <w:b/>
          <w:bCs/>
          <w:sz w:val="20"/>
          <w:szCs w:val="20"/>
        </w:rPr>
        <w:fldChar w:fldCharType="begin"/>
      </w:r>
      <w:r w:rsidRPr="005244BD">
        <w:rPr>
          <w:rFonts w:asciiTheme="majorBidi" w:hAnsiTheme="majorBidi" w:cstheme="majorBidi"/>
          <w:b/>
          <w:bCs/>
          <w:sz w:val="20"/>
          <w:szCs w:val="20"/>
        </w:rPr>
        <w:instrText xml:space="preserve"> SEQ Table \* ARABIC </w:instrText>
      </w:r>
      <w:r w:rsidRPr="005244BD">
        <w:rPr>
          <w:rFonts w:asciiTheme="majorBidi" w:hAnsiTheme="majorBidi" w:cstheme="majorBidi"/>
          <w:b/>
          <w:bCs/>
          <w:sz w:val="20"/>
          <w:szCs w:val="20"/>
        </w:rPr>
        <w:fldChar w:fldCharType="separate"/>
      </w:r>
      <w:r w:rsidR="00EE0F85">
        <w:rPr>
          <w:rFonts w:asciiTheme="majorBidi" w:hAnsiTheme="majorBidi" w:cstheme="majorBidi"/>
          <w:b/>
          <w:bCs/>
          <w:noProof/>
          <w:sz w:val="20"/>
          <w:szCs w:val="20"/>
        </w:rPr>
        <w:t>1</w:t>
      </w:r>
      <w:r w:rsidRPr="005244BD">
        <w:rPr>
          <w:rFonts w:asciiTheme="majorBidi" w:hAnsiTheme="majorBidi" w:cstheme="majorBidi"/>
          <w:b/>
          <w:bCs/>
          <w:sz w:val="20"/>
          <w:szCs w:val="20"/>
        </w:rPr>
        <w:fldChar w:fldCharType="end"/>
      </w:r>
      <w:bookmarkEnd w:id="5"/>
      <w:bookmarkEnd w:id="6"/>
      <w:bookmarkEnd w:id="7"/>
      <w:bookmarkEnd w:id="8"/>
      <w:r w:rsidRPr="005244BD">
        <w:rPr>
          <w:rFonts w:asciiTheme="majorBidi" w:hAnsiTheme="majorBidi" w:cstheme="majorBidi"/>
          <w:sz w:val="20"/>
          <w:szCs w:val="20"/>
        </w:rPr>
        <w:t>. List of generated un</w:t>
      </w:r>
      <w:r w:rsidR="00A51939" w:rsidRPr="005244BD">
        <w:rPr>
          <w:rFonts w:asciiTheme="majorBidi" w:hAnsiTheme="majorBidi" w:cstheme="majorBidi"/>
          <w:sz w:val="20"/>
          <w:szCs w:val="20"/>
        </w:rPr>
        <w:t>correlated</w:t>
      </w:r>
      <w:r w:rsidR="0080609C" w:rsidRPr="005244BD">
        <w:rPr>
          <w:rFonts w:asciiTheme="majorBidi" w:hAnsiTheme="majorBidi" w:cstheme="majorBidi"/>
          <w:sz w:val="20"/>
          <w:szCs w:val="20"/>
        </w:rPr>
        <w:t xml:space="preserve"> and </w:t>
      </w:r>
      <w:r w:rsidR="00A51939" w:rsidRPr="005244BD">
        <w:rPr>
          <w:rFonts w:asciiTheme="majorBidi" w:hAnsiTheme="majorBidi" w:cstheme="majorBidi"/>
          <w:sz w:val="20"/>
          <w:szCs w:val="20"/>
        </w:rPr>
        <w:t>correlated</w:t>
      </w:r>
      <w:r w:rsidRPr="005244BD">
        <w:rPr>
          <w:rFonts w:asciiTheme="majorBidi" w:hAnsiTheme="majorBidi" w:cstheme="majorBidi"/>
          <w:sz w:val="20"/>
          <w:szCs w:val="20"/>
        </w:rPr>
        <w:t xml:space="preserve"> pore networks, their geometry, pore radii distribution correlation length and absolute permeability. The coordination number of all generated networks </w:t>
      </w:r>
      <w:r w:rsidR="00B91E94">
        <w:rPr>
          <w:rFonts w:asciiTheme="majorBidi" w:hAnsiTheme="majorBidi" w:cstheme="majorBidi"/>
          <w:sz w:val="20"/>
          <w:szCs w:val="20"/>
        </w:rPr>
        <w:t>is</w:t>
      </w:r>
      <w:r w:rsidR="00B91E94" w:rsidRPr="005244BD">
        <w:rPr>
          <w:rFonts w:asciiTheme="majorBidi" w:hAnsiTheme="majorBidi" w:cstheme="majorBidi"/>
          <w:sz w:val="20"/>
          <w:szCs w:val="20"/>
        </w:rPr>
        <w:t xml:space="preserve"> </w:t>
      </w:r>
      <w:r w:rsidR="009076DF" w:rsidRPr="005244BD">
        <w:rPr>
          <w:rFonts w:asciiTheme="majorBidi" w:hAnsiTheme="majorBidi" w:cstheme="majorBidi"/>
          <w:sz w:val="20"/>
          <w:szCs w:val="20"/>
        </w:rPr>
        <w:t>5.3</w:t>
      </w:r>
      <w:r w:rsidRPr="005244BD">
        <w:rPr>
          <w:rFonts w:asciiTheme="majorBidi" w:hAnsiTheme="majorBidi" w:cstheme="majorBidi"/>
          <w:sz w:val="20"/>
          <w:szCs w:val="20"/>
        </w:rPr>
        <w:t>.</w:t>
      </w:r>
      <w:r w:rsidRPr="005244BD">
        <w:rPr>
          <w:rFonts w:asciiTheme="majorBidi" w:eastAsia="Calibri" w:hAnsiTheme="majorBidi" w:cstheme="majorBidi"/>
          <w:sz w:val="20"/>
          <w:szCs w:val="20"/>
        </w:rPr>
        <w:t xml:space="preserve"> Flow direction is along the </w:t>
      </w:r>
      <w:r w:rsidRPr="005244BD">
        <w:rPr>
          <w:rFonts w:asciiTheme="majorBidi" w:eastAsia="Calibri" w:hAnsiTheme="majorBidi" w:cstheme="majorBidi"/>
          <w:i/>
          <w:iCs/>
          <w:sz w:val="20"/>
          <w:szCs w:val="20"/>
        </w:rPr>
        <w:t>x</w:t>
      </w:r>
      <w:r w:rsidR="0072389B" w:rsidRPr="005244BD">
        <w:rPr>
          <w:rFonts w:asciiTheme="majorBidi" w:eastAsia="Calibri" w:hAnsiTheme="majorBidi" w:cstheme="majorBidi"/>
          <w:sz w:val="20"/>
          <w:szCs w:val="20"/>
        </w:rPr>
        <w:t>-</w:t>
      </w:r>
      <w:r w:rsidRPr="005244BD">
        <w:rPr>
          <w:rFonts w:asciiTheme="majorBidi" w:eastAsia="Calibri" w:hAnsiTheme="majorBidi" w:cstheme="majorBidi"/>
          <w:sz w:val="20"/>
          <w:szCs w:val="20"/>
        </w:rPr>
        <w:t>direction.</w:t>
      </w:r>
      <w:r w:rsidRPr="005244BD">
        <w:rPr>
          <w:rFonts w:asciiTheme="majorBidi" w:eastAsiaTheme="minorEastAsia" w:hAnsiTheme="majorBidi" w:cstheme="majorBidi"/>
          <w:iCs/>
          <w:sz w:val="20"/>
          <w:szCs w:val="20"/>
          <w:vertAlign w:val="superscript"/>
        </w:rPr>
        <w:t xml:space="preserve"> </w:t>
      </w:r>
    </w:p>
    <w:tbl>
      <w:tblPr>
        <w:tblStyle w:val="TableGrid"/>
        <w:tblW w:w="4702" w:type="pct"/>
        <w:jc w:val="center"/>
        <w:tblLayout w:type="fixed"/>
        <w:tblCellMar>
          <w:left w:w="0" w:type="dxa"/>
          <w:right w:w="0" w:type="dxa"/>
        </w:tblCellMar>
        <w:tblLook w:val="04A0" w:firstRow="1" w:lastRow="0" w:firstColumn="1" w:lastColumn="0" w:noHBand="0" w:noVBand="1"/>
      </w:tblPr>
      <w:tblGrid>
        <w:gridCol w:w="688"/>
        <w:gridCol w:w="711"/>
        <w:gridCol w:w="676"/>
        <w:gridCol w:w="609"/>
        <w:gridCol w:w="419"/>
        <w:gridCol w:w="138"/>
        <w:gridCol w:w="996"/>
        <w:gridCol w:w="993"/>
        <w:gridCol w:w="995"/>
        <w:gridCol w:w="1132"/>
        <w:gridCol w:w="1131"/>
      </w:tblGrid>
      <w:tr w:rsidR="001903F0" w:rsidRPr="005244BD" w14:paraId="2B4C63C8" w14:textId="7584F857" w:rsidTr="001903F0">
        <w:trPr>
          <w:jc w:val="center"/>
        </w:trPr>
        <w:tc>
          <w:tcPr>
            <w:tcW w:w="405" w:type="pct"/>
            <w:vMerge w:val="restart"/>
            <w:tcBorders>
              <w:top w:val="single" w:sz="4" w:space="0" w:color="auto"/>
              <w:left w:val="nil"/>
              <w:bottom w:val="nil"/>
              <w:right w:val="nil"/>
            </w:tcBorders>
          </w:tcPr>
          <w:p w14:paraId="3C525EB5" w14:textId="16370477" w:rsidR="001903F0" w:rsidRPr="005244BD" w:rsidRDefault="001903F0" w:rsidP="00DB1F1B">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t>Pore network</w:t>
            </w:r>
          </w:p>
        </w:tc>
        <w:tc>
          <w:tcPr>
            <w:tcW w:w="419" w:type="pct"/>
            <w:vMerge w:val="restart"/>
            <w:tcBorders>
              <w:top w:val="single" w:sz="4" w:space="0" w:color="auto"/>
              <w:left w:val="nil"/>
              <w:bottom w:val="nil"/>
              <w:right w:val="nil"/>
            </w:tcBorders>
          </w:tcPr>
          <w:p w14:paraId="3F081122" w14:textId="77777777" w:rsidR="001903F0" w:rsidRPr="005244BD" w:rsidRDefault="001903F0" w:rsidP="00DB1F1B">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t xml:space="preserve">Number of pore </w:t>
            </w:r>
            <w:r w:rsidRPr="005244BD">
              <w:rPr>
                <w:rFonts w:asciiTheme="majorBidi" w:eastAsia="Calibri" w:hAnsiTheme="majorBidi" w:cstheme="majorBidi"/>
                <w:sz w:val="20"/>
              </w:rPr>
              <w:lastRenderedPageBreak/>
              <w:t>bodies</w:t>
            </w:r>
          </w:p>
        </w:tc>
        <w:tc>
          <w:tcPr>
            <w:tcW w:w="1004" w:type="pct"/>
            <w:gridSpan w:val="3"/>
            <w:tcBorders>
              <w:top w:val="single" w:sz="4" w:space="0" w:color="auto"/>
              <w:left w:val="nil"/>
              <w:bottom w:val="single" w:sz="4" w:space="0" w:color="auto"/>
              <w:right w:val="nil"/>
            </w:tcBorders>
          </w:tcPr>
          <w:p w14:paraId="714CF69C" w14:textId="1E951CA6" w:rsidR="001903F0" w:rsidRPr="005244BD" w:rsidRDefault="001903F0" w:rsidP="00DB1F1B">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lastRenderedPageBreak/>
              <w:t>Domain size (</w:t>
            </w:r>
            <m:oMath>
              <m:r>
                <m:rPr>
                  <m:sty m:val="p"/>
                </m:rPr>
                <w:rPr>
                  <w:rFonts w:ascii="Cambria Math" w:eastAsia="Calibri" w:hAnsi="Cambria Math" w:cstheme="majorBidi"/>
                  <w:sz w:val="20"/>
                </w:rPr>
                <m:t>μm</m:t>
              </m:r>
            </m:oMath>
            <w:r w:rsidRPr="005244BD">
              <w:rPr>
                <w:rFonts w:asciiTheme="majorBidi" w:eastAsia="Calibri" w:hAnsiTheme="majorBidi" w:cstheme="majorBidi"/>
                <w:sz w:val="20"/>
              </w:rPr>
              <w:t>)</w:t>
            </w:r>
          </w:p>
        </w:tc>
        <w:tc>
          <w:tcPr>
            <w:tcW w:w="81" w:type="pct"/>
            <w:tcBorders>
              <w:top w:val="single" w:sz="4" w:space="0" w:color="auto"/>
              <w:left w:val="nil"/>
              <w:bottom w:val="nil"/>
              <w:right w:val="nil"/>
            </w:tcBorders>
          </w:tcPr>
          <w:p w14:paraId="338614DA" w14:textId="7F3A0E8B" w:rsidR="001903F0" w:rsidRPr="005244BD" w:rsidRDefault="001903F0" w:rsidP="00DB1F1B">
            <w:pPr>
              <w:spacing w:after="0" w:line="360" w:lineRule="auto"/>
              <w:jc w:val="center"/>
              <w:rPr>
                <w:rFonts w:asciiTheme="majorBidi" w:eastAsia="Calibri" w:hAnsiTheme="majorBidi" w:cstheme="majorBidi"/>
                <w:sz w:val="20"/>
              </w:rPr>
            </w:pPr>
          </w:p>
        </w:tc>
        <w:tc>
          <w:tcPr>
            <w:tcW w:w="1757" w:type="pct"/>
            <w:gridSpan w:val="3"/>
            <w:tcBorders>
              <w:top w:val="single" w:sz="4" w:space="0" w:color="auto"/>
              <w:left w:val="nil"/>
              <w:bottom w:val="single" w:sz="4" w:space="0" w:color="auto"/>
              <w:right w:val="nil"/>
            </w:tcBorders>
          </w:tcPr>
          <w:p w14:paraId="39DABE52" w14:textId="77777777" w:rsidR="001903F0" w:rsidRPr="005244BD" w:rsidRDefault="001903F0" w:rsidP="00DB1F1B">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t>Dimensionless correlation lengths</w:t>
            </w:r>
          </w:p>
        </w:tc>
        <w:tc>
          <w:tcPr>
            <w:tcW w:w="667" w:type="pct"/>
            <w:vMerge w:val="restart"/>
            <w:tcBorders>
              <w:top w:val="single" w:sz="4" w:space="0" w:color="auto"/>
              <w:left w:val="nil"/>
              <w:bottom w:val="nil"/>
              <w:right w:val="nil"/>
            </w:tcBorders>
          </w:tcPr>
          <w:p w14:paraId="17C42270" w14:textId="77777777" w:rsidR="001903F0" w:rsidRPr="005244BD" w:rsidRDefault="001903F0" w:rsidP="00DB1F1B">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t>Correlation type</w:t>
            </w:r>
          </w:p>
        </w:tc>
        <w:tc>
          <w:tcPr>
            <w:tcW w:w="667" w:type="pct"/>
            <w:vMerge w:val="restart"/>
            <w:tcBorders>
              <w:top w:val="single" w:sz="4" w:space="0" w:color="auto"/>
              <w:left w:val="nil"/>
              <w:bottom w:val="nil"/>
              <w:right w:val="nil"/>
            </w:tcBorders>
          </w:tcPr>
          <w:p w14:paraId="5A69E393" w14:textId="77777777" w:rsidR="001903F0" w:rsidRPr="005244BD" w:rsidRDefault="001903F0" w:rsidP="00DB1F1B">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t xml:space="preserve">Absolute permeability </w:t>
            </w:r>
            <w:r w:rsidRPr="005244BD">
              <w:rPr>
                <w:rFonts w:asciiTheme="majorBidi" w:eastAsia="Calibri" w:hAnsiTheme="majorBidi" w:cstheme="majorBidi"/>
                <w:sz w:val="20"/>
              </w:rPr>
              <w:lastRenderedPageBreak/>
              <w:t xml:space="preserve">(mD) </w:t>
            </w:r>
          </w:p>
        </w:tc>
      </w:tr>
      <w:tr w:rsidR="001903F0" w:rsidRPr="005244BD" w14:paraId="0E095933" w14:textId="4A1C8C72" w:rsidTr="001903F0">
        <w:trPr>
          <w:jc w:val="center"/>
        </w:trPr>
        <w:tc>
          <w:tcPr>
            <w:tcW w:w="405" w:type="pct"/>
            <w:vMerge/>
            <w:tcBorders>
              <w:top w:val="nil"/>
              <w:left w:val="nil"/>
              <w:bottom w:val="single" w:sz="4" w:space="0" w:color="auto"/>
              <w:right w:val="nil"/>
            </w:tcBorders>
          </w:tcPr>
          <w:p w14:paraId="2C9CC048" w14:textId="77777777" w:rsidR="001903F0" w:rsidRPr="005244BD" w:rsidRDefault="001903F0" w:rsidP="00DB1F1B">
            <w:pPr>
              <w:spacing w:after="0" w:line="360" w:lineRule="auto"/>
              <w:jc w:val="center"/>
              <w:rPr>
                <w:rFonts w:asciiTheme="majorBidi" w:eastAsia="Calibri" w:hAnsiTheme="majorBidi" w:cstheme="majorBidi"/>
                <w:sz w:val="20"/>
              </w:rPr>
            </w:pPr>
          </w:p>
        </w:tc>
        <w:tc>
          <w:tcPr>
            <w:tcW w:w="419" w:type="pct"/>
            <w:vMerge/>
            <w:tcBorders>
              <w:top w:val="nil"/>
              <w:left w:val="nil"/>
              <w:bottom w:val="single" w:sz="4" w:space="0" w:color="auto"/>
              <w:right w:val="nil"/>
            </w:tcBorders>
          </w:tcPr>
          <w:p w14:paraId="14894EB8" w14:textId="77777777" w:rsidR="001903F0" w:rsidRPr="005244BD" w:rsidRDefault="001903F0" w:rsidP="00DB1F1B">
            <w:pPr>
              <w:spacing w:after="0" w:line="360" w:lineRule="auto"/>
              <w:jc w:val="center"/>
              <w:rPr>
                <w:rFonts w:asciiTheme="majorBidi" w:eastAsia="Calibri" w:hAnsiTheme="majorBidi" w:cstheme="majorBidi"/>
                <w:sz w:val="20"/>
              </w:rPr>
            </w:pPr>
          </w:p>
        </w:tc>
        <w:tc>
          <w:tcPr>
            <w:tcW w:w="398" w:type="pct"/>
            <w:tcBorders>
              <w:top w:val="nil"/>
              <w:left w:val="nil"/>
              <w:bottom w:val="single" w:sz="4" w:space="0" w:color="auto"/>
              <w:right w:val="nil"/>
            </w:tcBorders>
          </w:tcPr>
          <w:p w14:paraId="729DA409" w14:textId="77777777" w:rsidR="001903F0" w:rsidRPr="005244BD" w:rsidRDefault="007E5EE0" w:rsidP="00DB1F1B">
            <w:pPr>
              <w:spacing w:after="0" w:line="360" w:lineRule="auto"/>
              <w:jc w:val="center"/>
              <w:rPr>
                <w:rFonts w:asciiTheme="majorBidi" w:eastAsia="Calibri" w:hAnsiTheme="majorBidi" w:cstheme="majorBidi"/>
                <w:sz w:val="20"/>
              </w:rPr>
            </w:pPr>
            <m:oMathPara>
              <m:oMath>
                <m:sSub>
                  <m:sSubPr>
                    <m:ctrlPr>
                      <w:rPr>
                        <w:rFonts w:ascii="Cambria Math" w:eastAsia="Calibri" w:hAnsi="Cambria Math" w:cstheme="majorBidi"/>
                        <w:sz w:val="20"/>
                      </w:rPr>
                    </m:ctrlPr>
                  </m:sSubPr>
                  <m:e>
                    <m:r>
                      <w:rPr>
                        <w:rFonts w:ascii="Cambria Math" w:eastAsia="Calibri" w:hAnsi="Cambria Math" w:cstheme="majorBidi"/>
                        <w:sz w:val="20"/>
                      </w:rPr>
                      <m:t>L</m:t>
                    </m:r>
                  </m:e>
                  <m:sub>
                    <m:r>
                      <w:rPr>
                        <w:rFonts w:ascii="Cambria Math" w:eastAsia="Calibri" w:hAnsi="Cambria Math" w:cstheme="majorBidi"/>
                        <w:sz w:val="20"/>
                      </w:rPr>
                      <m:t>x</m:t>
                    </m:r>
                  </m:sub>
                </m:sSub>
              </m:oMath>
            </m:oMathPara>
          </w:p>
        </w:tc>
        <w:tc>
          <w:tcPr>
            <w:tcW w:w="359" w:type="pct"/>
            <w:tcBorders>
              <w:top w:val="nil"/>
              <w:left w:val="nil"/>
              <w:bottom w:val="single" w:sz="4" w:space="0" w:color="auto"/>
              <w:right w:val="nil"/>
            </w:tcBorders>
          </w:tcPr>
          <w:p w14:paraId="24AADA24" w14:textId="77777777" w:rsidR="001903F0" w:rsidRPr="005244BD" w:rsidRDefault="007E5EE0" w:rsidP="00DB1F1B">
            <w:pPr>
              <w:spacing w:after="0" w:line="360" w:lineRule="auto"/>
              <w:jc w:val="center"/>
              <w:rPr>
                <w:rFonts w:asciiTheme="majorBidi" w:eastAsia="Calibri" w:hAnsiTheme="majorBidi" w:cstheme="majorBidi"/>
                <w:sz w:val="20"/>
              </w:rPr>
            </w:pPr>
            <m:oMathPara>
              <m:oMath>
                <m:sSub>
                  <m:sSubPr>
                    <m:ctrlPr>
                      <w:rPr>
                        <w:rFonts w:ascii="Cambria Math" w:eastAsia="Calibri" w:hAnsi="Cambria Math" w:cstheme="majorBidi"/>
                        <w:sz w:val="20"/>
                      </w:rPr>
                    </m:ctrlPr>
                  </m:sSubPr>
                  <m:e>
                    <m:r>
                      <w:rPr>
                        <w:rFonts w:ascii="Cambria Math" w:eastAsia="Calibri" w:hAnsi="Cambria Math" w:cstheme="majorBidi"/>
                        <w:sz w:val="20"/>
                      </w:rPr>
                      <m:t>L</m:t>
                    </m:r>
                  </m:e>
                  <m:sub>
                    <m:r>
                      <w:rPr>
                        <w:rFonts w:ascii="Cambria Math" w:eastAsia="Calibri" w:hAnsi="Cambria Math" w:cstheme="majorBidi"/>
                        <w:sz w:val="20"/>
                      </w:rPr>
                      <m:t>y</m:t>
                    </m:r>
                  </m:sub>
                </m:sSub>
              </m:oMath>
            </m:oMathPara>
          </w:p>
        </w:tc>
        <w:tc>
          <w:tcPr>
            <w:tcW w:w="328" w:type="pct"/>
            <w:gridSpan w:val="2"/>
            <w:tcBorders>
              <w:top w:val="nil"/>
              <w:left w:val="nil"/>
              <w:bottom w:val="single" w:sz="4" w:space="0" w:color="auto"/>
              <w:right w:val="nil"/>
            </w:tcBorders>
          </w:tcPr>
          <w:p w14:paraId="497F6E12" w14:textId="77777777" w:rsidR="001903F0" w:rsidRPr="005244BD" w:rsidRDefault="007E5EE0" w:rsidP="00DB1F1B">
            <w:pPr>
              <w:spacing w:after="0" w:line="360" w:lineRule="auto"/>
              <w:jc w:val="center"/>
              <w:rPr>
                <w:rFonts w:asciiTheme="majorBidi" w:eastAsia="Calibri" w:hAnsiTheme="majorBidi" w:cstheme="majorBidi"/>
                <w:sz w:val="20"/>
              </w:rPr>
            </w:pPr>
            <m:oMathPara>
              <m:oMath>
                <m:sSub>
                  <m:sSubPr>
                    <m:ctrlPr>
                      <w:rPr>
                        <w:rFonts w:ascii="Cambria Math" w:eastAsia="Calibri" w:hAnsi="Cambria Math" w:cstheme="majorBidi"/>
                        <w:sz w:val="20"/>
                      </w:rPr>
                    </m:ctrlPr>
                  </m:sSubPr>
                  <m:e>
                    <m:r>
                      <w:rPr>
                        <w:rFonts w:ascii="Cambria Math" w:eastAsia="Calibri" w:hAnsi="Cambria Math" w:cstheme="majorBidi"/>
                        <w:sz w:val="20"/>
                      </w:rPr>
                      <m:t>L</m:t>
                    </m:r>
                  </m:e>
                  <m:sub>
                    <m:r>
                      <w:rPr>
                        <w:rFonts w:ascii="Cambria Math" w:eastAsia="Calibri" w:hAnsi="Cambria Math" w:cstheme="majorBidi"/>
                        <w:sz w:val="20"/>
                      </w:rPr>
                      <m:t>z</m:t>
                    </m:r>
                  </m:sub>
                </m:sSub>
              </m:oMath>
            </m:oMathPara>
          </w:p>
        </w:tc>
        <w:tc>
          <w:tcPr>
            <w:tcW w:w="587" w:type="pct"/>
            <w:tcBorders>
              <w:top w:val="single" w:sz="4" w:space="0" w:color="auto"/>
              <w:left w:val="nil"/>
              <w:bottom w:val="single" w:sz="4" w:space="0" w:color="auto"/>
              <w:right w:val="nil"/>
            </w:tcBorders>
          </w:tcPr>
          <w:p w14:paraId="38AE7DF5" w14:textId="77777777" w:rsidR="001903F0" w:rsidRPr="005244BD" w:rsidRDefault="001903F0" w:rsidP="00DB1F1B">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i/>
                <w:iCs/>
                <w:sz w:val="20"/>
              </w:rPr>
              <w:t>x</w:t>
            </w:r>
            <w:r w:rsidRPr="005244BD">
              <w:rPr>
                <w:rFonts w:asciiTheme="majorBidi" w:eastAsia="Calibri" w:hAnsiTheme="majorBidi" w:cstheme="majorBidi"/>
                <w:sz w:val="20"/>
              </w:rPr>
              <w:t xml:space="preserve">-direction </w:t>
            </w:r>
            <w:r w:rsidRPr="005244BD">
              <w:rPr>
                <w:rFonts w:asciiTheme="majorBidi" w:eastAsia="Calibri" w:hAnsiTheme="majorBidi" w:cstheme="majorBidi"/>
                <w:sz w:val="20"/>
              </w:rPr>
              <w:lastRenderedPageBreak/>
              <w:t>(</w:t>
            </w:r>
            <m:oMath>
              <m:f>
                <m:fPr>
                  <m:type m:val="lin"/>
                  <m:ctrlPr>
                    <w:rPr>
                      <w:rFonts w:ascii="Cambria Math" w:eastAsia="Calibri" w:hAnsi="Cambria Math" w:cstheme="majorBidi"/>
                      <w:sz w:val="20"/>
                    </w:rPr>
                  </m:ctrlPr>
                </m:fPr>
                <m:num>
                  <m:sSub>
                    <m:sSubPr>
                      <m:ctrlPr>
                        <w:rPr>
                          <w:rFonts w:ascii="Cambria Math" w:eastAsia="Calibri" w:hAnsi="Cambria Math" w:cstheme="majorBidi"/>
                          <w:sz w:val="20"/>
                        </w:rPr>
                      </m:ctrlPr>
                    </m:sSubPr>
                    <m:e>
                      <m:r>
                        <w:rPr>
                          <w:rFonts w:ascii="Cambria Math" w:eastAsia="Calibri" w:hAnsi="Cambria Math" w:cstheme="majorBidi"/>
                          <w:sz w:val="20"/>
                        </w:rPr>
                        <m:t>λ</m:t>
                      </m:r>
                    </m:e>
                    <m:sub>
                      <m:r>
                        <w:rPr>
                          <w:rFonts w:ascii="Cambria Math" w:eastAsia="Calibri" w:hAnsi="Cambria Math" w:cstheme="majorBidi"/>
                          <w:sz w:val="20"/>
                        </w:rPr>
                        <m:t>x</m:t>
                      </m:r>
                    </m:sub>
                  </m:sSub>
                </m:num>
                <m:den>
                  <m:sSub>
                    <m:sSubPr>
                      <m:ctrlPr>
                        <w:rPr>
                          <w:rFonts w:ascii="Cambria Math" w:eastAsia="Calibri" w:hAnsi="Cambria Math" w:cstheme="majorBidi"/>
                          <w:sz w:val="20"/>
                        </w:rPr>
                      </m:ctrlPr>
                    </m:sSubPr>
                    <m:e>
                      <m:r>
                        <w:rPr>
                          <w:rFonts w:ascii="Cambria Math" w:eastAsia="Calibri" w:hAnsi="Cambria Math" w:cstheme="majorBidi"/>
                          <w:sz w:val="20"/>
                        </w:rPr>
                        <m:t>L</m:t>
                      </m:r>
                    </m:e>
                    <m:sub>
                      <m:r>
                        <w:rPr>
                          <w:rFonts w:ascii="Cambria Math" w:eastAsia="Calibri" w:hAnsi="Cambria Math" w:cstheme="majorBidi"/>
                          <w:sz w:val="20"/>
                        </w:rPr>
                        <m:t>x</m:t>
                      </m:r>
                    </m:sub>
                  </m:sSub>
                </m:den>
              </m:f>
            </m:oMath>
            <w:r w:rsidRPr="005244BD">
              <w:rPr>
                <w:rFonts w:asciiTheme="majorBidi" w:eastAsia="Calibri" w:hAnsiTheme="majorBidi" w:cstheme="majorBidi"/>
                <w:sz w:val="20"/>
              </w:rPr>
              <w:t>)</w:t>
            </w:r>
          </w:p>
        </w:tc>
        <w:tc>
          <w:tcPr>
            <w:tcW w:w="585" w:type="pct"/>
            <w:tcBorders>
              <w:top w:val="single" w:sz="4" w:space="0" w:color="auto"/>
              <w:left w:val="nil"/>
              <w:bottom w:val="single" w:sz="4" w:space="0" w:color="auto"/>
              <w:right w:val="nil"/>
            </w:tcBorders>
          </w:tcPr>
          <w:p w14:paraId="1922FC8B" w14:textId="77777777" w:rsidR="001903F0" w:rsidRPr="005244BD" w:rsidRDefault="001903F0" w:rsidP="00DB1F1B">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i/>
                <w:iCs/>
                <w:sz w:val="20"/>
              </w:rPr>
              <w:lastRenderedPageBreak/>
              <w:t>y</w:t>
            </w:r>
            <w:r w:rsidRPr="005244BD">
              <w:rPr>
                <w:rFonts w:asciiTheme="majorBidi" w:eastAsia="Calibri" w:hAnsiTheme="majorBidi" w:cstheme="majorBidi"/>
                <w:sz w:val="20"/>
              </w:rPr>
              <w:t xml:space="preserve">-direction </w:t>
            </w:r>
            <w:r w:rsidRPr="005244BD">
              <w:rPr>
                <w:rFonts w:asciiTheme="majorBidi" w:eastAsia="Calibri" w:hAnsiTheme="majorBidi" w:cstheme="majorBidi"/>
                <w:sz w:val="20"/>
              </w:rPr>
              <w:lastRenderedPageBreak/>
              <w:t>(</w:t>
            </w:r>
            <m:oMath>
              <m:f>
                <m:fPr>
                  <m:type m:val="lin"/>
                  <m:ctrlPr>
                    <w:rPr>
                      <w:rFonts w:ascii="Cambria Math" w:eastAsia="Calibri" w:hAnsi="Cambria Math" w:cstheme="majorBidi"/>
                      <w:sz w:val="20"/>
                    </w:rPr>
                  </m:ctrlPr>
                </m:fPr>
                <m:num>
                  <m:sSub>
                    <m:sSubPr>
                      <m:ctrlPr>
                        <w:rPr>
                          <w:rFonts w:ascii="Cambria Math" w:eastAsia="Calibri" w:hAnsi="Cambria Math" w:cstheme="majorBidi"/>
                          <w:sz w:val="20"/>
                        </w:rPr>
                      </m:ctrlPr>
                    </m:sSubPr>
                    <m:e>
                      <m:r>
                        <w:rPr>
                          <w:rFonts w:ascii="Cambria Math" w:eastAsia="Calibri" w:hAnsi="Cambria Math" w:cstheme="majorBidi"/>
                          <w:sz w:val="20"/>
                        </w:rPr>
                        <m:t>λ</m:t>
                      </m:r>
                    </m:e>
                    <m:sub>
                      <m:r>
                        <w:rPr>
                          <w:rFonts w:ascii="Cambria Math" w:eastAsia="Calibri" w:hAnsi="Cambria Math" w:cstheme="majorBidi"/>
                          <w:sz w:val="20"/>
                        </w:rPr>
                        <m:t>y</m:t>
                      </m:r>
                    </m:sub>
                  </m:sSub>
                </m:num>
                <m:den>
                  <m:sSub>
                    <m:sSubPr>
                      <m:ctrlPr>
                        <w:rPr>
                          <w:rFonts w:ascii="Cambria Math" w:eastAsia="Calibri" w:hAnsi="Cambria Math" w:cstheme="majorBidi"/>
                          <w:sz w:val="20"/>
                        </w:rPr>
                      </m:ctrlPr>
                    </m:sSubPr>
                    <m:e>
                      <m:r>
                        <w:rPr>
                          <w:rFonts w:ascii="Cambria Math" w:eastAsia="Calibri" w:hAnsi="Cambria Math" w:cstheme="majorBidi"/>
                          <w:sz w:val="20"/>
                        </w:rPr>
                        <m:t>L</m:t>
                      </m:r>
                    </m:e>
                    <m:sub>
                      <m:r>
                        <w:rPr>
                          <w:rFonts w:ascii="Cambria Math" w:eastAsia="Calibri" w:hAnsi="Cambria Math" w:cstheme="majorBidi"/>
                          <w:sz w:val="20"/>
                        </w:rPr>
                        <m:t>y</m:t>
                      </m:r>
                    </m:sub>
                  </m:sSub>
                </m:den>
              </m:f>
            </m:oMath>
            <w:r w:rsidRPr="005244BD">
              <w:rPr>
                <w:rFonts w:asciiTheme="majorBidi" w:eastAsia="Calibri" w:hAnsiTheme="majorBidi" w:cstheme="majorBidi"/>
                <w:sz w:val="20"/>
              </w:rPr>
              <w:t>)</w:t>
            </w:r>
          </w:p>
        </w:tc>
        <w:tc>
          <w:tcPr>
            <w:tcW w:w="586" w:type="pct"/>
            <w:tcBorders>
              <w:top w:val="single" w:sz="4" w:space="0" w:color="auto"/>
              <w:left w:val="nil"/>
              <w:bottom w:val="single" w:sz="4" w:space="0" w:color="auto"/>
              <w:right w:val="nil"/>
            </w:tcBorders>
          </w:tcPr>
          <w:p w14:paraId="6E3F207B" w14:textId="77777777" w:rsidR="001903F0" w:rsidRPr="005244BD" w:rsidRDefault="001903F0" w:rsidP="00DB1F1B">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i/>
                <w:iCs/>
                <w:sz w:val="20"/>
              </w:rPr>
              <w:lastRenderedPageBreak/>
              <w:t>z</w:t>
            </w:r>
            <w:r w:rsidRPr="005244BD">
              <w:rPr>
                <w:rFonts w:asciiTheme="majorBidi" w:eastAsia="Calibri" w:hAnsiTheme="majorBidi" w:cstheme="majorBidi"/>
                <w:sz w:val="20"/>
              </w:rPr>
              <w:t xml:space="preserve">-direction </w:t>
            </w:r>
            <w:r w:rsidRPr="005244BD">
              <w:rPr>
                <w:rFonts w:asciiTheme="majorBidi" w:eastAsia="Calibri" w:hAnsiTheme="majorBidi" w:cstheme="majorBidi"/>
                <w:sz w:val="20"/>
              </w:rPr>
              <w:lastRenderedPageBreak/>
              <w:t>(</w:t>
            </w:r>
            <m:oMath>
              <m:f>
                <m:fPr>
                  <m:type m:val="lin"/>
                  <m:ctrlPr>
                    <w:rPr>
                      <w:rFonts w:ascii="Cambria Math" w:eastAsia="Calibri" w:hAnsi="Cambria Math" w:cstheme="majorBidi"/>
                      <w:sz w:val="20"/>
                    </w:rPr>
                  </m:ctrlPr>
                </m:fPr>
                <m:num>
                  <m:sSub>
                    <m:sSubPr>
                      <m:ctrlPr>
                        <w:rPr>
                          <w:rFonts w:ascii="Cambria Math" w:eastAsia="Calibri" w:hAnsi="Cambria Math" w:cstheme="majorBidi"/>
                          <w:sz w:val="20"/>
                        </w:rPr>
                      </m:ctrlPr>
                    </m:sSubPr>
                    <m:e>
                      <m:r>
                        <w:rPr>
                          <w:rFonts w:ascii="Cambria Math" w:eastAsia="Calibri" w:hAnsi="Cambria Math" w:cstheme="majorBidi"/>
                          <w:sz w:val="20"/>
                        </w:rPr>
                        <m:t>λ</m:t>
                      </m:r>
                    </m:e>
                    <m:sub>
                      <m:r>
                        <w:rPr>
                          <w:rFonts w:ascii="Cambria Math" w:eastAsia="Calibri" w:hAnsi="Cambria Math" w:cstheme="majorBidi"/>
                          <w:sz w:val="20"/>
                        </w:rPr>
                        <m:t>z</m:t>
                      </m:r>
                    </m:sub>
                  </m:sSub>
                </m:num>
                <m:den>
                  <m:sSub>
                    <m:sSubPr>
                      <m:ctrlPr>
                        <w:rPr>
                          <w:rFonts w:ascii="Cambria Math" w:eastAsia="Calibri" w:hAnsi="Cambria Math" w:cstheme="majorBidi"/>
                          <w:sz w:val="20"/>
                        </w:rPr>
                      </m:ctrlPr>
                    </m:sSubPr>
                    <m:e>
                      <m:r>
                        <w:rPr>
                          <w:rFonts w:ascii="Cambria Math" w:eastAsia="Calibri" w:hAnsi="Cambria Math" w:cstheme="majorBidi"/>
                          <w:sz w:val="20"/>
                        </w:rPr>
                        <m:t>L</m:t>
                      </m:r>
                    </m:e>
                    <m:sub>
                      <m:r>
                        <w:rPr>
                          <w:rFonts w:ascii="Cambria Math" w:eastAsia="Calibri" w:hAnsi="Cambria Math" w:cstheme="majorBidi"/>
                          <w:sz w:val="20"/>
                        </w:rPr>
                        <m:t>z</m:t>
                      </m:r>
                    </m:sub>
                  </m:sSub>
                </m:den>
              </m:f>
            </m:oMath>
            <w:r w:rsidRPr="005244BD">
              <w:rPr>
                <w:rFonts w:asciiTheme="majorBidi" w:eastAsia="Calibri" w:hAnsiTheme="majorBidi" w:cstheme="majorBidi"/>
                <w:sz w:val="20"/>
              </w:rPr>
              <w:t>)</w:t>
            </w:r>
          </w:p>
        </w:tc>
        <w:tc>
          <w:tcPr>
            <w:tcW w:w="667" w:type="pct"/>
            <w:vMerge/>
            <w:tcBorders>
              <w:top w:val="nil"/>
              <w:left w:val="nil"/>
              <w:bottom w:val="single" w:sz="4" w:space="0" w:color="auto"/>
              <w:right w:val="nil"/>
            </w:tcBorders>
          </w:tcPr>
          <w:p w14:paraId="06CE1389" w14:textId="77777777" w:rsidR="001903F0" w:rsidRPr="005244BD" w:rsidRDefault="001903F0" w:rsidP="00DB1F1B">
            <w:pPr>
              <w:spacing w:after="0" w:line="360" w:lineRule="auto"/>
              <w:jc w:val="center"/>
              <w:rPr>
                <w:rFonts w:asciiTheme="majorBidi" w:eastAsia="Calibri" w:hAnsiTheme="majorBidi" w:cstheme="majorBidi"/>
                <w:sz w:val="20"/>
              </w:rPr>
            </w:pPr>
          </w:p>
        </w:tc>
        <w:tc>
          <w:tcPr>
            <w:tcW w:w="667" w:type="pct"/>
            <w:vMerge/>
            <w:tcBorders>
              <w:top w:val="nil"/>
              <w:left w:val="nil"/>
              <w:bottom w:val="single" w:sz="4" w:space="0" w:color="auto"/>
              <w:right w:val="nil"/>
            </w:tcBorders>
          </w:tcPr>
          <w:p w14:paraId="2AD02432" w14:textId="77777777" w:rsidR="001903F0" w:rsidRPr="005244BD" w:rsidRDefault="001903F0" w:rsidP="00DB1F1B">
            <w:pPr>
              <w:spacing w:after="0" w:line="360" w:lineRule="auto"/>
              <w:jc w:val="center"/>
              <w:rPr>
                <w:rFonts w:asciiTheme="majorBidi" w:eastAsia="Calibri" w:hAnsiTheme="majorBidi" w:cstheme="majorBidi"/>
                <w:sz w:val="20"/>
              </w:rPr>
            </w:pPr>
          </w:p>
        </w:tc>
      </w:tr>
      <w:tr w:rsidR="001903F0" w:rsidRPr="005244BD" w14:paraId="552CAC19" w14:textId="1DDD324C" w:rsidTr="001903F0">
        <w:trPr>
          <w:jc w:val="center"/>
        </w:trPr>
        <w:tc>
          <w:tcPr>
            <w:tcW w:w="405" w:type="pct"/>
            <w:tcBorders>
              <w:top w:val="single" w:sz="4" w:space="0" w:color="auto"/>
              <w:left w:val="nil"/>
              <w:bottom w:val="nil"/>
              <w:right w:val="nil"/>
            </w:tcBorders>
          </w:tcPr>
          <w:p w14:paraId="17AFB480" w14:textId="563C4603" w:rsidR="001903F0" w:rsidRPr="005244BD" w:rsidRDefault="001903F0" w:rsidP="00DB1F1B">
            <w:pPr>
              <w:spacing w:after="0" w:line="360" w:lineRule="auto"/>
              <w:jc w:val="center"/>
              <w:rPr>
                <w:rFonts w:asciiTheme="majorBidi" w:eastAsia="Calibri" w:hAnsiTheme="majorBidi" w:cstheme="majorBidi"/>
                <w:sz w:val="20"/>
              </w:rPr>
            </w:pPr>
            <w:r w:rsidRPr="005244BD">
              <w:rPr>
                <w:rFonts w:asciiTheme="majorBidi" w:eastAsiaTheme="minorEastAsia" w:hAnsiTheme="majorBidi" w:cstheme="majorBidi"/>
                <w:iCs/>
                <w:sz w:val="20"/>
              </w:rPr>
              <w:t>UNC1</w:t>
            </w:r>
          </w:p>
        </w:tc>
        <w:tc>
          <w:tcPr>
            <w:tcW w:w="419" w:type="pct"/>
            <w:tcBorders>
              <w:top w:val="single" w:sz="4" w:space="0" w:color="auto"/>
              <w:left w:val="nil"/>
              <w:bottom w:val="nil"/>
              <w:right w:val="nil"/>
            </w:tcBorders>
          </w:tcPr>
          <w:p w14:paraId="4AAC441A" w14:textId="64499C0F" w:rsidR="001903F0" w:rsidRPr="005244BD" w:rsidRDefault="001903F0" w:rsidP="00DB1F1B">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t>22204</w:t>
            </w:r>
          </w:p>
        </w:tc>
        <w:tc>
          <w:tcPr>
            <w:tcW w:w="398" w:type="pct"/>
            <w:tcBorders>
              <w:top w:val="single" w:sz="4" w:space="0" w:color="auto"/>
              <w:left w:val="nil"/>
              <w:bottom w:val="nil"/>
              <w:right w:val="nil"/>
            </w:tcBorders>
          </w:tcPr>
          <w:p w14:paraId="4DBD7CBA" w14:textId="77777777" w:rsidR="001903F0" w:rsidRPr="005244BD" w:rsidRDefault="001903F0" w:rsidP="00DB1F1B">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t>7,000</w:t>
            </w:r>
          </w:p>
        </w:tc>
        <w:tc>
          <w:tcPr>
            <w:tcW w:w="359" w:type="pct"/>
            <w:tcBorders>
              <w:top w:val="single" w:sz="4" w:space="0" w:color="auto"/>
              <w:left w:val="nil"/>
              <w:bottom w:val="nil"/>
              <w:right w:val="nil"/>
            </w:tcBorders>
          </w:tcPr>
          <w:p w14:paraId="7966B8E5" w14:textId="77777777" w:rsidR="001903F0" w:rsidRPr="005244BD" w:rsidRDefault="001903F0" w:rsidP="00DB1F1B">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t>4,600</w:t>
            </w:r>
          </w:p>
        </w:tc>
        <w:tc>
          <w:tcPr>
            <w:tcW w:w="328" w:type="pct"/>
            <w:gridSpan w:val="2"/>
            <w:tcBorders>
              <w:top w:val="single" w:sz="4" w:space="0" w:color="auto"/>
              <w:left w:val="nil"/>
              <w:bottom w:val="nil"/>
              <w:right w:val="nil"/>
            </w:tcBorders>
          </w:tcPr>
          <w:p w14:paraId="74D01469" w14:textId="747C1D48" w:rsidR="001903F0" w:rsidRPr="005244BD" w:rsidRDefault="001903F0" w:rsidP="00DB1F1B">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t>1150</w:t>
            </w:r>
          </w:p>
        </w:tc>
        <w:tc>
          <w:tcPr>
            <w:tcW w:w="587" w:type="pct"/>
            <w:tcBorders>
              <w:top w:val="single" w:sz="4" w:space="0" w:color="auto"/>
              <w:left w:val="nil"/>
              <w:bottom w:val="nil"/>
              <w:right w:val="nil"/>
            </w:tcBorders>
          </w:tcPr>
          <w:p w14:paraId="6DABFDA6" w14:textId="3E2D5F35" w:rsidR="001903F0" w:rsidRPr="005244BD" w:rsidRDefault="001903F0" w:rsidP="00DB1F1B">
            <w:pPr>
              <w:spacing w:after="0" w:line="360" w:lineRule="auto"/>
              <w:jc w:val="center"/>
              <w:rPr>
                <w:rFonts w:asciiTheme="majorBidi" w:eastAsia="Calibri" w:hAnsiTheme="majorBidi" w:cstheme="majorBidi"/>
                <w:sz w:val="20"/>
                <w:highlight w:val="yellow"/>
              </w:rPr>
            </w:pPr>
            <w:r w:rsidRPr="005244BD">
              <w:rPr>
                <w:rFonts w:asciiTheme="majorBidi" w:eastAsia="Calibri" w:hAnsiTheme="majorBidi" w:cstheme="majorBidi"/>
                <w:sz w:val="20"/>
              </w:rPr>
              <w:t>0.005</w:t>
            </w:r>
          </w:p>
        </w:tc>
        <w:tc>
          <w:tcPr>
            <w:tcW w:w="585" w:type="pct"/>
            <w:tcBorders>
              <w:top w:val="single" w:sz="4" w:space="0" w:color="auto"/>
              <w:left w:val="nil"/>
              <w:bottom w:val="nil"/>
              <w:right w:val="nil"/>
            </w:tcBorders>
          </w:tcPr>
          <w:p w14:paraId="7A2EACBB" w14:textId="1B619B84" w:rsidR="001903F0" w:rsidRPr="005244BD" w:rsidRDefault="001903F0" w:rsidP="00DB1F1B">
            <w:pPr>
              <w:spacing w:after="0" w:line="360" w:lineRule="auto"/>
              <w:jc w:val="center"/>
              <w:rPr>
                <w:rFonts w:asciiTheme="majorBidi" w:eastAsia="Calibri" w:hAnsiTheme="majorBidi" w:cstheme="majorBidi"/>
                <w:sz w:val="20"/>
                <w:highlight w:val="yellow"/>
              </w:rPr>
            </w:pPr>
            <w:r w:rsidRPr="005244BD">
              <w:rPr>
                <w:rFonts w:asciiTheme="majorBidi" w:eastAsia="Calibri" w:hAnsiTheme="majorBidi" w:cstheme="majorBidi"/>
                <w:sz w:val="20"/>
              </w:rPr>
              <w:t>0.005</w:t>
            </w:r>
          </w:p>
        </w:tc>
        <w:tc>
          <w:tcPr>
            <w:tcW w:w="586" w:type="pct"/>
            <w:tcBorders>
              <w:top w:val="single" w:sz="4" w:space="0" w:color="auto"/>
              <w:left w:val="nil"/>
              <w:bottom w:val="nil"/>
              <w:right w:val="nil"/>
            </w:tcBorders>
          </w:tcPr>
          <w:p w14:paraId="6BA583A2" w14:textId="794A8CFE" w:rsidR="001903F0" w:rsidRPr="005244BD" w:rsidRDefault="001903F0" w:rsidP="00DB1F1B">
            <w:pPr>
              <w:spacing w:after="0" w:line="360" w:lineRule="auto"/>
              <w:jc w:val="center"/>
              <w:rPr>
                <w:rFonts w:asciiTheme="majorBidi" w:eastAsia="Calibri" w:hAnsiTheme="majorBidi" w:cstheme="majorBidi"/>
                <w:sz w:val="20"/>
                <w:highlight w:val="yellow"/>
              </w:rPr>
            </w:pPr>
            <w:r w:rsidRPr="005244BD">
              <w:rPr>
                <w:rFonts w:asciiTheme="majorBidi" w:eastAsia="Calibri" w:hAnsiTheme="majorBidi" w:cstheme="majorBidi"/>
                <w:sz w:val="20"/>
              </w:rPr>
              <w:t>0.005</w:t>
            </w:r>
          </w:p>
        </w:tc>
        <w:tc>
          <w:tcPr>
            <w:tcW w:w="667" w:type="pct"/>
            <w:tcBorders>
              <w:top w:val="single" w:sz="4" w:space="0" w:color="auto"/>
              <w:left w:val="nil"/>
              <w:bottom w:val="nil"/>
              <w:right w:val="nil"/>
            </w:tcBorders>
          </w:tcPr>
          <w:p w14:paraId="47B7C7E0" w14:textId="11D384A2" w:rsidR="001903F0" w:rsidRPr="005244BD" w:rsidRDefault="001903F0" w:rsidP="00B010F2">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t>uncorrelated</w:t>
            </w:r>
          </w:p>
        </w:tc>
        <w:tc>
          <w:tcPr>
            <w:tcW w:w="667" w:type="pct"/>
            <w:tcBorders>
              <w:top w:val="single" w:sz="4" w:space="0" w:color="auto"/>
              <w:left w:val="nil"/>
              <w:bottom w:val="nil"/>
              <w:right w:val="nil"/>
            </w:tcBorders>
          </w:tcPr>
          <w:p w14:paraId="707BB71C" w14:textId="23C396CA" w:rsidR="001903F0" w:rsidRPr="005244BD" w:rsidRDefault="001903F0" w:rsidP="00DB1F1B">
            <w:pPr>
              <w:spacing w:after="0" w:line="360" w:lineRule="auto"/>
              <w:jc w:val="center"/>
              <w:rPr>
                <w:rFonts w:asciiTheme="majorBidi" w:eastAsiaTheme="minorEastAsia" w:hAnsiTheme="majorBidi" w:cstheme="majorBidi"/>
                <w:iCs/>
                <w:sz w:val="20"/>
              </w:rPr>
            </w:pPr>
            <w:r w:rsidRPr="005244BD">
              <w:rPr>
                <w:rFonts w:asciiTheme="majorBidi" w:eastAsiaTheme="minorEastAsia" w:hAnsiTheme="majorBidi" w:cstheme="majorBidi"/>
                <w:iCs/>
                <w:sz w:val="20"/>
              </w:rPr>
              <w:t>95.3</w:t>
            </w:r>
          </w:p>
        </w:tc>
      </w:tr>
      <w:tr w:rsidR="001903F0" w:rsidRPr="005244BD" w14:paraId="0F9EED33" w14:textId="16A54596" w:rsidTr="001903F0">
        <w:trPr>
          <w:jc w:val="center"/>
        </w:trPr>
        <w:tc>
          <w:tcPr>
            <w:tcW w:w="405" w:type="pct"/>
            <w:tcBorders>
              <w:top w:val="nil"/>
              <w:left w:val="nil"/>
              <w:bottom w:val="nil"/>
              <w:right w:val="nil"/>
            </w:tcBorders>
          </w:tcPr>
          <w:p w14:paraId="62FF5B2A" w14:textId="5628A85E" w:rsidR="001903F0" w:rsidRPr="005244BD" w:rsidRDefault="001903F0" w:rsidP="00091B87">
            <w:pPr>
              <w:spacing w:after="0" w:line="360" w:lineRule="auto"/>
              <w:jc w:val="center"/>
              <w:rPr>
                <w:rFonts w:asciiTheme="majorBidi" w:eastAsia="Calibri" w:hAnsiTheme="majorBidi" w:cstheme="majorBidi"/>
                <w:sz w:val="20"/>
              </w:rPr>
            </w:pPr>
            <w:r w:rsidRPr="005244BD">
              <w:rPr>
                <w:rFonts w:asciiTheme="majorBidi" w:eastAsiaTheme="minorEastAsia" w:hAnsiTheme="majorBidi" w:cstheme="majorBidi"/>
                <w:iCs/>
                <w:sz w:val="20"/>
              </w:rPr>
              <w:t>UNC2</w:t>
            </w:r>
          </w:p>
        </w:tc>
        <w:tc>
          <w:tcPr>
            <w:tcW w:w="419" w:type="pct"/>
            <w:tcBorders>
              <w:top w:val="nil"/>
              <w:left w:val="nil"/>
              <w:bottom w:val="nil"/>
              <w:right w:val="nil"/>
            </w:tcBorders>
          </w:tcPr>
          <w:p w14:paraId="79593A17" w14:textId="3CBC32C8" w:rsidR="001903F0" w:rsidRPr="005244BD" w:rsidRDefault="001903F0" w:rsidP="0080609C">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t>22166</w:t>
            </w:r>
          </w:p>
        </w:tc>
        <w:tc>
          <w:tcPr>
            <w:tcW w:w="398" w:type="pct"/>
            <w:tcBorders>
              <w:top w:val="nil"/>
              <w:left w:val="nil"/>
              <w:bottom w:val="nil"/>
              <w:right w:val="nil"/>
            </w:tcBorders>
          </w:tcPr>
          <w:p w14:paraId="6F166A68" w14:textId="77777777" w:rsidR="001903F0" w:rsidRPr="005244BD" w:rsidRDefault="001903F0" w:rsidP="0080609C">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t>7,000</w:t>
            </w:r>
          </w:p>
        </w:tc>
        <w:tc>
          <w:tcPr>
            <w:tcW w:w="359" w:type="pct"/>
            <w:tcBorders>
              <w:top w:val="nil"/>
              <w:left w:val="nil"/>
              <w:bottom w:val="nil"/>
              <w:right w:val="nil"/>
            </w:tcBorders>
          </w:tcPr>
          <w:p w14:paraId="49FD00E8" w14:textId="77777777" w:rsidR="001903F0" w:rsidRPr="005244BD" w:rsidRDefault="001903F0" w:rsidP="0080609C">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t>4,600</w:t>
            </w:r>
          </w:p>
        </w:tc>
        <w:tc>
          <w:tcPr>
            <w:tcW w:w="328" w:type="pct"/>
            <w:gridSpan w:val="2"/>
            <w:tcBorders>
              <w:top w:val="nil"/>
              <w:left w:val="nil"/>
              <w:bottom w:val="nil"/>
              <w:right w:val="nil"/>
            </w:tcBorders>
          </w:tcPr>
          <w:p w14:paraId="0A189821" w14:textId="21F3CE23" w:rsidR="001903F0" w:rsidRPr="005244BD" w:rsidRDefault="001903F0" w:rsidP="0080609C">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t>1150</w:t>
            </w:r>
          </w:p>
        </w:tc>
        <w:tc>
          <w:tcPr>
            <w:tcW w:w="587" w:type="pct"/>
            <w:tcBorders>
              <w:top w:val="nil"/>
              <w:left w:val="nil"/>
              <w:bottom w:val="nil"/>
              <w:right w:val="nil"/>
            </w:tcBorders>
          </w:tcPr>
          <w:p w14:paraId="6C90E747" w14:textId="03F5DABF" w:rsidR="001903F0" w:rsidRPr="005244BD" w:rsidRDefault="001903F0" w:rsidP="0080609C">
            <w:pPr>
              <w:spacing w:after="0" w:line="360" w:lineRule="auto"/>
              <w:jc w:val="center"/>
              <w:rPr>
                <w:rFonts w:asciiTheme="majorBidi" w:eastAsia="Calibri" w:hAnsiTheme="majorBidi" w:cstheme="majorBidi"/>
                <w:sz w:val="20"/>
                <w:highlight w:val="yellow"/>
              </w:rPr>
            </w:pPr>
            <w:r w:rsidRPr="005244BD">
              <w:rPr>
                <w:rFonts w:asciiTheme="majorBidi" w:eastAsia="Calibri" w:hAnsiTheme="majorBidi" w:cstheme="majorBidi"/>
                <w:sz w:val="20"/>
              </w:rPr>
              <w:t>0.005</w:t>
            </w:r>
          </w:p>
        </w:tc>
        <w:tc>
          <w:tcPr>
            <w:tcW w:w="585" w:type="pct"/>
            <w:tcBorders>
              <w:top w:val="nil"/>
              <w:left w:val="nil"/>
              <w:bottom w:val="nil"/>
              <w:right w:val="nil"/>
            </w:tcBorders>
          </w:tcPr>
          <w:p w14:paraId="0E057EF7" w14:textId="6B92FD9F" w:rsidR="001903F0" w:rsidRPr="005244BD" w:rsidRDefault="001903F0" w:rsidP="0080609C">
            <w:pPr>
              <w:spacing w:after="0" w:line="360" w:lineRule="auto"/>
              <w:jc w:val="center"/>
              <w:rPr>
                <w:rFonts w:asciiTheme="majorBidi" w:eastAsia="Calibri" w:hAnsiTheme="majorBidi" w:cstheme="majorBidi"/>
                <w:sz w:val="20"/>
                <w:highlight w:val="yellow"/>
              </w:rPr>
            </w:pPr>
            <w:r w:rsidRPr="005244BD">
              <w:rPr>
                <w:rFonts w:asciiTheme="majorBidi" w:eastAsia="Calibri" w:hAnsiTheme="majorBidi" w:cstheme="majorBidi"/>
                <w:sz w:val="20"/>
              </w:rPr>
              <w:t>0.005</w:t>
            </w:r>
          </w:p>
        </w:tc>
        <w:tc>
          <w:tcPr>
            <w:tcW w:w="586" w:type="pct"/>
            <w:tcBorders>
              <w:top w:val="nil"/>
              <w:left w:val="nil"/>
              <w:bottom w:val="nil"/>
              <w:right w:val="nil"/>
            </w:tcBorders>
          </w:tcPr>
          <w:p w14:paraId="03E47A10" w14:textId="0909FBE2" w:rsidR="001903F0" w:rsidRPr="005244BD" w:rsidRDefault="001903F0" w:rsidP="0080609C">
            <w:pPr>
              <w:spacing w:after="0" w:line="360" w:lineRule="auto"/>
              <w:jc w:val="center"/>
              <w:rPr>
                <w:rFonts w:asciiTheme="majorBidi" w:eastAsia="Calibri" w:hAnsiTheme="majorBidi" w:cstheme="majorBidi"/>
                <w:sz w:val="20"/>
                <w:highlight w:val="yellow"/>
              </w:rPr>
            </w:pPr>
            <w:r w:rsidRPr="005244BD">
              <w:rPr>
                <w:rFonts w:asciiTheme="majorBidi" w:eastAsia="Calibri" w:hAnsiTheme="majorBidi" w:cstheme="majorBidi"/>
                <w:sz w:val="20"/>
              </w:rPr>
              <w:t>0.005</w:t>
            </w:r>
          </w:p>
        </w:tc>
        <w:tc>
          <w:tcPr>
            <w:tcW w:w="667" w:type="pct"/>
            <w:tcBorders>
              <w:top w:val="nil"/>
              <w:left w:val="nil"/>
              <w:bottom w:val="nil"/>
              <w:right w:val="nil"/>
            </w:tcBorders>
          </w:tcPr>
          <w:p w14:paraId="6F2B715B" w14:textId="0D308A8F" w:rsidR="001903F0" w:rsidRPr="005244BD" w:rsidRDefault="001903F0" w:rsidP="0080609C">
            <w:pPr>
              <w:spacing w:after="0" w:line="360" w:lineRule="auto"/>
              <w:jc w:val="center"/>
              <w:rPr>
                <w:rFonts w:asciiTheme="majorBidi" w:eastAsia="Calibri" w:hAnsiTheme="majorBidi" w:cstheme="majorBidi"/>
                <w:sz w:val="20"/>
              </w:rPr>
            </w:pPr>
            <w:r w:rsidRPr="005244BD">
              <w:rPr>
                <w:rFonts w:asciiTheme="majorBidi" w:eastAsiaTheme="minorEastAsia" w:hAnsiTheme="majorBidi" w:cstheme="majorBidi"/>
                <w:iCs/>
                <w:sz w:val="20"/>
              </w:rPr>
              <w:t>uncorrelated</w:t>
            </w:r>
            <w:r w:rsidRPr="005244BD">
              <w:rPr>
                <w:rFonts w:asciiTheme="majorBidi" w:eastAsia="Calibri" w:hAnsiTheme="majorBidi" w:cstheme="majorBidi"/>
                <w:sz w:val="20"/>
                <w:vertAlign w:val="superscript"/>
              </w:rPr>
              <w:t xml:space="preserve"> </w:t>
            </w:r>
          </w:p>
        </w:tc>
        <w:tc>
          <w:tcPr>
            <w:tcW w:w="667" w:type="pct"/>
            <w:tcBorders>
              <w:top w:val="nil"/>
              <w:left w:val="nil"/>
              <w:bottom w:val="nil"/>
              <w:right w:val="nil"/>
            </w:tcBorders>
          </w:tcPr>
          <w:p w14:paraId="70A89D14" w14:textId="4E7D2BFB" w:rsidR="001903F0" w:rsidRPr="005244BD" w:rsidRDefault="001903F0" w:rsidP="0080609C">
            <w:pPr>
              <w:spacing w:after="0" w:line="360" w:lineRule="auto"/>
              <w:jc w:val="center"/>
              <w:rPr>
                <w:rFonts w:asciiTheme="majorBidi" w:eastAsiaTheme="minorEastAsia" w:hAnsiTheme="majorBidi" w:cstheme="majorBidi"/>
                <w:iCs/>
                <w:sz w:val="20"/>
              </w:rPr>
            </w:pPr>
            <w:r w:rsidRPr="005244BD">
              <w:rPr>
                <w:rFonts w:asciiTheme="majorBidi" w:eastAsiaTheme="minorEastAsia" w:hAnsiTheme="majorBidi" w:cstheme="majorBidi"/>
                <w:iCs/>
                <w:sz w:val="20"/>
              </w:rPr>
              <w:t>96.8</w:t>
            </w:r>
          </w:p>
        </w:tc>
      </w:tr>
      <w:tr w:rsidR="001903F0" w:rsidRPr="005244BD" w14:paraId="3D33285D" w14:textId="791BC214" w:rsidTr="001903F0">
        <w:trPr>
          <w:jc w:val="center"/>
        </w:trPr>
        <w:tc>
          <w:tcPr>
            <w:tcW w:w="405" w:type="pct"/>
            <w:tcBorders>
              <w:top w:val="nil"/>
              <w:left w:val="nil"/>
              <w:bottom w:val="nil"/>
              <w:right w:val="nil"/>
            </w:tcBorders>
          </w:tcPr>
          <w:p w14:paraId="5EFE646A" w14:textId="74B4D654" w:rsidR="001903F0" w:rsidRPr="005244BD" w:rsidRDefault="001903F0" w:rsidP="0080609C">
            <w:pPr>
              <w:spacing w:after="0" w:line="360" w:lineRule="auto"/>
              <w:jc w:val="center"/>
              <w:rPr>
                <w:rFonts w:asciiTheme="majorBidi" w:eastAsiaTheme="minorEastAsia" w:hAnsiTheme="majorBidi" w:cstheme="majorBidi"/>
                <w:iCs/>
                <w:sz w:val="20"/>
              </w:rPr>
            </w:pPr>
            <w:r w:rsidRPr="005244BD">
              <w:rPr>
                <w:rFonts w:asciiTheme="majorBidi" w:eastAsiaTheme="minorEastAsia" w:hAnsiTheme="majorBidi" w:cstheme="majorBidi"/>
                <w:iCs/>
                <w:sz w:val="20"/>
              </w:rPr>
              <w:t>COR1</w:t>
            </w:r>
          </w:p>
        </w:tc>
        <w:tc>
          <w:tcPr>
            <w:tcW w:w="419" w:type="pct"/>
            <w:tcBorders>
              <w:top w:val="nil"/>
              <w:left w:val="nil"/>
              <w:bottom w:val="nil"/>
              <w:right w:val="nil"/>
            </w:tcBorders>
          </w:tcPr>
          <w:p w14:paraId="605F1AC3" w14:textId="493ABCE3" w:rsidR="001903F0" w:rsidRPr="005244BD" w:rsidRDefault="001903F0" w:rsidP="0080609C">
            <w:pPr>
              <w:spacing w:after="0" w:line="360" w:lineRule="auto"/>
              <w:jc w:val="center"/>
              <w:rPr>
                <w:rFonts w:asciiTheme="majorBidi" w:eastAsiaTheme="minorEastAsia" w:hAnsiTheme="majorBidi" w:cstheme="majorBidi"/>
                <w:iCs/>
                <w:sz w:val="20"/>
              </w:rPr>
            </w:pPr>
            <w:r w:rsidRPr="005244BD">
              <w:rPr>
                <w:rFonts w:asciiTheme="majorBidi" w:eastAsiaTheme="minorEastAsia" w:hAnsiTheme="majorBidi" w:cstheme="majorBidi"/>
                <w:iCs/>
                <w:sz w:val="20"/>
              </w:rPr>
              <w:t>22207</w:t>
            </w:r>
          </w:p>
        </w:tc>
        <w:tc>
          <w:tcPr>
            <w:tcW w:w="398" w:type="pct"/>
            <w:tcBorders>
              <w:top w:val="nil"/>
              <w:left w:val="nil"/>
              <w:bottom w:val="nil"/>
              <w:right w:val="nil"/>
            </w:tcBorders>
          </w:tcPr>
          <w:p w14:paraId="3B928607" w14:textId="77777777" w:rsidR="001903F0" w:rsidRPr="005244BD" w:rsidRDefault="001903F0" w:rsidP="0080609C">
            <w:pPr>
              <w:spacing w:after="0" w:line="360" w:lineRule="auto"/>
              <w:jc w:val="center"/>
              <w:rPr>
                <w:rFonts w:asciiTheme="majorBidi" w:eastAsiaTheme="minorEastAsia" w:hAnsiTheme="majorBidi" w:cstheme="majorBidi"/>
                <w:iCs/>
                <w:sz w:val="20"/>
              </w:rPr>
            </w:pPr>
            <w:r w:rsidRPr="005244BD">
              <w:rPr>
                <w:rFonts w:asciiTheme="majorBidi" w:eastAsiaTheme="minorEastAsia" w:hAnsiTheme="majorBidi" w:cstheme="majorBidi"/>
                <w:iCs/>
                <w:sz w:val="20"/>
              </w:rPr>
              <w:t>7,000</w:t>
            </w:r>
          </w:p>
        </w:tc>
        <w:tc>
          <w:tcPr>
            <w:tcW w:w="359" w:type="pct"/>
            <w:tcBorders>
              <w:top w:val="nil"/>
              <w:left w:val="nil"/>
              <w:bottom w:val="nil"/>
              <w:right w:val="nil"/>
            </w:tcBorders>
          </w:tcPr>
          <w:p w14:paraId="7F2C968D" w14:textId="77777777" w:rsidR="001903F0" w:rsidRPr="005244BD" w:rsidRDefault="001903F0" w:rsidP="0080609C">
            <w:pPr>
              <w:spacing w:after="0" w:line="360" w:lineRule="auto"/>
              <w:jc w:val="center"/>
              <w:rPr>
                <w:rFonts w:asciiTheme="majorBidi" w:eastAsiaTheme="minorEastAsia" w:hAnsiTheme="majorBidi" w:cstheme="majorBidi"/>
                <w:iCs/>
                <w:sz w:val="20"/>
              </w:rPr>
            </w:pPr>
            <w:r w:rsidRPr="005244BD">
              <w:rPr>
                <w:rFonts w:asciiTheme="majorBidi" w:eastAsiaTheme="minorEastAsia" w:hAnsiTheme="majorBidi" w:cstheme="majorBidi"/>
                <w:iCs/>
                <w:sz w:val="20"/>
              </w:rPr>
              <w:t>4,600</w:t>
            </w:r>
          </w:p>
        </w:tc>
        <w:tc>
          <w:tcPr>
            <w:tcW w:w="328" w:type="pct"/>
            <w:gridSpan w:val="2"/>
            <w:tcBorders>
              <w:top w:val="nil"/>
              <w:left w:val="nil"/>
              <w:bottom w:val="nil"/>
              <w:right w:val="nil"/>
            </w:tcBorders>
          </w:tcPr>
          <w:p w14:paraId="6C98A185" w14:textId="44AEBBE2" w:rsidR="001903F0" w:rsidRPr="005244BD" w:rsidRDefault="001903F0" w:rsidP="0080609C">
            <w:pPr>
              <w:spacing w:after="0" w:line="360" w:lineRule="auto"/>
              <w:jc w:val="center"/>
              <w:rPr>
                <w:rFonts w:asciiTheme="majorBidi" w:eastAsiaTheme="minorEastAsia" w:hAnsiTheme="majorBidi" w:cstheme="majorBidi"/>
                <w:iCs/>
                <w:sz w:val="20"/>
              </w:rPr>
            </w:pPr>
            <w:r w:rsidRPr="005244BD">
              <w:rPr>
                <w:rFonts w:asciiTheme="majorBidi" w:eastAsia="Calibri" w:hAnsiTheme="majorBidi" w:cstheme="majorBidi"/>
                <w:sz w:val="20"/>
              </w:rPr>
              <w:t>1150</w:t>
            </w:r>
          </w:p>
        </w:tc>
        <w:tc>
          <w:tcPr>
            <w:tcW w:w="587" w:type="pct"/>
            <w:tcBorders>
              <w:top w:val="nil"/>
              <w:left w:val="nil"/>
              <w:bottom w:val="nil"/>
              <w:right w:val="nil"/>
            </w:tcBorders>
          </w:tcPr>
          <w:p w14:paraId="367966B9" w14:textId="308A754D" w:rsidR="001903F0" w:rsidRPr="005244BD" w:rsidRDefault="001903F0" w:rsidP="0080609C">
            <w:pPr>
              <w:spacing w:after="0" w:line="360" w:lineRule="auto"/>
              <w:jc w:val="center"/>
              <w:rPr>
                <w:rFonts w:asciiTheme="majorBidi" w:eastAsiaTheme="minorEastAsia" w:hAnsiTheme="majorBidi" w:cstheme="majorBidi"/>
                <w:iCs/>
                <w:sz w:val="20"/>
                <w:highlight w:val="yellow"/>
              </w:rPr>
            </w:pPr>
            <w:r w:rsidRPr="005244BD">
              <w:rPr>
                <w:rFonts w:asciiTheme="majorBidi" w:eastAsia="Calibri" w:hAnsiTheme="majorBidi" w:cstheme="majorBidi"/>
                <w:sz w:val="20"/>
              </w:rPr>
              <w:t>0.05</w:t>
            </w:r>
          </w:p>
        </w:tc>
        <w:tc>
          <w:tcPr>
            <w:tcW w:w="585" w:type="pct"/>
            <w:tcBorders>
              <w:top w:val="nil"/>
              <w:left w:val="nil"/>
              <w:bottom w:val="nil"/>
              <w:right w:val="nil"/>
            </w:tcBorders>
          </w:tcPr>
          <w:p w14:paraId="6A66A756" w14:textId="4F7D7537" w:rsidR="001903F0" w:rsidRPr="005244BD" w:rsidRDefault="001903F0" w:rsidP="0080609C">
            <w:pPr>
              <w:spacing w:after="0" w:line="360" w:lineRule="auto"/>
              <w:jc w:val="center"/>
              <w:rPr>
                <w:rFonts w:asciiTheme="majorBidi" w:eastAsiaTheme="minorEastAsia" w:hAnsiTheme="majorBidi" w:cstheme="majorBidi"/>
                <w:iCs/>
                <w:sz w:val="20"/>
                <w:highlight w:val="yellow"/>
              </w:rPr>
            </w:pPr>
            <w:r w:rsidRPr="005244BD">
              <w:rPr>
                <w:rFonts w:asciiTheme="majorBidi" w:eastAsia="Calibri" w:hAnsiTheme="majorBidi" w:cstheme="majorBidi"/>
                <w:sz w:val="20"/>
              </w:rPr>
              <w:t>0.05</w:t>
            </w:r>
          </w:p>
        </w:tc>
        <w:tc>
          <w:tcPr>
            <w:tcW w:w="586" w:type="pct"/>
            <w:tcBorders>
              <w:top w:val="nil"/>
              <w:left w:val="nil"/>
              <w:bottom w:val="nil"/>
              <w:right w:val="nil"/>
            </w:tcBorders>
          </w:tcPr>
          <w:p w14:paraId="7F2E902A" w14:textId="69EFCA26" w:rsidR="001903F0" w:rsidRPr="005244BD" w:rsidRDefault="001903F0" w:rsidP="0080609C">
            <w:pPr>
              <w:spacing w:after="0" w:line="360" w:lineRule="auto"/>
              <w:jc w:val="center"/>
              <w:rPr>
                <w:rFonts w:asciiTheme="majorBidi" w:eastAsiaTheme="minorEastAsia" w:hAnsiTheme="majorBidi" w:cstheme="majorBidi"/>
                <w:iCs/>
                <w:sz w:val="20"/>
                <w:highlight w:val="yellow"/>
              </w:rPr>
            </w:pPr>
            <w:r w:rsidRPr="005244BD">
              <w:rPr>
                <w:rFonts w:asciiTheme="majorBidi" w:eastAsia="Calibri" w:hAnsiTheme="majorBidi" w:cstheme="majorBidi"/>
                <w:sz w:val="20"/>
              </w:rPr>
              <w:t>0.05</w:t>
            </w:r>
          </w:p>
        </w:tc>
        <w:tc>
          <w:tcPr>
            <w:tcW w:w="667" w:type="pct"/>
            <w:tcBorders>
              <w:top w:val="nil"/>
              <w:left w:val="nil"/>
              <w:bottom w:val="nil"/>
              <w:right w:val="nil"/>
            </w:tcBorders>
          </w:tcPr>
          <w:p w14:paraId="385D9A1D" w14:textId="5DB02406" w:rsidR="001903F0" w:rsidRPr="005244BD" w:rsidRDefault="001903F0" w:rsidP="0080609C">
            <w:pPr>
              <w:spacing w:after="0" w:line="360" w:lineRule="auto"/>
              <w:jc w:val="center"/>
              <w:rPr>
                <w:rFonts w:asciiTheme="majorBidi" w:eastAsiaTheme="minorEastAsia" w:hAnsiTheme="majorBidi" w:cstheme="majorBidi"/>
                <w:iCs/>
                <w:sz w:val="20"/>
              </w:rPr>
            </w:pPr>
            <w:r w:rsidRPr="005244BD">
              <w:rPr>
                <w:rFonts w:asciiTheme="majorBidi" w:eastAsiaTheme="minorEastAsia" w:hAnsiTheme="majorBidi" w:cstheme="majorBidi"/>
                <w:iCs/>
                <w:sz w:val="20"/>
              </w:rPr>
              <w:t>correlated</w:t>
            </w:r>
          </w:p>
        </w:tc>
        <w:tc>
          <w:tcPr>
            <w:tcW w:w="667" w:type="pct"/>
            <w:tcBorders>
              <w:top w:val="nil"/>
              <w:left w:val="nil"/>
              <w:bottom w:val="nil"/>
              <w:right w:val="nil"/>
            </w:tcBorders>
          </w:tcPr>
          <w:p w14:paraId="79EE11F0" w14:textId="704B0D89" w:rsidR="001903F0" w:rsidRPr="005244BD" w:rsidRDefault="001903F0" w:rsidP="0080609C">
            <w:pPr>
              <w:spacing w:after="0" w:line="360" w:lineRule="auto"/>
              <w:jc w:val="center"/>
              <w:rPr>
                <w:rFonts w:asciiTheme="majorBidi" w:eastAsiaTheme="minorEastAsia" w:hAnsiTheme="majorBidi" w:cstheme="majorBidi"/>
                <w:iCs/>
                <w:sz w:val="20"/>
              </w:rPr>
            </w:pPr>
            <w:r w:rsidRPr="005244BD">
              <w:rPr>
                <w:rFonts w:asciiTheme="majorBidi" w:eastAsiaTheme="minorEastAsia" w:hAnsiTheme="majorBidi" w:cstheme="majorBidi"/>
                <w:iCs/>
                <w:sz w:val="20"/>
              </w:rPr>
              <w:t>86.7</w:t>
            </w:r>
          </w:p>
        </w:tc>
      </w:tr>
      <w:tr w:rsidR="001903F0" w:rsidRPr="005244BD" w14:paraId="749C8A3A" w14:textId="20E7F846" w:rsidTr="001903F0">
        <w:trPr>
          <w:jc w:val="center"/>
        </w:trPr>
        <w:tc>
          <w:tcPr>
            <w:tcW w:w="405" w:type="pct"/>
            <w:tcBorders>
              <w:top w:val="nil"/>
              <w:left w:val="nil"/>
              <w:bottom w:val="single" w:sz="4" w:space="0" w:color="auto"/>
              <w:right w:val="nil"/>
            </w:tcBorders>
          </w:tcPr>
          <w:p w14:paraId="0F618A60" w14:textId="7CBC2B73" w:rsidR="001903F0" w:rsidRPr="005244BD" w:rsidRDefault="001903F0" w:rsidP="00091B87">
            <w:pPr>
              <w:spacing w:after="0" w:line="360" w:lineRule="auto"/>
              <w:jc w:val="center"/>
              <w:rPr>
                <w:rFonts w:asciiTheme="majorBidi" w:eastAsiaTheme="minorEastAsia" w:hAnsiTheme="majorBidi" w:cstheme="majorBidi"/>
                <w:iCs/>
                <w:sz w:val="20"/>
              </w:rPr>
            </w:pPr>
            <w:r w:rsidRPr="005244BD">
              <w:rPr>
                <w:rFonts w:asciiTheme="majorBidi" w:eastAsiaTheme="minorEastAsia" w:hAnsiTheme="majorBidi" w:cstheme="majorBidi"/>
                <w:iCs/>
                <w:sz w:val="20"/>
              </w:rPr>
              <w:t>COR2</w:t>
            </w:r>
          </w:p>
        </w:tc>
        <w:tc>
          <w:tcPr>
            <w:tcW w:w="419" w:type="pct"/>
            <w:tcBorders>
              <w:top w:val="nil"/>
              <w:left w:val="nil"/>
              <w:bottom w:val="single" w:sz="4" w:space="0" w:color="auto"/>
              <w:right w:val="nil"/>
            </w:tcBorders>
          </w:tcPr>
          <w:p w14:paraId="2C062E16" w14:textId="203BF73F" w:rsidR="001903F0" w:rsidRPr="005244BD" w:rsidRDefault="001903F0" w:rsidP="0080609C">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t>22167</w:t>
            </w:r>
          </w:p>
        </w:tc>
        <w:tc>
          <w:tcPr>
            <w:tcW w:w="398" w:type="pct"/>
            <w:tcBorders>
              <w:top w:val="nil"/>
              <w:left w:val="nil"/>
              <w:bottom w:val="single" w:sz="4" w:space="0" w:color="auto"/>
              <w:right w:val="nil"/>
            </w:tcBorders>
          </w:tcPr>
          <w:p w14:paraId="0422D817" w14:textId="431DC65C" w:rsidR="001903F0" w:rsidRPr="005244BD" w:rsidRDefault="001903F0" w:rsidP="0080609C">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t>7,000</w:t>
            </w:r>
          </w:p>
        </w:tc>
        <w:tc>
          <w:tcPr>
            <w:tcW w:w="359" w:type="pct"/>
            <w:tcBorders>
              <w:top w:val="nil"/>
              <w:left w:val="nil"/>
              <w:bottom w:val="single" w:sz="4" w:space="0" w:color="auto"/>
              <w:right w:val="nil"/>
            </w:tcBorders>
          </w:tcPr>
          <w:p w14:paraId="47C89284" w14:textId="4FB2C30C" w:rsidR="001903F0" w:rsidRPr="005244BD" w:rsidRDefault="001903F0" w:rsidP="0080609C">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t>4,600</w:t>
            </w:r>
          </w:p>
        </w:tc>
        <w:tc>
          <w:tcPr>
            <w:tcW w:w="328" w:type="pct"/>
            <w:gridSpan w:val="2"/>
            <w:tcBorders>
              <w:top w:val="nil"/>
              <w:left w:val="nil"/>
              <w:bottom w:val="single" w:sz="4" w:space="0" w:color="auto"/>
              <w:right w:val="nil"/>
            </w:tcBorders>
          </w:tcPr>
          <w:p w14:paraId="74A9B993" w14:textId="1D305E50" w:rsidR="001903F0" w:rsidRPr="005244BD" w:rsidRDefault="001903F0" w:rsidP="0080609C">
            <w:pPr>
              <w:spacing w:after="0" w:line="360" w:lineRule="auto"/>
              <w:jc w:val="center"/>
              <w:rPr>
                <w:rFonts w:asciiTheme="majorBidi" w:eastAsia="Calibri" w:hAnsiTheme="majorBidi" w:cstheme="majorBidi"/>
                <w:sz w:val="20"/>
              </w:rPr>
            </w:pPr>
            <w:r w:rsidRPr="005244BD">
              <w:rPr>
                <w:rFonts w:asciiTheme="majorBidi" w:eastAsia="Calibri" w:hAnsiTheme="majorBidi" w:cstheme="majorBidi"/>
                <w:sz w:val="20"/>
              </w:rPr>
              <w:t>1150</w:t>
            </w:r>
          </w:p>
        </w:tc>
        <w:tc>
          <w:tcPr>
            <w:tcW w:w="587" w:type="pct"/>
            <w:tcBorders>
              <w:top w:val="nil"/>
              <w:left w:val="nil"/>
              <w:bottom w:val="single" w:sz="4" w:space="0" w:color="auto"/>
              <w:right w:val="nil"/>
            </w:tcBorders>
          </w:tcPr>
          <w:p w14:paraId="2E4144A0" w14:textId="165688F7" w:rsidR="001903F0" w:rsidRPr="005244BD" w:rsidRDefault="001903F0" w:rsidP="0080609C">
            <w:pPr>
              <w:spacing w:after="0" w:line="360" w:lineRule="auto"/>
              <w:jc w:val="center"/>
              <w:rPr>
                <w:rFonts w:asciiTheme="majorBidi" w:eastAsiaTheme="minorEastAsia" w:hAnsiTheme="majorBidi" w:cstheme="majorBidi"/>
                <w:iCs/>
                <w:sz w:val="20"/>
                <w:highlight w:val="yellow"/>
              </w:rPr>
            </w:pPr>
            <w:r w:rsidRPr="005244BD">
              <w:rPr>
                <w:rFonts w:asciiTheme="majorBidi" w:eastAsia="Calibri" w:hAnsiTheme="majorBidi" w:cstheme="majorBidi"/>
                <w:sz w:val="20"/>
              </w:rPr>
              <w:t>0.05</w:t>
            </w:r>
          </w:p>
        </w:tc>
        <w:tc>
          <w:tcPr>
            <w:tcW w:w="585" w:type="pct"/>
            <w:tcBorders>
              <w:top w:val="nil"/>
              <w:left w:val="nil"/>
              <w:bottom w:val="single" w:sz="4" w:space="0" w:color="auto"/>
              <w:right w:val="nil"/>
            </w:tcBorders>
          </w:tcPr>
          <w:p w14:paraId="18F26A4C" w14:textId="42C72FA4" w:rsidR="001903F0" w:rsidRPr="005244BD" w:rsidRDefault="001903F0" w:rsidP="0080609C">
            <w:pPr>
              <w:spacing w:after="0" w:line="360" w:lineRule="auto"/>
              <w:jc w:val="center"/>
              <w:rPr>
                <w:rFonts w:asciiTheme="majorBidi" w:eastAsiaTheme="minorEastAsia" w:hAnsiTheme="majorBidi" w:cstheme="majorBidi"/>
                <w:iCs/>
                <w:sz w:val="20"/>
                <w:highlight w:val="yellow"/>
              </w:rPr>
            </w:pPr>
            <w:r w:rsidRPr="005244BD">
              <w:rPr>
                <w:rFonts w:asciiTheme="majorBidi" w:eastAsia="Calibri" w:hAnsiTheme="majorBidi" w:cstheme="majorBidi"/>
                <w:sz w:val="20"/>
              </w:rPr>
              <w:t>0.05</w:t>
            </w:r>
          </w:p>
        </w:tc>
        <w:tc>
          <w:tcPr>
            <w:tcW w:w="586" w:type="pct"/>
            <w:tcBorders>
              <w:top w:val="nil"/>
              <w:left w:val="nil"/>
              <w:bottom w:val="single" w:sz="4" w:space="0" w:color="auto"/>
              <w:right w:val="nil"/>
            </w:tcBorders>
          </w:tcPr>
          <w:p w14:paraId="26E4939E" w14:textId="1D56AFEA" w:rsidR="001903F0" w:rsidRPr="005244BD" w:rsidRDefault="001903F0" w:rsidP="0080609C">
            <w:pPr>
              <w:spacing w:after="0" w:line="360" w:lineRule="auto"/>
              <w:jc w:val="center"/>
              <w:rPr>
                <w:rFonts w:asciiTheme="majorBidi" w:eastAsiaTheme="minorEastAsia" w:hAnsiTheme="majorBidi" w:cstheme="majorBidi"/>
                <w:iCs/>
                <w:sz w:val="20"/>
                <w:highlight w:val="yellow"/>
              </w:rPr>
            </w:pPr>
            <w:r w:rsidRPr="005244BD">
              <w:rPr>
                <w:rFonts w:asciiTheme="majorBidi" w:eastAsia="Calibri" w:hAnsiTheme="majorBidi" w:cstheme="majorBidi"/>
                <w:sz w:val="20"/>
              </w:rPr>
              <w:t>0.05</w:t>
            </w:r>
          </w:p>
        </w:tc>
        <w:tc>
          <w:tcPr>
            <w:tcW w:w="667" w:type="pct"/>
            <w:tcBorders>
              <w:top w:val="nil"/>
              <w:left w:val="nil"/>
              <w:bottom w:val="single" w:sz="4" w:space="0" w:color="auto"/>
              <w:right w:val="nil"/>
            </w:tcBorders>
          </w:tcPr>
          <w:p w14:paraId="29FFDC1B" w14:textId="4C3F0C84" w:rsidR="001903F0" w:rsidRPr="005244BD" w:rsidRDefault="001903F0" w:rsidP="0080609C">
            <w:pPr>
              <w:spacing w:after="0" w:line="360" w:lineRule="auto"/>
              <w:jc w:val="center"/>
              <w:rPr>
                <w:rFonts w:asciiTheme="majorBidi" w:eastAsia="Calibri" w:hAnsiTheme="majorBidi" w:cstheme="majorBidi"/>
                <w:sz w:val="20"/>
              </w:rPr>
            </w:pPr>
            <w:r w:rsidRPr="005244BD">
              <w:rPr>
                <w:rFonts w:asciiTheme="majorBidi" w:eastAsiaTheme="minorEastAsia" w:hAnsiTheme="majorBidi" w:cstheme="majorBidi"/>
                <w:iCs/>
                <w:sz w:val="20"/>
              </w:rPr>
              <w:t>correlated</w:t>
            </w:r>
          </w:p>
        </w:tc>
        <w:tc>
          <w:tcPr>
            <w:tcW w:w="667" w:type="pct"/>
            <w:tcBorders>
              <w:top w:val="nil"/>
              <w:left w:val="nil"/>
              <w:bottom w:val="single" w:sz="4" w:space="0" w:color="auto"/>
              <w:right w:val="nil"/>
            </w:tcBorders>
          </w:tcPr>
          <w:p w14:paraId="57ABCB21" w14:textId="610D10E9" w:rsidR="001903F0" w:rsidRPr="005244BD" w:rsidRDefault="001903F0" w:rsidP="0080609C">
            <w:pPr>
              <w:spacing w:after="0" w:line="360" w:lineRule="auto"/>
              <w:jc w:val="center"/>
              <w:rPr>
                <w:rFonts w:asciiTheme="majorBidi" w:eastAsiaTheme="minorEastAsia" w:hAnsiTheme="majorBidi" w:cstheme="majorBidi"/>
                <w:iCs/>
                <w:sz w:val="20"/>
              </w:rPr>
            </w:pPr>
            <w:r w:rsidRPr="005244BD">
              <w:rPr>
                <w:rFonts w:asciiTheme="majorBidi" w:eastAsiaTheme="minorEastAsia" w:hAnsiTheme="majorBidi" w:cstheme="majorBidi"/>
                <w:iCs/>
                <w:sz w:val="20"/>
              </w:rPr>
              <w:t>107.6</w:t>
            </w:r>
          </w:p>
        </w:tc>
      </w:tr>
    </w:tbl>
    <w:p w14:paraId="3DEAACB4" w14:textId="77777777" w:rsidR="00772167" w:rsidRPr="005244BD" w:rsidRDefault="00772167" w:rsidP="005106C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50"/>
        <w:gridCol w:w="4060"/>
        <w:gridCol w:w="916"/>
      </w:tblGrid>
      <w:tr w:rsidR="0084458D" w:rsidRPr="005244BD" w14:paraId="7F498822" w14:textId="2185868F" w:rsidTr="005D54AF">
        <w:tc>
          <w:tcPr>
            <w:tcW w:w="2244" w:type="pct"/>
          </w:tcPr>
          <w:p w14:paraId="776535E5" w14:textId="3EEED367" w:rsidR="0084458D" w:rsidRPr="005244BD" w:rsidRDefault="0084458D" w:rsidP="00091B87">
            <w:pPr>
              <w:jc w:val="center"/>
            </w:pPr>
            <w:r w:rsidRPr="005244BD">
              <w:rPr>
                <w:noProof/>
                <w:lang w:eastAsia="en-GB"/>
              </w:rPr>
              <w:drawing>
                <wp:inline distT="0" distB="0" distL="0" distR="0" wp14:anchorId="72CF6E89" wp14:editId="7CC10F63">
                  <wp:extent cx="2606334" cy="1260000"/>
                  <wp:effectExtent l="0" t="0" r="3810" b="0"/>
                  <wp:docPr id="8" name="Picture 8" descr="\\nask.man.ac.uk\home$\Desktop\Bio-realstic pore netowrk 11\masoud pore network\paraview\L0\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k.man.ac.uk\home$\Desktop\Bio-realstic pore netowrk 11\masoud pore network\paraview\L0\L01.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06334" cy="1260000"/>
                          </a:xfrm>
                          <a:prstGeom prst="rect">
                            <a:avLst/>
                          </a:prstGeom>
                          <a:noFill/>
                          <a:ln>
                            <a:noFill/>
                          </a:ln>
                        </pic:spPr>
                      </pic:pic>
                    </a:graphicData>
                  </a:graphic>
                </wp:inline>
              </w:drawing>
            </w:r>
          </w:p>
        </w:tc>
        <w:tc>
          <w:tcPr>
            <w:tcW w:w="2249" w:type="pct"/>
          </w:tcPr>
          <w:p w14:paraId="00D17A32" w14:textId="6FB00E06" w:rsidR="0084458D" w:rsidRPr="005244BD" w:rsidRDefault="0084458D" w:rsidP="003054FF">
            <w:pPr>
              <w:jc w:val="center"/>
            </w:pPr>
            <w:r w:rsidRPr="005244BD">
              <w:rPr>
                <w:noProof/>
                <w:lang w:eastAsia="en-GB"/>
              </w:rPr>
              <w:drawing>
                <wp:inline distT="0" distB="0" distL="0" distR="0" wp14:anchorId="56BBCFCE" wp14:editId="43CDDACD">
                  <wp:extent cx="2616200" cy="1259205"/>
                  <wp:effectExtent l="0" t="0" r="0" b="0"/>
                  <wp:docPr id="17" name="Picture 17" descr="\\nask.man.ac.uk\home$\Desktop\Bio-realstic pore netowrk 11\masoud pore network\paraview\L0\L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k.man.ac.uk\home$\Desktop\Bio-realstic pore netowrk 11\masoud pore network\paraview\L0\L04.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9708" cy="1260893"/>
                          </a:xfrm>
                          <a:prstGeom prst="rect">
                            <a:avLst/>
                          </a:prstGeom>
                          <a:noFill/>
                          <a:ln>
                            <a:noFill/>
                          </a:ln>
                        </pic:spPr>
                      </pic:pic>
                    </a:graphicData>
                  </a:graphic>
                </wp:inline>
              </w:drawing>
            </w:r>
          </w:p>
        </w:tc>
        <w:tc>
          <w:tcPr>
            <w:tcW w:w="507" w:type="pct"/>
            <w:vMerge w:val="restart"/>
            <w:vAlign w:val="center"/>
          </w:tcPr>
          <w:p w14:paraId="1A87DB31" w14:textId="51F74D0B" w:rsidR="0084458D" w:rsidRPr="005244BD" w:rsidRDefault="0084458D" w:rsidP="00256C65">
            <w:pPr>
              <w:jc w:val="center"/>
              <w:rPr>
                <w:noProof/>
                <w:lang w:eastAsia="en-GB"/>
              </w:rPr>
            </w:pPr>
            <w:r w:rsidRPr="005244BD">
              <w:rPr>
                <w:noProof/>
                <w:lang w:eastAsia="en-GB"/>
              </w:rPr>
              <w:drawing>
                <wp:inline distT="0" distB="0" distL="0" distR="0" wp14:anchorId="09EE9523" wp14:editId="6D258CD8">
                  <wp:extent cx="587185" cy="1080000"/>
                  <wp:effectExtent l="0" t="0" r="3810" b="6350"/>
                  <wp:docPr id="20" name="Picture 20" descr="\\nask.man.ac.uk\home$\Desktop\Bio-realstic pore netowrk 11\masoud pore network\paraview\iso\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k.man.ac.uk\home$\Desktop\Bio-realstic pore netowrk 11\masoud pore network\paraview\iso\legend.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7185" cy="1080000"/>
                          </a:xfrm>
                          <a:prstGeom prst="rect">
                            <a:avLst/>
                          </a:prstGeom>
                          <a:noFill/>
                          <a:ln>
                            <a:noFill/>
                          </a:ln>
                        </pic:spPr>
                      </pic:pic>
                    </a:graphicData>
                  </a:graphic>
                </wp:inline>
              </w:drawing>
            </w:r>
          </w:p>
        </w:tc>
      </w:tr>
      <w:tr w:rsidR="0084458D" w:rsidRPr="005244BD" w14:paraId="393E660E" w14:textId="68F0A5F7" w:rsidTr="005D54AF">
        <w:tc>
          <w:tcPr>
            <w:tcW w:w="2244" w:type="pct"/>
          </w:tcPr>
          <w:p w14:paraId="42F8747E" w14:textId="572E363E" w:rsidR="0084458D" w:rsidRPr="005244BD" w:rsidRDefault="0084458D" w:rsidP="00091B87">
            <w:pPr>
              <w:jc w:val="center"/>
            </w:pPr>
            <w:r w:rsidRPr="005244BD">
              <w:rPr>
                <w:noProof/>
                <w:lang w:eastAsia="en-GB"/>
              </w:rPr>
              <w:drawing>
                <wp:inline distT="0" distB="0" distL="0" distR="0" wp14:anchorId="60D84346" wp14:editId="429FE2F3">
                  <wp:extent cx="2606040" cy="1259840"/>
                  <wp:effectExtent l="0" t="0" r="3810" b="0"/>
                  <wp:docPr id="18" name="Picture 18" descr="\\nask.man.ac.uk\home$\Desktop\Bio-realstic pore netowrk 11\masoud pore network\paraview\iso\is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k.man.ac.uk\home$\Desktop\Bio-realstic pore netowrk 11\masoud pore network\paraview\iso\iso1.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06371" cy="1260000"/>
                          </a:xfrm>
                          <a:prstGeom prst="rect">
                            <a:avLst/>
                          </a:prstGeom>
                          <a:noFill/>
                          <a:ln>
                            <a:noFill/>
                          </a:ln>
                        </pic:spPr>
                      </pic:pic>
                    </a:graphicData>
                  </a:graphic>
                </wp:inline>
              </w:drawing>
            </w:r>
          </w:p>
        </w:tc>
        <w:tc>
          <w:tcPr>
            <w:tcW w:w="2249" w:type="pct"/>
          </w:tcPr>
          <w:p w14:paraId="5099D99E" w14:textId="58341861" w:rsidR="0084458D" w:rsidRPr="005244BD" w:rsidRDefault="0084458D" w:rsidP="003054FF">
            <w:pPr>
              <w:jc w:val="center"/>
            </w:pPr>
            <w:r w:rsidRPr="005244BD">
              <w:rPr>
                <w:noProof/>
                <w:lang w:eastAsia="en-GB"/>
              </w:rPr>
              <w:drawing>
                <wp:inline distT="0" distB="0" distL="0" distR="0" wp14:anchorId="7ADD8438" wp14:editId="709A5D0B">
                  <wp:extent cx="2616676" cy="1259840"/>
                  <wp:effectExtent l="0" t="0" r="0" b="0"/>
                  <wp:docPr id="19" name="Picture 19" descr="\\nask.man.ac.uk\home$\Desktop\Bio-realstic pore netowrk 11\masoud pore network\paraview\iso\i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k.man.ac.uk\home$\Desktop\Bio-realstic pore netowrk 11\masoud pore network\paraview\iso\iso-4.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8415" cy="1260677"/>
                          </a:xfrm>
                          <a:prstGeom prst="rect">
                            <a:avLst/>
                          </a:prstGeom>
                          <a:noFill/>
                          <a:ln>
                            <a:noFill/>
                          </a:ln>
                        </pic:spPr>
                      </pic:pic>
                    </a:graphicData>
                  </a:graphic>
                </wp:inline>
              </w:drawing>
            </w:r>
          </w:p>
        </w:tc>
        <w:tc>
          <w:tcPr>
            <w:tcW w:w="507" w:type="pct"/>
            <w:vMerge/>
          </w:tcPr>
          <w:p w14:paraId="731BD34A" w14:textId="77777777" w:rsidR="0084458D" w:rsidRPr="005244BD" w:rsidRDefault="0084458D" w:rsidP="003054FF">
            <w:pPr>
              <w:jc w:val="center"/>
              <w:rPr>
                <w:noProof/>
                <w:lang w:eastAsia="en-GB"/>
              </w:rPr>
            </w:pPr>
          </w:p>
        </w:tc>
      </w:tr>
    </w:tbl>
    <w:p w14:paraId="58440B9A" w14:textId="4BD60FBF" w:rsidR="007075DE" w:rsidRPr="005244BD" w:rsidRDefault="008D6862" w:rsidP="005858BE">
      <w:pPr>
        <w:spacing w:after="0" w:line="480" w:lineRule="auto"/>
        <w:jc w:val="both"/>
        <w:rPr>
          <w:rFonts w:asciiTheme="majorBidi" w:hAnsiTheme="majorBidi" w:cstheme="majorBidi"/>
          <w:sz w:val="20"/>
          <w:szCs w:val="20"/>
        </w:rPr>
      </w:pPr>
      <w:r w:rsidRPr="005244BD">
        <w:rPr>
          <w:rFonts w:asciiTheme="majorBidi" w:hAnsiTheme="majorBidi" w:cstheme="majorBidi"/>
          <w:b/>
          <w:bCs/>
          <w:sz w:val="20"/>
          <w:szCs w:val="20"/>
        </w:rPr>
        <w:t xml:space="preserve">Figure </w:t>
      </w:r>
      <w:r w:rsidRPr="005244BD">
        <w:rPr>
          <w:rFonts w:asciiTheme="majorBidi" w:hAnsiTheme="majorBidi" w:cstheme="majorBidi"/>
          <w:b/>
          <w:bCs/>
          <w:sz w:val="20"/>
          <w:szCs w:val="20"/>
        </w:rPr>
        <w:fldChar w:fldCharType="begin"/>
      </w:r>
      <w:r w:rsidRPr="005244BD">
        <w:rPr>
          <w:rFonts w:asciiTheme="majorBidi" w:hAnsiTheme="majorBidi" w:cstheme="majorBidi"/>
          <w:b/>
          <w:bCs/>
          <w:sz w:val="20"/>
          <w:szCs w:val="20"/>
        </w:rPr>
        <w:instrText xml:space="preserve"> SEQ Figure \* ARABIC </w:instrText>
      </w:r>
      <w:r w:rsidRPr="005244BD">
        <w:rPr>
          <w:rFonts w:asciiTheme="majorBidi" w:hAnsiTheme="majorBidi" w:cstheme="majorBidi"/>
          <w:b/>
          <w:bCs/>
          <w:sz w:val="20"/>
          <w:szCs w:val="20"/>
        </w:rPr>
        <w:fldChar w:fldCharType="separate"/>
      </w:r>
      <w:r w:rsidR="00EE0F85">
        <w:rPr>
          <w:rFonts w:asciiTheme="majorBidi" w:hAnsiTheme="majorBidi" w:cstheme="majorBidi"/>
          <w:b/>
          <w:bCs/>
          <w:noProof/>
          <w:sz w:val="20"/>
          <w:szCs w:val="20"/>
        </w:rPr>
        <w:t>2</w:t>
      </w:r>
      <w:r w:rsidRPr="005244BD">
        <w:rPr>
          <w:rFonts w:asciiTheme="majorBidi" w:hAnsiTheme="majorBidi" w:cstheme="majorBidi"/>
          <w:b/>
          <w:bCs/>
          <w:sz w:val="20"/>
          <w:szCs w:val="20"/>
        </w:rPr>
        <w:fldChar w:fldCharType="end"/>
      </w:r>
      <w:r w:rsidRPr="005244BD">
        <w:rPr>
          <w:rFonts w:asciiTheme="majorBidi" w:hAnsiTheme="majorBidi" w:cstheme="majorBidi"/>
          <w:b/>
          <w:bCs/>
          <w:sz w:val="20"/>
          <w:szCs w:val="20"/>
        </w:rPr>
        <w:t>.</w:t>
      </w:r>
      <w:r w:rsidRPr="005244BD">
        <w:rPr>
          <w:rFonts w:asciiTheme="majorBidi" w:hAnsiTheme="majorBidi" w:cstheme="majorBidi"/>
          <w:sz w:val="20"/>
          <w:szCs w:val="20"/>
        </w:rPr>
        <w:t xml:space="preserve"> The pore size distribution of pore networks of</w:t>
      </w:r>
      <w:r w:rsidR="00091B87" w:rsidRPr="005244BD">
        <w:rPr>
          <w:rFonts w:asciiTheme="majorBidi" w:hAnsiTheme="majorBidi" w:cstheme="majorBidi"/>
          <w:sz w:val="20"/>
          <w:szCs w:val="20"/>
        </w:rPr>
        <w:t xml:space="preserve"> (a) </w:t>
      </w:r>
      <w:r w:rsidR="005858BE" w:rsidRPr="005244BD">
        <w:rPr>
          <w:rFonts w:asciiTheme="majorBidi" w:hAnsiTheme="majorBidi" w:cstheme="majorBidi"/>
          <w:sz w:val="20"/>
          <w:szCs w:val="20"/>
        </w:rPr>
        <w:t>UNC1</w:t>
      </w:r>
      <w:r w:rsidR="00091B87" w:rsidRPr="005244BD">
        <w:rPr>
          <w:rFonts w:asciiTheme="majorBidi" w:hAnsiTheme="majorBidi" w:cstheme="majorBidi"/>
          <w:sz w:val="20"/>
          <w:szCs w:val="20"/>
        </w:rPr>
        <w:t xml:space="preserve">, (b) </w:t>
      </w:r>
      <w:r w:rsidR="005858BE" w:rsidRPr="005244BD">
        <w:rPr>
          <w:rFonts w:asciiTheme="majorBidi" w:hAnsiTheme="majorBidi" w:cstheme="majorBidi"/>
          <w:sz w:val="20"/>
          <w:szCs w:val="20"/>
        </w:rPr>
        <w:t>UNC2</w:t>
      </w:r>
      <w:r w:rsidR="00091B87" w:rsidRPr="005244BD">
        <w:rPr>
          <w:rFonts w:asciiTheme="majorBidi" w:hAnsiTheme="majorBidi" w:cstheme="majorBidi"/>
          <w:sz w:val="20"/>
          <w:szCs w:val="20"/>
        </w:rPr>
        <w:t xml:space="preserve">, </w:t>
      </w:r>
      <w:r w:rsidRPr="005244BD">
        <w:rPr>
          <w:rFonts w:asciiTheme="majorBidi" w:hAnsiTheme="majorBidi" w:cstheme="majorBidi"/>
          <w:sz w:val="20"/>
          <w:szCs w:val="20"/>
        </w:rPr>
        <w:t>(</w:t>
      </w:r>
      <w:r w:rsidR="00091B87" w:rsidRPr="005244BD">
        <w:rPr>
          <w:rFonts w:asciiTheme="majorBidi" w:hAnsiTheme="majorBidi" w:cstheme="majorBidi"/>
          <w:sz w:val="20"/>
          <w:szCs w:val="20"/>
        </w:rPr>
        <w:t>c</w:t>
      </w:r>
      <w:r w:rsidRPr="005244BD">
        <w:rPr>
          <w:rFonts w:asciiTheme="majorBidi" w:hAnsiTheme="majorBidi" w:cstheme="majorBidi"/>
          <w:sz w:val="20"/>
          <w:szCs w:val="20"/>
        </w:rPr>
        <w:t xml:space="preserve">) </w:t>
      </w:r>
      <w:r w:rsidR="005858BE" w:rsidRPr="005244BD">
        <w:rPr>
          <w:rFonts w:asciiTheme="majorBidi" w:hAnsiTheme="majorBidi" w:cstheme="majorBidi"/>
          <w:sz w:val="20"/>
          <w:szCs w:val="20"/>
        </w:rPr>
        <w:t>COR1</w:t>
      </w:r>
      <w:r w:rsidRPr="005244BD">
        <w:rPr>
          <w:rFonts w:asciiTheme="majorBidi" w:hAnsiTheme="majorBidi" w:cstheme="majorBidi"/>
          <w:sz w:val="20"/>
          <w:szCs w:val="20"/>
        </w:rPr>
        <w:t>,</w:t>
      </w:r>
      <w:r w:rsidR="00091B87" w:rsidRPr="005244BD">
        <w:rPr>
          <w:rFonts w:asciiTheme="majorBidi" w:hAnsiTheme="majorBidi" w:cstheme="majorBidi"/>
          <w:sz w:val="20"/>
          <w:szCs w:val="20"/>
        </w:rPr>
        <w:t xml:space="preserve"> and</w:t>
      </w:r>
      <w:r w:rsidRPr="005244BD">
        <w:rPr>
          <w:rFonts w:asciiTheme="majorBidi" w:hAnsiTheme="majorBidi" w:cstheme="majorBidi"/>
          <w:sz w:val="20"/>
          <w:szCs w:val="20"/>
        </w:rPr>
        <w:t xml:space="preserve"> (</w:t>
      </w:r>
      <w:r w:rsidR="00091B87" w:rsidRPr="005244BD">
        <w:rPr>
          <w:rFonts w:asciiTheme="majorBidi" w:hAnsiTheme="majorBidi" w:cstheme="majorBidi"/>
          <w:sz w:val="20"/>
          <w:szCs w:val="20"/>
        </w:rPr>
        <w:t xml:space="preserve">d) </w:t>
      </w:r>
      <w:r w:rsidR="005858BE" w:rsidRPr="005244BD">
        <w:rPr>
          <w:rFonts w:asciiTheme="majorBidi" w:hAnsiTheme="majorBidi" w:cstheme="majorBidi"/>
          <w:sz w:val="20"/>
          <w:szCs w:val="20"/>
        </w:rPr>
        <w:t>COR2</w:t>
      </w:r>
      <w:r w:rsidRPr="005244BD">
        <w:rPr>
          <w:rFonts w:asciiTheme="majorBidi" w:hAnsiTheme="majorBidi" w:cstheme="majorBidi"/>
          <w:sz w:val="20"/>
          <w:szCs w:val="20"/>
        </w:rPr>
        <w:t xml:space="preserve">. </w:t>
      </w:r>
    </w:p>
    <w:p w14:paraId="65B4D98F" w14:textId="4F09C589" w:rsidR="005106C3" w:rsidRPr="005244BD" w:rsidRDefault="005106C3" w:rsidP="005106C3">
      <w:pPr>
        <w:pStyle w:val="Heading3"/>
        <w:spacing w:after="240"/>
        <w:rPr>
          <w:rFonts w:asciiTheme="majorBidi" w:hAnsiTheme="majorBidi"/>
          <w:b w:val="0"/>
          <w:bCs w:val="0"/>
        </w:rPr>
      </w:pPr>
      <w:r w:rsidRPr="005244BD">
        <w:rPr>
          <w:rFonts w:asciiTheme="majorBidi" w:hAnsiTheme="majorBidi"/>
          <w:b w:val="0"/>
          <w:bCs w:val="0"/>
        </w:rPr>
        <w:t>2.2.2. Properties of fluid and bacteria</w:t>
      </w:r>
    </w:p>
    <w:p w14:paraId="339B8353" w14:textId="55C58369" w:rsidR="007743BF" w:rsidRPr="005244BD" w:rsidRDefault="007743BF">
      <w:pPr>
        <w:spacing w:line="480" w:lineRule="auto"/>
        <w:jc w:val="both"/>
        <w:rPr>
          <w:rFonts w:ascii="Times New Roman" w:eastAsiaTheme="minorEastAsia" w:hAnsi="Times New Roman" w:cs="Times New Roman"/>
        </w:rPr>
      </w:pPr>
      <w:r w:rsidRPr="005244BD">
        <w:rPr>
          <w:rFonts w:ascii="Times New Roman" w:eastAsiaTheme="minorEastAsia" w:hAnsi="Times New Roman" w:cs="Times New Roman"/>
        </w:rPr>
        <w:t>Toluene is selected as the NAPL phase in the pore network</w:t>
      </w:r>
      <w:r w:rsidR="00184A47" w:rsidRPr="005244BD">
        <w:t xml:space="preserve"> </w:t>
      </w:r>
      <w:r w:rsidR="00184A47" w:rsidRPr="005244BD">
        <w:rPr>
          <w:rFonts w:ascii="Times New Roman" w:eastAsiaTheme="minorEastAsia" w:hAnsi="Times New Roman" w:cs="Times New Roman"/>
        </w:rPr>
        <w:t>with a diffusion coefficient of 8.</w:t>
      </w:r>
      <w:r w:rsidR="0065177A" w:rsidRPr="005244BD">
        <w:rPr>
          <w:rFonts w:ascii="Times New Roman" w:eastAsiaTheme="minorEastAsia" w:hAnsi="Times New Roman" w:cs="Times New Roman"/>
        </w:rPr>
        <w:t>6</w:t>
      </w:r>
      <w:r w:rsidR="00184A47" w:rsidRPr="005244BD">
        <w:rPr>
          <w:rFonts w:ascii="Times New Roman" w:eastAsiaTheme="minorEastAsia" w:hAnsi="Times New Roman" w:cs="Times New Roman"/>
        </w:rPr>
        <w:t>×10</w:t>
      </w:r>
      <w:r w:rsidR="00184A47" w:rsidRPr="005244BD">
        <w:rPr>
          <w:rFonts w:ascii="Times New Roman" w:eastAsiaTheme="minorEastAsia" w:hAnsi="Times New Roman" w:cs="Times New Roman"/>
          <w:vertAlign w:val="superscript"/>
        </w:rPr>
        <w:t>−6</w:t>
      </w:r>
      <w:r w:rsidR="00184A47" w:rsidRPr="005244BD">
        <w:rPr>
          <w:rFonts w:ascii="Times New Roman" w:eastAsiaTheme="minorEastAsia" w:hAnsi="Times New Roman" w:cs="Times New Roman"/>
        </w:rPr>
        <w:t xml:space="preserve"> cm</w:t>
      </w:r>
      <w:r w:rsidR="00184A47" w:rsidRPr="005244BD">
        <w:rPr>
          <w:rFonts w:ascii="Times New Roman" w:eastAsiaTheme="minorEastAsia" w:hAnsi="Times New Roman" w:cs="Times New Roman"/>
          <w:vertAlign w:val="superscript"/>
        </w:rPr>
        <w:t>2</w:t>
      </w:r>
      <w:r w:rsidR="00F36376" w:rsidRPr="005244BD">
        <w:rPr>
          <w:rFonts w:ascii="Times New Roman" w:eastAsiaTheme="minorEastAsia" w:hAnsi="Times New Roman" w:cs="Times New Roman"/>
        </w:rPr>
        <w:t xml:space="preserve"> </w:t>
      </w:r>
      <w:r w:rsidR="00184A47" w:rsidRPr="005244BD">
        <w:rPr>
          <w:rFonts w:ascii="Times New Roman" w:eastAsiaTheme="minorEastAsia" w:hAnsi="Times New Roman" w:cs="Times New Roman"/>
        </w:rPr>
        <w:t>sec</w:t>
      </w:r>
      <w:r w:rsidR="00184A47" w:rsidRPr="005244BD">
        <w:rPr>
          <w:rFonts w:ascii="Times New Roman" w:eastAsiaTheme="minorEastAsia" w:hAnsi="Times New Roman" w:cs="Times New Roman"/>
          <w:vertAlign w:val="superscript"/>
        </w:rPr>
        <w:t>−1</w:t>
      </w:r>
      <w:r w:rsidR="0065177A" w:rsidRPr="005244BD">
        <w:rPr>
          <w:rFonts w:ascii="Times New Roman" w:eastAsiaTheme="minorEastAsia" w:hAnsi="Times New Roman" w:cs="Times New Roman"/>
        </w:rPr>
        <w:t xml:space="preserve">, </w:t>
      </w:r>
      <w:r w:rsidR="00184A47" w:rsidRPr="005244BD">
        <w:rPr>
          <w:rFonts w:ascii="Times New Roman" w:eastAsiaTheme="minorEastAsia" w:hAnsi="Times New Roman" w:cs="Times New Roman"/>
        </w:rPr>
        <w:t xml:space="preserve">solubility of </w:t>
      </w:r>
      <w:r w:rsidR="0065177A" w:rsidRPr="005244BD">
        <w:rPr>
          <w:rFonts w:ascii="Times New Roman" w:eastAsiaTheme="minorEastAsia" w:hAnsi="Times New Roman" w:cs="Times New Roman"/>
        </w:rPr>
        <w:t>495.6 mg</w:t>
      </w:r>
      <w:r w:rsidR="00F36376" w:rsidRPr="005244BD">
        <w:rPr>
          <w:rFonts w:ascii="Times New Roman" w:eastAsiaTheme="minorEastAsia" w:hAnsi="Times New Roman" w:cs="Times New Roman"/>
        </w:rPr>
        <w:t xml:space="preserve"> </w:t>
      </w:r>
      <w:r w:rsidR="00184A47" w:rsidRPr="005244BD">
        <w:rPr>
          <w:rFonts w:ascii="Times New Roman" w:eastAsiaTheme="minorEastAsia" w:hAnsi="Times New Roman" w:cs="Times New Roman"/>
        </w:rPr>
        <w:t>L</w:t>
      </w:r>
      <w:r w:rsidR="00184A47" w:rsidRPr="005244BD">
        <w:rPr>
          <w:rFonts w:ascii="Times New Roman" w:eastAsiaTheme="minorEastAsia" w:hAnsi="Times New Roman" w:cs="Times New Roman"/>
          <w:vertAlign w:val="superscript"/>
        </w:rPr>
        <w:t>−1</w:t>
      </w:r>
      <w:r w:rsidR="00184A47" w:rsidRPr="005244BD">
        <w:rPr>
          <w:rFonts w:ascii="Times New Roman" w:eastAsiaTheme="minorEastAsia" w:hAnsi="Times New Roman" w:cs="Times New Roman"/>
        </w:rPr>
        <w:t xml:space="preserve"> in water</w:t>
      </w:r>
      <w:r w:rsidR="00F36376" w:rsidRPr="005244BD">
        <w:rPr>
          <w:rFonts w:ascii="Times New Roman" w:eastAsiaTheme="minorEastAsia" w:hAnsi="Times New Roman" w:cs="Times New Roman"/>
        </w:rPr>
        <w:t xml:space="preserve">, and density of 0.865 g </w:t>
      </w:r>
      <w:r w:rsidR="0065177A" w:rsidRPr="005244BD">
        <w:rPr>
          <w:rFonts w:ascii="Times New Roman" w:eastAsiaTheme="minorEastAsia" w:hAnsi="Times New Roman" w:cs="Times New Roman"/>
        </w:rPr>
        <w:t>cm</w:t>
      </w:r>
      <w:r w:rsidR="00065485" w:rsidRPr="005244BD">
        <w:rPr>
          <w:rFonts w:ascii="Arial" w:eastAsiaTheme="minorEastAsia" w:hAnsi="Arial" w:cs="Arial"/>
          <w:vertAlign w:val="superscript"/>
        </w:rPr>
        <w:t>−</w:t>
      </w:r>
      <w:r w:rsidR="0065177A" w:rsidRPr="005244BD">
        <w:rPr>
          <w:rFonts w:ascii="Times New Roman" w:eastAsiaTheme="minorEastAsia" w:hAnsi="Times New Roman" w:cs="Times New Roman"/>
          <w:vertAlign w:val="superscript"/>
        </w:rPr>
        <w:t>3</w:t>
      </w:r>
      <w:r w:rsidRPr="005244BD">
        <w:rPr>
          <w:rFonts w:ascii="Times New Roman" w:eastAsiaTheme="minorEastAsia" w:hAnsi="Times New Roman" w:cs="Times New Roman"/>
        </w:rPr>
        <w:t>. In this work, it is assumed the pore network is water-wet, so the residual NAPL occupie</w:t>
      </w:r>
      <w:r w:rsidR="00D25FCE" w:rsidRPr="005244BD">
        <w:rPr>
          <w:rFonts w:ascii="Times New Roman" w:eastAsiaTheme="minorEastAsia" w:hAnsi="Times New Roman" w:cs="Times New Roman"/>
        </w:rPr>
        <w:t>s</w:t>
      </w:r>
      <w:r w:rsidRPr="005244BD">
        <w:rPr>
          <w:rFonts w:ascii="Times New Roman" w:eastAsiaTheme="minorEastAsia" w:hAnsi="Times New Roman" w:cs="Times New Roman"/>
        </w:rPr>
        <w:t xml:space="preserve"> the large pores. Most of the studies have shown that the residual non-wetting phase </w:t>
      </w:r>
      <w:r w:rsidR="00BE3BAB" w:rsidRPr="005244BD">
        <w:rPr>
          <w:rFonts w:ascii="Times New Roman" w:eastAsiaTheme="minorEastAsia" w:hAnsi="Times New Roman" w:cs="Times New Roman"/>
        </w:rPr>
        <w:t>is trapped in the large</w:t>
      </w:r>
      <w:r w:rsidR="00D25FCE" w:rsidRPr="005244BD">
        <w:rPr>
          <w:rFonts w:ascii="Times New Roman" w:eastAsiaTheme="minorEastAsia" w:hAnsi="Times New Roman" w:cs="Times New Roman"/>
        </w:rPr>
        <w:t>r</w:t>
      </w:r>
      <w:r w:rsidR="00BE3BAB" w:rsidRPr="005244BD">
        <w:rPr>
          <w:rFonts w:ascii="Times New Roman" w:eastAsiaTheme="minorEastAsia" w:hAnsi="Times New Roman" w:cs="Times New Roman"/>
        </w:rPr>
        <w:t xml:space="preserve"> pore space </w:t>
      </w:r>
      <w:r w:rsidR="00BE3BAB" w:rsidRPr="005244BD">
        <w:rPr>
          <w:rFonts w:ascii="Times New Roman" w:eastAsiaTheme="minorEastAsia" w:hAnsi="Times New Roman" w:cs="Times New Roman"/>
        </w:rPr>
        <w:fldChar w:fldCharType="begin" w:fldLock="1"/>
      </w:r>
      <w:r w:rsidR="00BF6D87" w:rsidRPr="005244BD">
        <w:rPr>
          <w:rFonts w:ascii="Times New Roman" w:eastAsiaTheme="minorEastAsia" w:hAnsi="Times New Roman" w:cs="Times New Roman"/>
        </w:rPr>
        <w:instrText>ADDIN CSL_CITATION {"citationItems":[{"id":"ITEM-1","itemData":{"author":[{"dropping-particle":"","family":"Powers","given":"Susan E","non-dropping-particle":"","parse-names":false,"suffix":""}],"id":"ITEM-1","issued":{"date-parts":[["1992"]]},"title":"Dissolution of nonaqueous phase liquids in saturated subsurface systems.","type":"thesis"},"uris":["http://www.mendeley.com/documents/?uuid=4373eb28-142d-4889-8697-4a2178b9ebf5","http://www.mendeley.com/documents/?uuid=40626313-bf0d-457d-af1e-09371d10b1f7"]}],"mendeley":{"formattedCitation":"(Powers, 1992)","manualFormatting":"(Powers, 1992","plainTextFormattedCitation":"(Powers, 1992)","previouslyFormattedCitation":"(Powers, 1992)"},"properties":{"noteIndex":0},"schema":"https://github.com/citation-style-language/schema/raw/master/csl-citation.json"}</w:instrText>
      </w:r>
      <w:r w:rsidR="00BE3BAB" w:rsidRPr="005244BD">
        <w:rPr>
          <w:rFonts w:ascii="Times New Roman" w:eastAsiaTheme="minorEastAsia" w:hAnsi="Times New Roman" w:cs="Times New Roman"/>
        </w:rPr>
        <w:fldChar w:fldCharType="separate"/>
      </w:r>
      <w:r w:rsidR="007E3CAF" w:rsidRPr="005244BD">
        <w:rPr>
          <w:rFonts w:ascii="Times New Roman" w:eastAsiaTheme="minorEastAsia" w:hAnsi="Times New Roman" w:cs="Times New Roman"/>
          <w:noProof/>
        </w:rPr>
        <w:t>(Powers, 1992</w:t>
      </w:r>
      <w:r w:rsidR="00BE3BAB" w:rsidRPr="005244BD">
        <w:rPr>
          <w:rFonts w:ascii="Times New Roman" w:eastAsiaTheme="minorEastAsia" w:hAnsi="Times New Roman" w:cs="Times New Roman"/>
        </w:rPr>
        <w:fldChar w:fldCharType="end"/>
      </w:r>
      <w:r w:rsidR="004E651B" w:rsidRPr="005244BD">
        <w:rPr>
          <w:rFonts w:ascii="Times New Roman" w:eastAsiaTheme="minorEastAsia" w:hAnsi="Times New Roman" w:cs="Times New Roman"/>
        </w:rPr>
        <w:t xml:space="preserve">, </w:t>
      </w:r>
      <w:r w:rsidR="004E6890" w:rsidRPr="005244BD">
        <w:rPr>
          <w:rFonts w:ascii="Times New Roman" w:eastAsiaTheme="minorEastAsia" w:hAnsi="Times New Roman" w:cs="Times New Roman"/>
        </w:rPr>
        <w:fldChar w:fldCharType="begin" w:fldLock="1"/>
      </w:r>
      <w:r w:rsidR="00BF6D87" w:rsidRPr="005244BD">
        <w:rPr>
          <w:rFonts w:ascii="Times New Roman" w:eastAsiaTheme="minorEastAsia" w:hAnsi="Times New Roman" w:cs="Times New Roman"/>
        </w:rPr>
        <w:instrText>ADDIN CSL_CITATION {"citationItems":[{"id":"ITEM-1","itemData":{"author":[{"dropping-particle":"","family":"Chatzis","given":"Ioannis","non-dropping-particle":"","parse-names":false,"suffix":""},{"dropping-particle":"","family":"Morrow","given":"Norman R","non-dropping-particle":"","parse-names":false,"suffix":""},{"dropping-particle":"","family":"Lim","given":"Hau T","non-dropping-particle":"","parse-names":false,"suffix":""}],"container-title":"Society of Petroleum Engineers Journal","id":"ITEM-1","issue":"02","issued":{"date-parts":[["1983"]]},"page":"311-326","publisher":"Society of Petroleum Engineers","title":"Magnitude and detailed structure of residual oil saturation","type":"article-journal","volume":"23"},"uris":["http://www.mendeley.com/documents/?uuid=1be59f61-2c8a-4a31-9643-eac9cb14113d","http://www.mendeley.com/documents/?uuid=41d8d625-7134-47a8-b7cf-6429b5e9f616"]}],"mendeley":{"formattedCitation":"(Chatzis et al., 1983)","manualFormatting":"Chatzis et al., 1983","plainTextFormattedCitation":"(Chatzis et al., 1983)","previouslyFormattedCitation":"(Chatzis et al., 1983)"},"properties":{"noteIndex":0},"schema":"https://github.com/citation-style-language/schema/raw/master/csl-citation.json"}</w:instrText>
      </w:r>
      <w:r w:rsidR="004E6890" w:rsidRPr="005244BD">
        <w:rPr>
          <w:rFonts w:ascii="Times New Roman" w:eastAsiaTheme="minorEastAsia" w:hAnsi="Times New Roman" w:cs="Times New Roman"/>
        </w:rPr>
        <w:fldChar w:fldCharType="separate"/>
      </w:r>
      <w:r w:rsidR="007E3CAF" w:rsidRPr="005244BD">
        <w:rPr>
          <w:rFonts w:ascii="Times New Roman" w:eastAsiaTheme="minorEastAsia" w:hAnsi="Times New Roman" w:cs="Times New Roman"/>
          <w:noProof/>
        </w:rPr>
        <w:t>Chatzis et al., 1983</w:t>
      </w:r>
      <w:r w:rsidR="004E6890" w:rsidRPr="005244BD">
        <w:rPr>
          <w:rFonts w:ascii="Times New Roman" w:eastAsiaTheme="minorEastAsia" w:hAnsi="Times New Roman" w:cs="Times New Roman"/>
        </w:rPr>
        <w:fldChar w:fldCharType="end"/>
      </w:r>
      <w:r w:rsidR="004E651B" w:rsidRPr="005244BD">
        <w:rPr>
          <w:rFonts w:ascii="Times New Roman" w:eastAsiaTheme="minorEastAsia" w:hAnsi="Times New Roman" w:cs="Times New Roman"/>
        </w:rPr>
        <w:t xml:space="preserve">, </w:t>
      </w:r>
      <w:r w:rsidR="00BE3BAB" w:rsidRPr="005244BD">
        <w:rPr>
          <w:rFonts w:ascii="Times New Roman" w:eastAsiaTheme="minorEastAsia" w:hAnsi="Times New Roman" w:cs="Times New Roman"/>
        </w:rPr>
        <w:fldChar w:fldCharType="begin" w:fldLock="1"/>
      </w:r>
      <w:r w:rsidR="00BF6D87" w:rsidRPr="005244BD">
        <w:rPr>
          <w:rFonts w:ascii="Times New Roman" w:eastAsiaTheme="minorEastAsia" w:hAnsi="Times New Roman" w:cs="Times New Roman"/>
        </w:rPr>
        <w:instrText>ADDIN CSL_CITATION {"citationItems":[{"id":"ITEM-1","itemData":{"author":[{"dropping-particle":"","family":"Wardlaw","given":"N C","non-dropping-particle":"","parse-names":false,"suffix":""}],"container-title":"Journal of Canadian Petroleum Technology","id":"ITEM-1","issue":"03","issued":{"date-parts":[["1982"]]},"publisher":"Petroleum Society of Canada","title":"The effects of geometry, wettability, viscosity and interfacial tension on trapping in single pore-throat pairs","type":"article-journal","volume":"21"},"uris":["http://www.mendeley.com/documents/?uuid=f70770d5-5f33-4667-bacc-3957411ce970","http://www.mendeley.com/documents/?uuid=5014929b-9d20-404a-8b3c-5dfb06e12ad1"]}],"mendeley":{"formattedCitation":"(Wardlaw, 1982)","manualFormatting":"Wardlaw, 1982","plainTextFormattedCitation":"(Wardlaw, 1982)","previouslyFormattedCitation":"(Wardlaw, 1982)"},"properties":{"noteIndex":0},"schema":"https://github.com/citation-style-language/schema/raw/master/csl-citation.json"}</w:instrText>
      </w:r>
      <w:r w:rsidR="00BE3BAB" w:rsidRPr="005244BD">
        <w:rPr>
          <w:rFonts w:ascii="Times New Roman" w:eastAsiaTheme="minorEastAsia" w:hAnsi="Times New Roman" w:cs="Times New Roman"/>
        </w:rPr>
        <w:fldChar w:fldCharType="separate"/>
      </w:r>
      <w:r w:rsidR="007E3CAF" w:rsidRPr="005244BD">
        <w:rPr>
          <w:rFonts w:ascii="Times New Roman" w:eastAsiaTheme="minorEastAsia" w:hAnsi="Times New Roman" w:cs="Times New Roman"/>
          <w:noProof/>
        </w:rPr>
        <w:t>Wardlaw, 1982</w:t>
      </w:r>
      <w:r w:rsidR="00BE3BAB" w:rsidRPr="005244BD">
        <w:rPr>
          <w:rFonts w:ascii="Times New Roman" w:eastAsiaTheme="minorEastAsia" w:hAnsi="Times New Roman" w:cs="Times New Roman"/>
        </w:rPr>
        <w:fldChar w:fldCharType="end"/>
      </w:r>
      <w:r w:rsidR="004E651B" w:rsidRPr="005244BD">
        <w:rPr>
          <w:rFonts w:ascii="Times New Roman" w:eastAsiaTheme="minorEastAsia" w:hAnsi="Times New Roman" w:cs="Times New Roman"/>
        </w:rPr>
        <w:t xml:space="preserve">, </w:t>
      </w:r>
      <w:r w:rsidR="004E6890" w:rsidRPr="005244BD">
        <w:rPr>
          <w:rFonts w:ascii="Times New Roman" w:eastAsiaTheme="minorEastAsia" w:hAnsi="Times New Roman" w:cs="Times New Roman"/>
        </w:rPr>
        <w:fldChar w:fldCharType="begin" w:fldLock="1"/>
      </w:r>
      <w:r w:rsidR="00BF6D87" w:rsidRPr="005244BD">
        <w:rPr>
          <w:rFonts w:ascii="Times New Roman" w:eastAsiaTheme="minorEastAsia" w:hAnsi="Times New Roman" w:cs="Times New Roman"/>
        </w:rPr>
        <w:instrText>ADDIN CSL_CITATION {"citationItems":[{"id":"ITEM-1","itemData":{"author":[{"dropping-particle":"","family":"Zhang","given":"Lijuan","non-dropping-particle":"","parse-names":false,"suffix":""},{"dropping-particle":"","family":"Guo","given":"Fenqiao","non-dropping-particle":"","parse-names":false,"suffix":""}],"container-title":"Petroleum Science","id":"ITEM-1","issue":"1","issued":{"date-parts":[["2008"]]},"page":"56-61","publisher":"Springer","title":"Micro-mechanisms of residual oil mobilization by viscoelastic fluids","type":"article-journal","volume":"5"},"uris":["http://www.mendeley.com/documents/?uuid=ef1fad49-a382-43d8-b404-63a67728f78c","http://www.mendeley.com/documents/?uuid=cec99085-2c12-4767-b174-4a495f8d2843"]}],"mendeley":{"formattedCitation":"(L. Zhang &amp; Guo, 2008)","manualFormatting":"Zhang &amp; Guo, 2008)","plainTextFormattedCitation":"(L. Zhang &amp; Guo, 2008)","previouslyFormattedCitation":"(L. Zhang &amp; Guo, 2008)"},"properties":{"noteIndex":0},"schema":"https://github.com/citation-style-language/schema/raw/master/csl-citation.json"}</w:instrText>
      </w:r>
      <w:r w:rsidR="004E6890" w:rsidRPr="005244BD">
        <w:rPr>
          <w:rFonts w:ascii="Times New Roman" w:eastAsiaTheme="minorEastAsia" w:hAnsi="Times New Roman" w:cs="Times New Roman"/>
        </w:rPr>
        <w:fldChar w:fldCharType="separate"/>
      </w:r>
      <w:r w:rsidR="007E3CAF" w:rsidRPr="005244BD">
        <w:rPr>
          <w:rFonts w:ascii="Times New Roman" w:eastAsiaTheme="minorEastAsia" w:hAnsi="Times New Roman" w:cs="Times New Roman"/>
          <w:noProof/>
        </w:rPr>
        <w:t>Zhang &amp; Guo, 2008)</w:t>
      </w:r>
      <w:r w:rsidR="004E6890" w:rsidRPr="005244BD">
        <w:rPr>
          <w:rFonts w:ascii="Times New Roman" w:eastAsiaTheme="minorEastAsia" w:hAnsi="Times New Roman" w:cs="Times New Roman"/>
        </w:rPr>
        <w:fldChar w:fldCharType="end"/>
      </w:r>
      <w:r w:rsidR="00BE3BAB" w:rsidRPr="005244BD">
        <w:rPr>
          <w:rFonts w:ascii="Times New Roman" w:eastAsiaTheme="minorEastAsia" w:hAnsi="Times New Roman" w:cs="Times New Roman"/>
        </w:rPr>
        <w:t xml:space="preserve">. </w:t>
      </w:r>
      <w:r w:rsidR="00E004E6" w:rsidRPr="005244BD">
        <w:rPr>
          <w:rFonts w:ascii="Times New Roman" w:eastAsiaTheme="minorEastAsia" w:hAnsi="Times New Roman" w:cs="Times New Roman"/>
        </w:rPr>
        <w:t xml:space="preserve">In this work 40% residual NAPL saturation </w:t>
      </w:r>
      <w:r w:rsidR="00352824" w:rsidRPr="005244BD">
        <w:rPr>
          <w:rFonts w:ascii="Times New Roman" w:eastAsiaTheme="minorEastAsia" w:hAnsi="Times New Roman" w:cs="Times New Roman"/>
        </w:rPr>
        <w:t>was</w:t>
      </w:r>
      <w:r w:rsidR="00E004E6" w:rsidRPr="005244BD">
        <w:rPr>
          <w:rFonts w:ascii="Times New Roman" w:eastAsiaTheme="minorEastAsia" w:hAnsi="Times New Roman" w:cs="Times New Roman"/>
        </w:rPr>
        <w:t xml:space="preserve"> used for simulation, a</w:t>
      </w:r>
      <w:r w:rsidR="00BE3BAB" w:rsidRPr="005244BD">
        <w:rPr>
          <w:rFonts w:ascii="Times New Roman" w:eastAsiaTheme="minorEastAsia" w:hAnsi="Times New Roman" w:cs="Times New Roman"/>
        </w:rPr>
        <w:t xml:space="preserve">ccordingly for </w:t>
      </w:r>
      <w:r w:rsidR="00E004E6" w:rsidRPr="005244BD">
        <w:rPr>
          <w:rFonts w:ascii="Times New Roman" w:eastAsiaTheme="minorEastAsia" w:hAnsi="Times New Roman" w:cs="Times New Roman"/>
        </w:rPr>
        <w:t>this</w:t>
      </w:r>
      <w:r w:rsidR="00BE3BAB" w:rsidRPr="005244BD">
        <w:rPr>
          <w:rFonts w:ascii="Times New Roman" w:eastAsiaTheme="minorEastAsia" w:hAnsi="Times New Roman" w:cs="Times New Roman"/>
        </w:rPr>
        <w:t xml:space="preserve"> entrapped NAPL saturation/distribution, the largest pores are filled with toluene until </w:t>
      </w:r>
      <w:r w:rsidR="00E004E6" w:rsidRPr="005244BD">
        <w:rPr>
          <w:rFonts w:ascii="Times New Roman" w:eastAsiaTheme="minorEastAsia" w:hAnsi="Times New Roman" w:cs="Times New Roman"/>
        </w:rPr>
        <w:t xml:space="preserve">the NAPL saturation reaches to 40%. </w:t>
      </w:r>
    </w:p>
    <w:p w14:paraId="6CFCCCB7" w14:textId="3AA4E48C" w:rsidR="00067AA6" w:rsidRPr="002C434F" w:rsidRDefault="009E7E18" w:rsidP="00C92CFE">
      <w:pPr>
        <w:spacing w:after="0" w:line="480" w:lineRule="auto"/>
        <w:jc w:val="both"/>
        <w:rPr>
          <w:rFonts w:ascii="Times New Roman" w:eastAsiaTheme="minorEastAsia" w:hAnsi="Times New Roman" w:cs="Times New Roman"/>
          <w:lang w:val="es-MX"/>
        </w:rPr>
      </w:pPr>
      <w:r w:rsidRPr="005244BD">
        <w:rPr>
          <w:rFonts w:ascii="Times New Roman" w:eastAsiaTheme="minorEastAsia" w:hAnsi="Times New Roman" w:cs="Times New Roman"/>
        </w:rPr>
        <w:t>To simulate natural attenuation of toluene</w:t>
      </w:r>
      <w:r w:rsidR="00964380" w:rsidRPr="005244BD">
        <w:rPr>
          <w:rFonts w:ascii="Times New Roman" w:eastAsiaTheme="minorEastAsia" w:hAnsi="Times New Roman" w:cs="Times New Roman"/>
        </w:rPr>
        <w:t>, it is assumed</w:t>
      </w:r>
      <w:r w:rsidRPr="005244BD">
        <w:rPr>
          <w:rFonts w:ascii="Times New Roman" w:eastAsiaTheme="minorEastAsia" w:hAnsi="Times New Roman" w:cs="Times New Roman"/>
        </w:rPr>
        <w:t xml:space="preserve"> that toluene is biodegraded by</w:t>
      </w:r>
      <w:r w:rsidR="00964380" w:rsidRPr="005244BD">
        <w:rPr>
          <w:rFonts w:ascii="Times New Roman" w:eastAsiaTheme="minorEastAsia" w:hAnsi="Times New Roman" w:cs="Times New Roman"/>
        </w:rPr>
        <w:t xml:space="preserve"> </w:t>
      </w:r>
      <w:r w:rsidR="00964380" w:rsidRPr="005244BD">
        <w:rPr>
          <w:rFonts w:ascii="Times New Roman" w:eastAsiaTheme="minorEastAsia" w:hAnsi="Times New Roman" w:cs="Times New Roman"/>
          <w:i/>
        </w:rPr>
        <w:t>P. putida</w:t>
      </w:r>
      <w:r w:rsidR="00964380" w:rsidRPr="005244BD">
        <w:rPr>
          <w:rFonts w:ascii="Times New Roman" w:eastAsiaTheme="minorEastAsia" w:hAnsi="Times New Roman" w:cs="Times New Roman"/>
        </w:rPr>
        <w:t xml:space="preserve"> as a bacteri</w:t>
      </w:r>
      <w:r w:rsidR="00C92CFE" w:rsidRPr="005244BD">
        <w:rPr>
          <w:rFonts w:ascii="Times New Roman" w:eastAsiaTheme="minorEastAsia" w:hAnsi="Times New Roman" w:cs="Times New Roman"/>
        </w:rPr>
        <w:t>um</w:t>
      </w:r>
      <w:r w:rsidR="00964380" w:rsidRPr="005244BD">
        <w:rPr>
          <w:rFonts w:ascii="Times New Roman" w:eastAsiaTheme="minorEastAsia" w:hAnsi="Times New Roman" w:cs="Times New Roman"/>
        </w:rPr>
        <w:t xml:space="preserve"> </w:t>
      </w:r>
      <w:r w:rsidRPr="005244BD">
        <w:rPr>
          <w:rFonts w:ascii="Times New Roman" w:eastAsiaTheme="minorEastAsia" w:hAnsi="Times New Roman" w:cs="Times New Roman"/>
        </w:rPr>
        <w:t>which exists naturally in pore bodies and throats.</w:t>
      </w:r>
      <w:r w:rsidR="000C789E" w:rsidRPr="005244BD">
        <w:rPr>
          <w:rFonts w:ascii="Times New Roman" w:eastAsiaTheme="minorEastAsia" w:hAnsi="Times New Roman" w:cs="Times New Roman"/>
        </w:rPr>
        <w:t xml:space="preserve"> </w:t>
      </w:r>
      <w:r w:rsidR="00067AA6" w:rsidRPr="005244BD">
        <w:rPr>
          <w:rFonts w:ascii="Times New Roman" w:eastAsiaTheme="minorEastAsia" w:hAnsi="Times New Roman" w:cs="Times New Roman"/>
        </w:rPr>
        <w:t xml:space="preserve">There is a large range of variability in the parameter values of biodegradation model which are found in the literature. For instance, different values of </w:t>
      </w:r>
      <w:r w:rsidR="00067AA6" w:rsidRPr="002C434F">
        <w:rPr>
          <w:rFonts w:ascii="Times New Roman" w:eastAsiaTheme="minorEastAsia" w:hAnsi="Times New Roman" w:cs="Times New Roman"/>
          <w:i/>
          <w:iCs/>
        </w:rPr>
        <w:t>µ</w:t>
      </w:r>
      <w:r w:rsidR="00067AA6" w:rsidRPr="005244BD">
        <w:rPr>
          <w:rFonts w:ascii="Times New Roman" w:eastAsiaTheme="minorEastAsia" w:hAnsi="Times New Roman" w:cs="Times New Roman"/>
          <w:vertAlign w:val="subscript"/>
        </w:rPr>
        <w:t>max</w:t>
      </w:r>
      <w:r w:rsidR="00067AA6" w:rsidRPr="005244BD">
        <w:rPr>
          <w:rFonts w:ascii="Times New Roman" w:eastAsiaTheme="minorEastAsia" w:hAnsi="Times New Roman" w:cs="Times New Roman"/>
        </w:rPr>
        <w:t xml:space="preserve"> measured for toluene biodegradation for different types of Pseudomonas are reported by </w:t>
      </w:r>
      <w:r w:rsidR="005E7658" w:rsidRPr="005244BD">
        <w:rPr>
          <w:rFonts w:ascii="Times New Roman" w:eastAsiaTheme="minorEastAsia" w:hAnsi="Times New Roman" w:cs="Times New Roman"/>
        </w:rPr>
        <w:fldChar w:fldCharType="begin" w:fldLock="1"/>
      </w:r>
      <w:r w:rsidR="005E7658" w:rsidRPr="005244BD">
        <w:rPr>
          <w:rFonts w:ascii="Times New Roman" w:eastAsiaTheme="minorEastAsia" w:hAnsi="Times New Roman" w:cs="Times New Roman"/>
        </w:rPr>
        <w:instrText>ADDIN CSL_CITATION {"citationItems":[{"id":"ITEM-1","itemData":{"author":[{"dropping-particle":"","family":"Bordel","given":"Sergio","non-dropping-particle":"","parse-names":false,"suffix":""},{"dropping-particle":"","family":"Muñoz","given":"Raúl","non-dropping-particle":"","parse-names":false,"suffix":""},{"dropping-particle":"","family":"D\\'\\iaz","given":"Luis Felipe","non-dropping-particle":"","parse-names":false,"suffix":""},{"dropping-particle":"","family":"Villaverde","given":"Santiago","non-dropping-particle":"","parse-names":false,"suffix":""}],"container-title":"Applied microbiology and biotechnology","id":"ITEM-1","issue":"4","issued":{"date-parts":[["2007"]]},"page":"857-866","publisher":"Springer","title":"New insights on toluene biodegradation by Pseudomonas putida F1: influence of pollutant concentration and excreted metabolites","type":"article-journal","volume":"74"},"uris":["http://www.mendeley.com/documents/?uuid=86081fb8-a442-4aee-b1fd-680fce2760d9"]}],"mendeley":{"formattedCitation":"(Bordel et al., 2007)","manualFormatting":"Bordel et al., 2007,","plainTextFormattedCitat</w:instrText>
      </w:r>
      <w:r w:rsidR="005E7658" w:rsidRPr="00EE0F85">
        <w:rPr>
          <w:rFonts w:ascii="Times New Roman" w:eastAsiaTheme="minorEastAsia" w:hAnsi="Times New Roman" w:cs="Times New Roman"/>
          <w:lang w:val="es-MX"/>
        </w:rPr>
        <w:instrText>ion":"(Bordel et al., 2007)","previouslyFormattedCitation":"(Bordel et al., 2007)"},"properties":{"noteIndex":0},"schema":"https://github.com/citation-style-language/schema/raw/master/csl-citation.json"}</w:instrText>
      </w:r>
      <w:r w:rsidR="005E7658" w:rsidRPr="005244BD">
        <w:rPr>
          <w:rFonts w:ascii="Times New Roman" w:eastAsiaTheme="minorEastAsia" w:hAnsi="Times New Roman" w:cs="Times New Roman"/>
        </w:rPr>
        <w:fldChar w:fldCharType="separate"/>
      </w:r>
      <w:r w:rsidR="005E7658" w:rsidRPr="00EE0F85">
        <w:rPr>
          <w:rFonts w:ascii="Times New Roman" w:eastAsiaTheme="minorEastAsia" w:hAnsi="Times New Roman" w:cs="Times New Roman"/>
          <w:noProof/>
          <w:lang w:val="es-MX"/>
        </w:rPr>
        <w:t>Bordel et al., 2007,</w:t>
      </w:r>
      <w:r w:rsidR="005E7658" w:rsidRPr="005244BD">
        <w:rPr>
          <w:rFonts w:ascii="Times New Roman" w:eastAsiaTheme="minorEastAsia" w:hAnsi="Times New Roman" w:cs="Times New Roman"/>
        </w:rPr>
        <w:fldChar w:fldCharType="end"/>
      </w:r>
      <w:r w:rsidR="00067AA6" w:rsidRPr="00EE0F85">
        <w:rPr>
          <w:rFonts w:ascii="Times New Roman" w:eastAsiaTheme="minorEastAsia" w:hAnsi="Times New Roman" w:cs="Times New Roman"/>
          <w:lang w:val="es-MX"/>
        </w:rPr>
        <w:t xml:space="preserve"> (0.78</w:t>
      </w:r>
      <w:r w:rsidR="00AF7A0C" w:rsidRPr="00EE0F85">
        <w:rPr>
          <w:rFonts w:ascii="Times New Roman" w:eastAsiaTheme="minorEastAsia" w:hAnsi="Times New Roman" w:cs="Times New Roman"/>
          <w:lang w:val="es-MX"/>
        </w:rPr>
        <w:t xml:space="preserve"> </w:t>
      </w:r>
      <w:r w:rsidR="00067AA6" w:rsidRPr="00EE0F85">
        <w:rPr>
          <w:rFonts w:ascii="Times New Roman" w:eastAsiaTheme="minorEastAsia" w:hAnsi="Times New Roman" w:cs="Times New Roman"/>
          <w:lang w:val="es-MX"/>
        </w:rPr>
        <w:t>h</w:t>
      </w:r>
      <w:r w:rsidR="002C434F" w:rsidRPr="00EE0F85">
        <w:rPr>
          <w:rFonts w:ascii="Arial" w:eastAsiaTheme="minorEastAsia" w:hAnsi="Arial" w:cs="Arial"/>
          <w:vertAlign w:val="superscript"/>
          <w:lang w:val="es-MX"/>
        </w:rPr>
        <w:t>−</w:t>
      </w:r>
      <w:r w:rsidR="00067AA6" w:rsidRPr="00EE0F85">
        <w:rPr>
          <w:rFonts w:ascii="Times New Roman" w:eastAsiaTheme="minorEastAsia" w:hAnsi="Times New Roman" w:cs="Times New Roman"/>
          <w:vertAlign w:val="superscript"/>
          <w:lang w:val="es-MX"/>
        </w:rPr>
        <w:t>1</w:t>
      </w:r>
      <w:r w:rsidR="00067AA6" w:rsidRPr="00EE0F85">
        <w:rPr>
          <w:rFonts w:ascii="Times New Roman" w:eastAsiaTheme="minorEastAsia" w:hAnsi="Times New Roman" w:cs="Times New Roman"/>
          <w:lang w:val="es-MX"/>
        </w:rPr>
        <w:t>),</w:t>
      </w:r>
      <w:r w:rsidR="005E7658" w:rsidRPr="00EE0F85">
        <w:rPr>
          <w:rFonts w:ascii="Times New Roman" w:eastAsiaTheme="minorEastAsia" w:hAnsi="Times New Roman" w:cs="Times New Roman"/>
          <w:lang w:val="es-MX"/>
        </w:rPr>
        <w:t xml:space="preserve"> </w:t>
      </w:r>
      <w:r w:rsidR="005E7658" w:rsidRPr="005244BD">
        <w:rPr>
          <w:rFonts w:ascii="Times New Roman" w:eastAsiaTheme="minorEastAsia" w:hAnsi="Times New Roman" w:cs="Times New Roman"/>
        </w:rPr>
        <w:fldChar w:fldCharType="begin" w:fldLock="1"/>
      </w:r>
      <w:r w:rsidR="005E7658" w:rsidRPr="00EE0F85">
        <w:rPr>
          <w:rFonts w:ascii="Times New Roman" w:eastAsiaTheme="minorEastAsia" w:hAnsi="Times New Roman" w:cs="Times New Roman"/>
          <w:lang w:val="es-MX"/>
        </w:rPr>
        <w:instrText>ADDIN CSL_CITATION {"citationItems":[{"id":"ITEM-1","itemData":{"author":[{"dropping-particle":"","family":"Oh","given":"Young-Sook","non-dropping-particle":"","parse-names":false,"suffix":""},{"dropping-particle":"","family":"Shareefdeen","given":"Zarook","non-dropping-particle":"","parse-names":false,"suffix":""},{"dropping-particle":"","family":"Baltzis","given":"Basil C","non-dropping-particle":"","parse-names":false,"suffix":""},{"dropping-particle":"","family":"Bartha","given":"Richard","non-dropping-particle":"","parse-names":false,"suffix":""}],"container-title":"Biotechnology and Bioengineering","id":"ITEM-1","issue":"4","issued":{"date-parts":[["1994"]]},"page":"533-538","publisher":"Wiley Online Library","title":"Interactions between benzene, toluene, and p-xylene (BTX) during their biodegradation","type":"article-journal","volume":"44"},"uris":["http://www.mendeley.com/documents/?uuid=a6f2e5f3-56f6-49bd-96ae-ef6acdf1785d"]}],"mendeley":{"formattedCitation":"(Oh et al., 1994)","manualFormatting":"Oh et al., 1994,","plainTextFormattedCitation":"(Oh et al., 1994)","previouslyFormattedCitation":"(Oh et al., 1994)"},"properties":{"noteIndex":0},"schema":"https://github.com/citation-style-language/schema/raw/mas</w:instrText>
      </w:r>
      <w:r w:rsidR="005E7658" w:rsidRPr="002C434F">
        <w:rPr>
          <w:rFonts w:ascii="Times New Roman" w:eastAsiaTheme="minorEastAsia" w:hAnsi="Times New Roman" w:cs="Times New Roman"/>
          <w:lang w:val="es-MX"/>
        </w:rPr>
        <w:instrText>ter/csl-citation.json"}</w:instrText>
      </w:r>
      <w:r w:rsidR="005E7658" w:rsidRPr="005244BD">
        <w:rPr>
          <w:rFonts w:ascii="Times New Roman" w:eastAsiaTheme="minorEastAsia" w:hAnsi="Times New Roman" w:cs="Times New Roman"/>
        </w:rPr>
        <w:fldChar w:fldCharType="separate"/>
      </w:r>
      <w:r w:rsidR="005E7658" w:rsidRPr="002C434F">
        <w:rPr>
          <w:rFonts w:ascii="Times New Roman" w:eastAsiaTheme="minorEastAsia" w:hAnsi="Times New Roman" w:cs="Times New Roman"/>
          <w:noProof/>
          <w:lang w:val="es-MX"/>
        </w:rPr>
        <w:t>Oh et al., 1994,</w:t>
      </w:r>
      <w:r w:rsidR="005E7658" w:rsidRPr="005244BD">
        <w:rPr>
          <w:rFonts w:ascii="Times New Roman" w:eastAsiaTheme="minorEastAsia" w:hAnsi="Times New Roman" w:cs="Times New Roman"/>
        </w:rPr>
        <w:fldChar w:fldCharType="end"/>
      </w:r>
      <w:r w:rsidR="00067AA6" w:rsidRPr="002C434F">
        <w:rPr>
          <w:rFonts w:ascii="Times New Roman" w:eastAsiaTheme="minorEastAsia" w:hAnsi="Times New Roman" w:cs="Times New Roman"/>
          <w:lang w:val="es-MX"/>
        </w:rPr>
        <w:t xml:space="preserve"> (1.56</w:t>
      </w:r>
      <w:r w:rsidR="00AF7A0C" w:rsidRPr="002C434F">
        <w:rPr>
          <w:rFonts w:ascii="Times New Roman" w:eastAsiaTheme="minorEastAsia" w:hAnsi="Times New Roman" w:cs="Times New Roman"/>
          <w:lang w:val="es-MX"/>
        </w:rPr>
        <w:t xml:space="preserve"> </w:t>
      </w:r>
      <w:r w:rsidR="00067AA6" w:rsidRPr="002C434F">
        <w:rPr>
          <w:rFonts w:ascii="Times New Roman" w:eastAsiaTheme="minorEastAsia" w:hAnsi="Times New Roman" w:cs="Times New Roman"/>
          <w:lang w:val="es-MX"/>
        </w:rPr>
        <w:t>h</w:t>
      </w:r>
      <w:r w:rsidR="002C434F" w:rsidRPr="002C434F">
        <w:rPr>
          <w:rFonts w:ascii="Arial" w:eastAsiaTheme="minorEastAsia" w:hAnsi="Arial" w:cs="Arial"/>
          <w:vertAlign w:val="superscript"/>
          <w:lang w:val="es-MX"/>
        </w:rPr>
        <w:t>−</w:t>
      </w:r>
      <w:r w:rsidR="00067AA6" w:rsidRPr="002C434F">
        <w:rPr>
          <w:rFonts w:ascii="Times New Roman" w:eastAsiaTheme="minorEastAsia" w:hAnsi="Times New Roman" w:cs="Times New Roman"/>
          <w:vertAlign w:val="superscript"/>
          <w:lang w:val="es-MX"/>
        </w:rPr>
        <w:t>1</w:t>
      </w:r>
      <w:r w:rsidR="00067AA6" w:rsidRPr="002C434F">
        <w:rPr>
          <w:rFonts w:ascii="Times New Roman" w:eastAsiaTheme="minorEastAsia" w:hAnsi="Times New Roman" w:cs="Times New Roman"/>
          <w:lang w:val="es-MX"/>
        </w:rPr>
        <w:t>), and</w:t>
      </w:r>
      <w:r w:rsidR="005E7658" w:rsidRPr="002C434F">
        <w:rPr>
          <w:rFonts w:ascii="Times New Roman" w:eastAsiaTheme="minorEastAsia" w:hAnsi="Times New Roman" w:cs="Times New Roman"/>
          <w:lang w:val="es-MX"/>
        </w:rPr>
        <w:t xml:space="preserve"> </w:t>
      </w:r>
      <w:r w:rsidR="005E7658" w:rsidRPr="005244BD">
        <w:rPr>
          <w:rFonts w:ascii="Times New Roman" w:eastAsiaTheme="minorEastAsia" w:hAnsi="Times New Roman" w:cs="Times New Roman"/>
        </w:rPr>
        <w:fldChar w:fldCharType="begin" w:fldLock="1"/>
      </w:r>
      <w:r w:rsidR="005E7658" w:rsidRPr="002C434F">
        <w:rPr>
          <w:rFonts w:ascii="Times New Roman" w:eastAsiaTheme="minorEastAsia" w:hAnsi="Times New Roman" w:cs="Times New Roman"/>
          <w:lang w:val="es-MX"/>
        </w:rPr>
        <w:instrText>ADDIN CSL_CITATION {"citationItems":[{"id":"ITEM-1","itemData":{"author":[{"dropping-particle":"","family":"Câmara","given":"Jéssica M D A","non-dropping-particle":"","parse-names":false,"suffix":""},{"dropping-particle":"","family":"Sousa","given":"MASB","non-dropping-particle":"","parse-names":false,"suffix":""},{"dropping-particle":"","family":"B Neto","given":"E L","non-dropping-particle":"","parse-names":false,"suffix":""}],"container-title":"Brazilian Journal of Chemical Engineering","id":"ITEM-1","issue":"1","issued":{"date-parts":[["2019"]]},"page":"65-72","publisher":"SciELO Brasil","title":"KINETICS OF THE BIODEGRADATION OF MONOAROMATICS BY Pseudomonas aeruginosa","type":"article-journal","volume":"36"},"uris":["http://www.mendeley.com/documents/?uuid=5c11e5ad-7ad6-4122-9fd3-8727a77100bf"]}],"mendeley":{"formattedCitation":"(Câmara et al., 2019)","manualFormatting":"Câmara et al., 2019,","plainTextFormattedCitation":"(Câmara et al., 2019)","previouslyFormattedCitation":"(Câmara et al., 2019)"},"properties":{"noteIndex":0},"schema":"https://github.com/citation-style-language/schema/raw/master/csl-citation.json"}</w:instrText>
      </w:r>
      <w:r w:rsidR="005E7658" w:rsidRPr="005244BD">
        <w:rPr>
          <w:rFonts w:ascii="Times New Roman" w:eastAsiaTheme="minorEastAsia" w:hAnsi="Times New Roman" w:cs="Times New Roman"/>
        </w:rPr>
        <w:fldChar w:fldCharType="separate"/>
      </w:r>
      <w:r w:rsidR="005E7658" w:rsidRPr="002C434F">
        <w:rPr>
          <w:rFonts w:ascii="Times New Roman" w:eastAsiaTheme="minorEastAsia" w:hAnsi="Times New Roman" w:cs="Times New Roman"/>
          <w:noProof/>
          <w:lang w:val="es-MX"/>
        </w:rPr>
        <w:t>Câmara et al., 2019,</w:t>
      </w:r>
      <w:r w:rsidR="005E7658" w:rsidRPr="005244BD">
        <w:rPr>
          <w:rFonts w:ascii="Times New Roman" w:eastAsiaTheme="minorEastAsia" w:hAnsi="Times New Roman" w:cs="Times New Roman"/>
        </w:rPr>
        <w:fldChar w:fldCharType="end"/>
      </w:r>
      <w:r w:rsidR="00067AA6" w:rsidRPr="002C434F">
        <w:rPr>
          <w:rFonts w:ascii="Times New Roman" w:eastAsiaTheme="minorEastAsia" w:hAnsi="Times New Roman" w:cs="Times New Roman"/>
          <w:lang w:val="es-MX"/>
        </w:rPr>
        <w:t xml:space="preserve"> (1.72 h</w:t>
      </w:r>
      <w:r w:rsidR="002C434F">
        <w:rPr>
          <w:rFonts w:ascii="Arial" w:eastAsiaTheme="minorEastAsia" w:hAnsi="Arial" w:cs="Arial"/>
          <w:vertAlign w:val="superscript"/>
          <w:lang w:val="es-MX"/>
        </w:rPr>
        <w:t>−</w:t>
      </w:r>
      <w:r w:rsidR="00067AA6" w:rsidRPr="002C434F">
        <w:rPr>
          <w:rFonts w:ascii="Times New Roman" w:eastAsiaTheme="minorEastAsia" w:hAnsi="Times New Roman" w:cs="Times New Roman"/>
          <w:vertAlign w:val="superscript"/>
          <w:lang w:val="es-MX"/>
        </w:rPr>
        <w:t>1</w:t>
      </w:r>
      <w:r w:rsidR="00067AA6" w:rsidRPr="002C434F">
        <w:rPr>
          <w:rFonts w:ascii="Times New Roman" w:eastAsiaTheme="minorEastAsia" w:hAnsi="Times New Roman" w:cs="Times New Roman"/>
          <w:lang w:val="es-MX"/>
        </w:rPr>
        <w:t xml:space="preserve">). </w:t>
      </w:r>
    </w:p>
    <w:p w14:paraId="576E1F6F" w14:textId="6559232E" w:rsidR="00067AA6" w:rsidRPr="005244BD" w:rsidRDefault="00067AA6" w:rsidP="000C789E">
      <w:pPr>
        <w:spacing w:after="0" w:line="480" w:lineRule="auto"/>
        <w:jc w:val="both"/>
        <w:rPr>
          <w:rFonts w:ascii="Times New Roman" w:eastAsiaTheme="minorEastAsia" w:hAnsi="Times New Roman" w:cs="Times New Roman"/>
        </w:rPr>
      </w:pPr>
      <w:r w:rsidRPr="005244BD">
        <w:rPr>
          <w:rFonts w:ascii="Times New Roman" w:eastAsiaTheme="minorEastAsia" w:hAnsi="Times New Roman" w:cs="Times New Roman"/>
        </w:rPr>
        <w:lastRenderedPageBreak/>
        <w:t xml:space="preserve">In a similar way, the yield coefficient for biodegradation of toluene by Pseudomonas putida is 0.6 </w:t>
      </w:r>
      <w:r w:rsidR="00CF6C0A" w:rsidRPr="005244BD">
        <w:rPr>
          <w:rFonts w:ascii="Times New Roman" w:eastAsiaTheme="minorEastAsia" w:hAnsi="Times New Roman" w:cs="Times New Roman"/>
        </w:rPr>
        <w:t xml:space="preserve">biomass </w:t>
      </w:r>
      <w:r w:rsidRPr="005244BD">
        <w:rPr>
          <w:rFonts w:ascii="Times New Roman" w:eastAsiaTheme="minorEastAsia" w:hAnsi="Times New Roman" w:cs="Times New Roman"/>
        </w:rPr>
        <w:t xml:space="preserve">mg/mg NAPL from </w:t>
      </w:r>
      <w:r w:rsidR="005E7658" w:rsidRPr="005244BD">
        <w:rPr>
          <w:rFonts w:ascii="Times New Roman" w:eastAsiaTheme="minorEastAsia" w:hAnsi="Times New Roman" w:cs="Times New Roman"/>
        </w:rPr>
        <w:fldChar w:fldCharType="begin" w:fldLock="1"/>
      </w:r>
      <w:r w:rsidR="008C1184" w:rsidRPr="005244BD">
        <w:rPr>
          <w:rFonts w:ascii="Times New Roman" w:eastAsiaTheme="minorEastAsia" w:hAnsi="Times New Roman" w:cs="Times New Roman"/>
        </w:rPr>
        <w:instrText>ADDIN CSL_CITATION {"citationItems":[{"id":"ITEM-1","itemData":{"author":[{"dropping-particle":"","family":"Robledo-Ort\\'\\iz","given":"J R","non-dropping-particle":"","parse-names":false,"suffix":""},{"dropping-particle":"","family":"Ram\\'\\irez-Arreola","given":"D E","non-dropping-particle":"","parse-names":false,"suffix":""},{"dropping-particle":"","family":"Pérez-Fonseca","given":"A A","non-dropping-particle":"","parse-names":false,"suffix":""},{"dropping-particle":"","family":"Gómez","given":"C","non-dropping-particle":"","parse-names":false,"suffix":""},{"dropping-particle":"","family":"González-Reynoso","given":"O","non-dropping-particle":"","parse-names":false,"suffix":""},{"dropping-particle":"","family":"Ramos-Quirarte","given":"J","non-dropping-particle":"","parse-names":false,"suffix":""},{"dropping-particle":"","family":"González-Núñez","given":"R","non-dropping-particle":"","parse-names":false,"suffix":""}],"container-title":"International biodeterioration &amp; biodegradation","id":"ITEM-1","issue":"3","issued":{"date-parts":[["2011"]]},"page":"539-546","publisher":"Elsevier","title":"Benzene, toluene, and o-xylene degradation by free and immobilized P. putida F1 of postconsumer agave-fiber/polymer foamed composites","type":"article-journal","volume":"65"},"uris":["http://www.mendeley.com/documents/?uuid=dac77e5a-d0ea-44d4-b98a-d1a5f52484e6"]}],"mendeley":{"formattedCitation":"(Robledo-Ort\\’\\iz et al., 2011)","manualFormatting":"Robledo-Ortiz et al., 2011,","plainTextFormattedCitation":"(Robledo-Ort\\’\\iz et al., 2011)","previouslyFormattedCitation":"(Robledo-Ort\\’\\iz et al., 2011)"},"properties":{"noteIndex":0},"schema":"https://github.com/citation-style-language/schema/raw/master/csl-citation.json"}</w:instrText>
      </w:r>
      <w:r w:rsidR="005E7658" w:rsidRPr="005244BD">
        <w:rPr>
          <w:rFonts w:ascii="Times New Roman" w:eastAsiaTheme="minorEastAsia" w:hAnsi="Times New Roman" w:cs="Times New Roman"/>
        </w:rPr>
        <w:fldChar w:fldCharType="separate"/>
      </w:r>
      <w:r w:rsidR="005E7658" w:rsidRPr="005244BD">
        <w:rPr>
          <w:rFonts w:ascii="Times New Roman" w:eastAsiaTheme="minorEastAsia" w:hAnsi="Times New Roman" w:cs="Times New Roman"/>
          <w:noProof/>
        </w:rPr>
        <w:t>Robledo-Ortiz et al., 2011</w:t>
      </w:r>
      <w:r w:rsidR="000C789E" w:rsidRPr="005244BD">
        <w:rPr>
          <w:rFonts w:ascii="Times New Roman" w:eastAsiaTheme="minorEastAsia" w:hAnsi="Times New Roman" w:cs="Times New Roman"/>
          <w:noProof/>
        </w:rPr>
        <w:t>,</w:t>
      </w:r>
      <w:r w:rsidR="005E7658" w:rsidRPr="005244BD">
        <w:rPr>
          <w:rFonts w:ascii="Times New Roman" w:eastAsiaTheme="minorEastAsia" w:hAnsi="Times New Roman" w:cs="Times New Roman"/>
        </w:rPr>
        <w:fldChar w:fldCharType="end"/>
      </w:r>
      <w:r w:rsidR="005E7658" w:rsidRPr="005244BD">
        <w:rPr>
          <w:rFonts w:ascii="Times New Roman" w:eastAsiaTheme="minorEastAsia" w:hAnsi="Times New Roman" w:cs="Times New Roman"/>
        </w:rPr>
        <w:t xml:space="preserve"> </w:t>
      </w:r>
      <w:r w:rsidRPr="005244BD">
        <w:rPr>
          <w:rFonts w:ascii="Times New Roman" w:eastAsiaTheme="minorEastAsia" w:hAnsi="Times New Roman" w:cs="Times New Roman"/>
        </w:rPr>
        <w:t>and</w:t>
      </w:r>
      <w:r w:rsidR="005E7658" w:rsidRPr="005244BD">
        <w:rPr>
          <w:rFonts w:ascii="Times New Roman" w:eastAsiaTheme="minorEastAsia" w:hAnsi="Times New Roman" w:cs="Times New Roman"/>
        </w:rPr>
        <w:t xml:space="preserve"> </w:t>
      </w:r>
      <w:r w:rsidRPr="005244BD">
        <w:rPr>
          <w:rFonts w:ascii="Times New Roman" w:eastAsiaTheme="minorEastAsia" w:hAnsi="Times New Roman" w:cs="Times New Roman"/>
        </w:rPr>
        <w:t xml:space="preserve">1.28 </w:t>
      </w:r>
      <w:r w:rsidR="00CF6C0A" w:rsidRPr="005244BD">
        <w:rPr>
          <w:rFonts w:ascii="Times New Roman" w:eastAsiaTheme="minorEastAsia" w:hAnsi="Times New Roman" w:cs="Times New Roman"/>
        </w:rPr>
        <w:t>biomass</w:t>
      </w:r>
      <w:r w:rsidRPr="005244BD">
        <w:rPr>
          <w:rFonts w:ascii="Times New Roman" w:eastAsiaTheme="minorEastAsia" w:hAnsi="Times New Roman" w:cs="Times New Roman"/>
        </w:rPr>
        <w:t xml:space="preserve"> mg/mg from </w:t>
      </w:r>
      <w:r w:rsidRPr="005244BD">
        <w:rPr>
          <w:rFonts w:ascii="Times New Roman" w:eastAsiaTheme="minorEastAsia" w:hAnsi="Times New Roman" w:cs="Times New Roman"/>
        </w:rPr>
        <w:fldChar w:fldCharType="begin" w:fldLock="1"/>
      </w:r>
      <w:r w:rsidR="005E7658" w:rsidRPr="005244BD">
        <w:rPr>
          <w:rFonts w:ascii="Times New Roman" w:eastAsiaTheme="minorEastAsia" w:hAnsi="Times New Roman" w:cs="Times New Roman"/>
        </w:rPr>
        <w:instrText>ADDIN CSL_CITATION {"citationItems":[{"id":"ITEM-1","itemData":{"author":[{"dropping-particle":"","family":"Reardon","given":"Kenneth F","non-dropping-particle":"","parse-names":false,"suffix":""},{"dropping-particle":"","family":"Mosteller","given":"Douglas C","non-dropping-particle":"","parse-names":false,"suffix":""},{"dropping-particle":"","family":"Bull Rogers","given":"Julia D","non-dropping-particle":"","parse-names":false,"suffix":""}],"container-title":"Biotechnology and Bioengineering","id":"ITEM-1","issue":"4","issued":{"date-parts":[["2000"]]},"page":"385-400","publisher":"Wiley Online Library","title":"Biodegradation kinetics of benzene, toluene, and phenol as single and mixed substrates for Pseudomonas putida F1","type":"article-journal","volume":"69"},"uris":["http://www.mendeley.com/documents/?uuid=ef05d53f-2fd4-4061-8135-d8930ccca842","http://www.mendeley.com/documents/?uuid=e9a08c23-8946-4fab-879e-3aad20fcb588"]}],"mendeley":{"formattedCitation":"(Reardon et al., 2000)","manualFormatting":"Reardon et al., 2000","plainTextFormattedCitation":"(Reardon et al., 2000)","previouslyFormattedCitation":"(Reardon et al., 2000)"},"properties":{"noteIndex":0},"schema":"https://github.com/citation-style-language/schema/raw/master/csl-citation.json"}</w:instrText>
      </w:r>
      <w:r w:rsidRPr="005244BD">
        <w:rPr>
          <w:rFonts w:ascii="Times New Roman" w:eastAsiaTheme="minorEastAsia" w:hAnsi="Times New Roman" w:cs="Times New Roman"/>
        </w:rPr>
        <w:fldChar w:fldCharType="separate"/>
      </w:r>
      <w:r w:rsidRPr="005244BD">
        <w:rPr>
          <w:rFonts w:ascii="Times New Roman" w:eastAsiaTheme="minorEastAsia" w:hAnsi="Times New Roman" w:cs="Times New Roman"/>
          <w:noProof/>
        </w:rPr>
        <w:t>Reardon et al., 2000</w:t>
      </w:r>
      <w:r w:rsidRPr="005244BD">
        <w:rPr>
          <w:rFonts w:ascii="Times New Roman" w:eastAsiaTheme="minorEastAsia" w:hAnsi="Times New Roman" w:cs="Times New Roman"/>
        </w:rPr>
        <w:fldChar w:fldCharType="end"/>
      </w:r>
      <w:r w:rsidRPr="005244BD">
        <w:rPr>
          <w:rFonts w:ascii="Times New Roman" w:eastAsiaTheme="minorEastAsia" w:hAnsi="Times New Roman" w:cs="Times New Roman"/>
        </w:rPr>
        <w:t xml:space="preserve">. In this work, we used a biomass density as the total (wet) mass per volume. Classically, the dry weight represents between 20 and 60% of the respective wet mass of biomass depending on the amount of intercellular water so that the yield coefficient (based on dry bio mass) should be scaled by a factor of 2 to 5. As a consequence, in this work, we have kept the value of 1.28 (wet) mg/mg for the yield coefficient (reported by </w:t>
      </w:r>
      <w:r w:rsidRPr="005244BD">
        <w:rPr>
          <w:rFonts w:ascii="Times New Roman" w:eastAsiaTheme="minorEastAsia" w:hAnsi="Times New Roman" w:cs="Times New Roman"/>
        </w:rPr>
        <w:fldChar w:fldCharType="begin" w:fldLock="1"/>
      </w:r>
      <w:r w:rsidR="008C1184" w:rsidRPr="005244BD">
        <w:rPr>
          <w:rFonts w:ascii="Times New Roman" w:eastAsiaTheme="minorEastAsia" w:hAnsi="Times New Roman" w:cs="Times New Roman"/>
        </w:rPr>
        <w:instrText>ADDIN CSL_CITATION {"citationItems":[{"id":"ITEM-1","itemData":{"author":[{"dropping-particle":"","family":"Reardon","given":"Kenneth F","non-dropping-particle":"","parse-names":false,"suffix":""},{"dropping-particle":"","family":"Mosteller","given":"Douglas C","non-dropping-particle":"","parse-names":false,"suffix":""},{"dropping-particle":"","family":"Bull Rogers","given":"Julia D","non-dropping-particle":"","parse-names":false,"suffix":""}],"container-title":"Biotechnology and Bioengineering","id":"ITEM-1","issue":"4","issued":{"date-parts":[["2000"]]},"page":"385-400","publisher":"Wiley Online Library","title":"Biodegradation kinetics of benzene, toluene, and phenol as single and mixed substrates for Pseudomonas putida F1","type":"article-journal","volume":"69"},"uris":["http://www.mendeley.com/documents/?uuid=ef05d53f-2fd4-4061-8135-d8930ccca842","http://www.mendeley.com/documents/?uuid=e9a08c23-8946-4fab-879e-3aad20fcb588"]}],"mendeley":{"formattedCitation":"(Reardon et al., 2000)","manualFormatting":"Reardon et al., 2000)","plainTextFormattedCitation":"(Reardon et al., 2000)","previouslyFormattedCitation":"(Reardon et al., 2000)"},"properties":{"noteIndex":0},"schema":"https://github.com/citation-style-language/schema/raw/master/csl-citation.json"}</w:instrText>
      </w:r>
      <w:r w:rsidRPr="005244BD">
        <w:rPr>
          <w:rFonts w:ascii="Times New Roman" w:eastAsiaTheme="minorEastAsia" w:hAnsi="Times New Roman" w:cs="Times New Roman"/>
        </w:rPr>
        <w:fldChar w:fldCharType="separate"/>
      </w:r>
      <w:r w:rsidRPr="005244BD">
        <w:rPr>
          <w:rFonts w:ascii="Times New Roman" w:eastAsiaTheme="minorEastAsia" w:hAnsi="Times New Roman" w:cs="Times New Roman"/>
          <w:noProof/>
        </w:rPr>
        <w:t>Reardon et al., 2000)</w:t>
      </w:r>
      <w:r w:rsidRPr="005244BD">
        <w:rPr>
          <w:rFonts w:ascii="Times New Roman" w:eastAsiaTheme="minorEastAsia" w:hAnsi="Times New Roman" w:cs="Times New Roman"/>
        </w:rPr>
        <w:fldChar w:fldCharType="end"/>
      </w:r>
      <w:r w:rsidRPr="005244BD">
        <w:rPr>
          <w:rFonts w:ascii="Times New Roman" w:eastAsiaTheme="minorEastAsia" w:hAnsi="Times New Roman" w:cs="Times New Roman"/>
        </w:rPr>
        <w:t xml:space="preserve">, </w:t>
      </w:r>
      <w:r w:rsidRPr="009E4908">
        <w:rPr>
          <w:rFonts w:ascii="Times New Roman" w:eastAsiaTheme="minorEastAsia" w:hAnsi="Times New Roman" w:cs="Times New Roman"/>
          <w:i/>
          <w:iCs/>
        </w:rPr>
        <w:t>i.e.</w:t>
      </w:r>
      <w:r w:rsidR="009E4908">
        <w:rPr>
          <w:rFonts w:ascii="Times New Roman" w:eastAsiaTheme="minorEastAsia" w:hAnsi="Times New Roman" w:cs="Times New Roman"/>
        </w:rPr>
        <w:t>,</w:t>
      </w:r>
      <w:r w:rsidRPr="005244BD">
        <w:rPr>
          <w:rFonts w:ascii="Times New Roman" w:eastAsiaTheme="minorEastAsia" w:hAnsi="Times New Roman" w:cs="Times New Roman"/>
        </w:rPr>
        <w:t xml:space="preserve"> but using the value of 0.6 (dry biomass) mg/mg found in </w:t>
      </w:r>
      <w:r w:rsidR="000C789E" w:rsidRPr="005244BD">
        <w:rPr>
          <w:rFonts w:asciiTheme="majorBidi" w:eastAsiaTheme="minorEastAsia" w:hAnsiTheme="majorBidi" w:cstheme="majorBidi"/>
          <w:iCs/>
          <w:noProof/>
          <w:szCs w:val="18"/>
        </w:rPr>
        <w:fldChar w:fldCharType="begin" w:fldLock="1"/>
      </w:r>
      <w:r w:rsidR="008C1184" w:rsidRPr="005244BD">
        <w:rPr>
          <w:rFonts w:asciiTheme="majorBidi" w:eastAsiaTheme="minorEastAsia" w:hAnsiTheme="majorBidi" w:cstheme="majorBidi"/>
          <w:iCs/>
          <w:noProof/>
          <w:szCs w:val="18"/>
        </w:rPr>
        <w:instrText>ADDIN CSL_CITATION {"citationItems":[{"id":"ITEM-1","itemData":{"author":[{"dropping-particle":"","family":"Robledo-Ort\\'\\iz","given":"J R","non-dropping-particle":"","parse-names":false,"suffix":""},{"dropping-particle":"","family":"Ram\\'\\irez-Arreola","given":"D E","non-dropping-particle":"","parse-names":false,"suffix":""},{"dropping-particle":"","family":"Pérez-Fonseca","given":"A A","non-dropping-particle":"","parse-names":false,"suffix":""},{"dropping-particle":"","family":"Gómez","given":"C","non-dropping-particle":"","parse-names":false,"suffix":""},{"dropping-particle":"","family":"González-Reynoso","given":"O","non-dropping-particle":"","parse-names":false,"suffix":""},{"dropping-particle":"","family":"Ramos-Quirarte","given":"J","non-dropping-particle":"","parse-names":false,"suffix":""},{"dropping-particle":"","family":"González-Núñez","given":"R","non-dropping-particle":"","parse-names":false,"suffix":""}],"container-title":"International biodeterioration &amp; biodegradation","id":"ITEM-1","issue":"3","issued":{"date-parts":[["2011"]]},"page":"539-546","publisher":"Elsevier","title":"Benzene, toluene, and o-xylene degradation by free and immobilized P. putida F1 of postconsumer agave-fiber/polymer foamed composites","type":"article-journal","volume":"65"},"uris":["http://www.mendeley.com/documents/?uuid=dac77e5a-d0ea-44d4-b98a-d1a5f52484e6"]}],"mendeley":{"formattedCitation":"(Robledo-Ort\\’\\iz et al., 2011)","manualFormatting":"Robledo- Ortíz et al., 2011,","plainTextFormattedCitation":"(Robledo-Ort\\’\\iz et al., 2011)","previouslyFormattedCitation":"(Robledo-Ort\\’\\iz et al., 2011)"},"properties":{"noteIndex":0},"schema":"https://github.com/citation-style-language/schema/raw/master/csl-citation.json"}</w:instrText>
      </w:r>
      <w:r w:rsidR="000C789E" w:rsidRPr="005244BD">
        <w:rPr>
          <w:rFonts w:asciiTheme="majorBidi" w:eastAsiaTheme="minorEastAsia" w:hAnsiTheme="majorBidi" w:cstheme="majorBidi"/>
          <w:iCs/>
          <w:noProof/>
          <w:szCs w:val="18"/>
        </w:rPr>
        <w:fldChar w:fldCharType="separate"/>
      </w:r>
      <w:r w:rsidR="000C789E" w:rsidRPr="005244BD">
        <w:rPr>
          <w:rFonts w:asciiTheme="majorBidi" w:eastAsiaTheme="minorEastAsia" w:hAnsiTheme="majorBidi" w:cstheme="majorBidi"/>
          <w:iCs/>
          <w:noProof/>
          <w:szCs w:val="18"/>
        </w:rPr>
        <w:t>Robledo- Ortíz et al., 2011,</w:t>
      </w:r>
      <w:r w:rsidR="000C789E" w:rsidRPr="005244BD">
        <w:rPr>
          <w:rFonts w:asciiTheme="majorBidi" w:eastAsiaTheme="minorEastAsia" w:hAnsiTheme="majorBidi" w:cstheme="majorBidi"/>
          <w:iCs/>
          <w:noProof/>
          <w:szCs w:val="18"/>
        </w:rPr>
        <w:fldChar w:fldCharType="end"/>
      </w:r>
      <w:r w:rsidR="005E7658" w:rsidRPr="005244BD">
        <w:rPr>
          <w:rFonts w:ascii="Times New Roman" w:eastAsiaTheme="minorEastAsia" w:hAnsi="Times New Roman" w:cs="Times New Roman"/>
        </w:rPr>
        <w:t xml:space="preserve"> </w:t>
      </w:r>
      <w:r w:rsidRPr="005244BD">
        <w:rPr>
          <w:rFonts w:ascii="Times New Roman" w:eastAsiaTheme="minorEastAsia" w:hAnsi="Times New Roman" w:cs="Times New Roman"/>
        </w:rPr>
        <w:t xml:space="preserve">with a conversion factor of 0.48 (ratio of dry mass over wet mass of bacterial cells). </w:t>
      </w:r>
    </w:p>
    <w:p w14:paraId="37E1EF42" w14:textId="62E0B3C9" w:rsidR="00964380" w:rsidRPr="005244BD" w:rsidRDefault="004066F6" w:rsidP="005B3854">
      <w:pPr>
        <w:spacing w:after="0" w:line="480" w:lineRule="auto"/>
        <w:jc w:val="both"/>
        <w:rPr>
          <w:rFonts w:ascii="Times New Roman" w:eastAsiaTheme="minorEastAsia" w:hAnsi="Times New Roman" w:cs="Times New Roman"/>
          <w:iCs/>
          <w:szCs w:val="18"/>
        </w:rPr>
      </w:pPr>
      <w:r w:rsidRPr="005244BD">
        <w:rPr>
          <w:rFonts w:ascii="Times New Roman" w:eastAsiaTheme="minorEastAsia" w:hAnsi="Times New Roman" w:cs="Times New Roman"/>
        </w:rPr>
        <w:t>In this work, t</w:t>
      </w:r>
      <w:r w:rsidR="002F305D" w:rsidRPr="005244BD">
        <w:rPr>
          <w:rFonts w:ascii="Times New Roman" w:eastAsiaTheme="minorEastAsia" w:hAnsi="Times New Roman" w:cs="Times New Roman"/>
        </w:rPr>
        <w:t xml:space="preserve">he growth kinetic parameters (Haldane model) for biodegradation of toluene by </w:t>
      </w:r>
      <w:r w:rsidR="002F305D" w:rsidRPr="005244BD">
        <w:rPr>
          <w:rFonts w:ascii="Times New Roman" w:eastAsiaTheme="minorEastAsia" w:hAnsi="Times New Roman" w:cs="Times New Roman"/>
          <w:i/>
        </w:rPr>
        <w:t>P. putida</w:t>
      </w:r>
      <w:r w:rsidR="002F305D" w:rsidRPr="005244BD">
        <w:rPr>
          <w:rFonts w:ascii="Times New Roman" w:eastAsiaTheme="minorEastAsia" w:hAnsi="Times New Roman" w:cs="Times New Roman"/>
        </w:rPr>
        <w:t xml:space="preserve"> together with other parameters used for bioremediation model are listed in</w:t>
      </w:r>
      <w:r w:rsidR="005B3854" w:rsidRPr="005244BD">
        <w:rPr>
          <w:rFonts w:ascii="Times New Roman" w:eastAsiaTheme="minorEastAsia" w:hAnsi="Times New Roman" w:cs="Times New Roman"/>
        </w:rPr>
        <w:t xml:space="preserve"> </w:t>
      </w:r>
      <w:r w:rsidR="005B3854" w:rsidRPr="005244BD">
        <w:rPr>
          <w:rFonts w:ascii="Times New Roman" w:eastAsiaTheme="minorEastAsia" w:hAnsi="Times New Roman" w:cs="Times New Roman"/>
        </w:rPr>
        <w:fldChar w:fldCharType="begin"/>
      </w:r>
      <w:r w:rsidR="005B3854" w:rsidRPr="005244BD">
        <w:rPr>
          <w:rFonts w:ascii="Times New Roman" w:eastAsiaTheme="minorEastAsia" w:hAnsi="Times New Roman" w:cs="Times New Roman"/>
        </w:rPr>
        <w:instrText xml:space="preserve"> REF _Ref15029240 \h  \* MERGEFORMAT </w:instrText>
      </w:r>
      <w:r w:rsidR="005B3854" w:rsidRPr="005244BD">
        <w:rPr>
          <w:rFonts w:ascii="Times New Roman" w:eastAsiaTheme="minorEastAsia" w:hAnsi="Times New Roman" w:cs="Times New Roman"/>
        </w:rPr>
      </w:r>
      <w:r w:rsidR="005B3854" w:rsidRPr="005244BD">
        <w:rPr>
          <w:rFonts w:ascii="Times New Roman" w:eastAsiaTheme="minorEastAsia" w:hAnsi="Times New Roman" w:cs="Times New Roman"/>
        </w:rPr>
        <w:fldChar w:fldCharType="separate"/>
      </w:r>
      <w:r w:rsidR="00EE0F85" w:rsidRPr="00EE0F85">
        <w:rPr>
          <w:rFonts w:asciiTheme="majorBidi" w:hAnsiTheme="majorBidi" w:cstheme="majorBidi"/>
          <w:b/>
          <w:bCs/>
        </w:rPr>
        <w:t xml:space="preserve">Table </w:t>
      </w:r>
      <w:r w:rsidR="00EE0F85" w:rsidRPr="00EE0F85">
        <w:rPr>
          <w:rFonts w:asciiTheme="majorBidi" w:hAnsiTheme="majorBidi" w:cstheme="majorBidi"/>
          <w:b/>
          <w:bCs/>
          <w:noProof/>
        </w:rPr>
        <w:t>2</w:t>
      </w:r>
      <w:r w:rsidR="005B3854" w:rsidRPr="005244BD">
        <w:rPr>
          <w:rFonts w:ascii="Times New Roman" w:eastAsiaTheme="minorEastAsia" w:hAnsi="Times New Roman" w:cs="Times New Roman"/>
        </w:rPr>
        <w:fldChar w:fldCharType="end"/>
      </w:r>
      <w:r w:rsidR="002F305D" w:rsidRPr="005244BD">
        <w:rPr>
          <w:rFonts w:ascii="Times New Roman" w:eastAsiaTheme="minorEastAsia" w:hAnsi="Times New Roman" w:cs="Times New Roman"/>
        </w:rPr>
        <w:t xml:space="preserve">. </w:t>
      </w:r>
      <w:r w:rsidR="00A658EC" w:rsidRPr="005244BD">
        <w:rPr>
          <w:rFonts w:ascii="Times New Roman" w:eastAsiaTheme="minorEastAsia" w:hAnsi="Times New Roman" w:cs="Times New Roman"/>
        </w:rPr>
        <w:t>The growth kinetic parameters</w:t>
      </w:r>
      <w:r w:rsidR="0088516C" w:rsidRPr="005244BD">
        <w:rPr>
          <w:rFonts w:ascii="Times New Roman" w:eastAsiaTheme="minorEastAsia" w:hAnsi="Times New Roman" w:cs="Times New Roman"/>
        </w:rPr>
        <w:t xml:space="preserve"> taken f</w:t>
      </w:r>
      <w:r w:rsidR="000D3C6D" w:rsidRPr="005244BD">
        <w:rPr>
          <w:rFonts w:ascii="Times New Roman" w:eastAsiaTheme="minorEastAsia" w:hAnsi="Times New Roman" w:cs="Times New Roman"/>
        </w:rPr>
        <w:t>ro</w:t>
      </w:r>
      <w:r w:rsidR="0088516C" w:rsidRPr="005244BD">
        <w:rPr>
          <w:rFonts w:ascii="Times New Roman" w:eastAsiaTheme="minorEastAsia" w:hAnsi="Times New Roman" w:cs="Times New Roman"/>
        </w:rPr>
        <w:t xml:space="preserve">m </w:t>
      </w:r>
      <w:r w:rsidR="0088516C" w:rsidRPr="005244BD">
        <w:rPr>
          <w:rFonts w:ascii="Times New Roman" w:eastAsiaTheme="minorEastAsia" w:hAnsi="Times New Roman" w:cs="Times New Roman"/>
        </w:rPr>
        <w:fldChar w:fldCharType="begin" w:fldLock="1"/>
      </w:r>
      <w:r w:rsidR="00BF6D87" w:rsidRPr="005244BD">
        <w:rPr>
          <w:rFonts w:ascii="Times New Roman" w:eastAsiaTheme="minorEastAsia" w:hAnsi="Times New Roman" w:cs="Times New Roman"/>
        </w:rPr>
        <w:instrText>ADDIN CSL_CITATION {"citationItems":[{"id":"ITEM-1","itemData":{"author":[{"dropping-particle":"","family":"Mathur","given":"A K","non-dropping-particle":"","parse-names":false,"suffix":""},{"dropping-particle":"","family":"Majumder","given":"C B","non-dropping-particle":"","parse-names":false,"suffix":""}],"container-title":"Chemical and biochemical engineering quarterly","id":"ITEM-1","issue":"1","issued":{"date-parts":[["2010"]]},"page":"101-109","publisher":"Hrvatsko društvo kemijskih inženjera i tehnologa","title":"Kinetics modelling of the biodegradation of benzene, toluene and phenol as single substrate and mixed substrate by using Pseudomonas putida","type":"article-journal","volume":"24"},"uris":["http://www.mendeley.com/documents/?uuid=f8244007-403d-4381-8ef0-37c9b9e25f20","http://www.mendeley.com/documents/?uuid=624ef287-b224-4ce1-a525-8278399a1590"]}],"mendeley":{"formattedCitation":"(Mathur &amp; Majumder, 2010)","manualFormatting":"Mathur and Majumder, 2010","plainTextFormattedCitation":"(Mathur &amp; Majumder, 2010)","previouslyFormattedCitation":"(Mathur &amp; Majumder, 2010)"},"properties":{"noteIndex":0},"schema":"https://github.com/citation-style-language/schema/raw/master/csl-citation.json"}</w:instrText>
      </w:r>
      <w:r w:rsidR="0088516C" w:rsidRPr="005244BD">
        <w:rPr>
          <w:rFonts w:ascii="Times New Roman" w:eastAsiaTheme="minorEastAsia" w:hAnsi="Times New Roman" w:cs="Times New Roman"/>
        </w:rPr>
        <w:fldChar w:fldCharType="separate"/>
      </w:r>
      <w:r w:rsidR="0088516C" w:rsidRPr="005244BD">
        <w:rPr>
          <w:rFonts w:ascii="Times New Roman" w:eastAsiaTheme="minorEastAsia" w:hAnsi="Times New Roman" w:cs="Times New Roman"/>
          <w:noProof/>
        </w:rPr>
        <w:t>Mathur and Majumder, 2010</w:t>
      </w:r>
      <w:r w:rsidR="0088516C" w:rsidRPr="005244BD">
        <w:rPr>
          <w:rFonts w:ascii="Times New Roman" w:eastAsiaTheme="minorEastAsia" w:hAnsi="Times New Roman" w:cs="Times New Roman"/>
        </w:rPr>
        <w:fldChar w:fldCharType="end"/>
      </w:r>
      <w:r w:rsidR="0088516C" w:rsidRPr="005244BD">
        <w:rPr>
          <w:rFonts w:ascii="Times New Roman" w:eastAsiaTheme="minorEastAsia" w:hAnsi="Times New Roman" w:cs="Times New Roman"/>
        </w:rPr>
        <w:t xml:space="preserve"> </w:t>
      </w:r>
      <w:r w:rsidR="00A658EC" w:rsidRPr="005244BD">
        <w:rPr>
          <w:rFonts w:ascii="Times New Roman" w:eastAsiaTheme="minorEastAsia" w:hAnsi="Times New Roman" w:cs="Times New Roman"/>
        </w:rPr>
        <w:t>(</w:t>
      </w:r>
      <m:oMath>
        <m:r>
          <w:rPr>
            <w:rFonts w:ascii="Cambria Math" w:eastAsiaTheme="minorEastAsia" w:hAnsi="Cambria Math" w:cstheme="majorBidi"/>
          </w:rPr>
          <m:t>μ</m:t>
        </m:r>
      </m:oMath>
      <w:r w:rsidR="00A658EC" w:rsidRPr="005244BD">
        <w:rPr>
          <w:rFonts w:ascii="Times New Roman" w:eastAsiaTheme="minorEastAsia" w:hAnsi="Times New Roman" w:cs="Times New Roman"/>
        </w:rPr>
        <w:t xml:space="preserve">, </w:t>
      </w:r>
      <m:oMath>
        <m:sSub>
          <m:sSubPr>
            <m:ctrlPr>
              <w:rPr>
                <w:rFonts w:ascii="Cambria Math" w:eastAsiaTheme="minorEastAsia" w:hAnsi="Cambria Math" w:cstheme="majorBidi"/>
                <w:i/>
                <w:iCs/>
              </w:rPr>
            </m:ctrlPr>
          </m:sSubPr>
          <m:e>
            <m:r>
              <w:rPr>
                <w:rFonts w:ascii="Cambria Math" w:eastAsiaTheme="minorEastAsia" w:hAnsi="Cambria Math" w:cstheme="majorBidi"/>
              </w:rPr>
              <m:t>K</m:t>
            </m:r>
          </m:e>
          <m:sub>
            <m:r>
              <w:rPr>
                <w:rFonts w:ascii="Cambria Math" w:eastAsiaTheme="minorEastAsia" w:hAnsi="Cambria Math" w:cstheme="majorBidi"/>
              </w:rPr>
              <m:t>i</m:t>
            </m:r>
          </m:sub>
        </m:sSub>
      </m:oMath>
      <w:r w:rsidR="00A658EC" w:rsidRPr="005244BD">
        <w:rPr>
          <w:rFonts w:ascii="Times New Roman" w:eastAsiaTheme="minorEastAsia" w:hAnsi="Times New Roman" w:cs="Times New Roman"/>
          <w:iCs/>
        </w:rPr>
        <w:t xml:space="preserve">, and </w:t>
      </w:r>
      <m:oMath>
        <m:sSub>
          <m:sSubPr>
            <m:ctrlPr>
              <w:rPr>
                <w:rFonts w:ascii="Cambria Math" w:eastAsiaTheme="minorEastAsia" w:hAnsi="Cambria Math" w:cstheme="majorBidi"/>
                <w:i/>
                <w:iCs/>
              </w:rPr>
            </m:ctrlPr>
          </m:sSubPr>
          <m:e>
            <m:r>
              <w:rPr>
                <w:rFonts w:ascii="Cambria Math" w:eastAsiaTheme="minorEastAsia" w:hAnsi="Cambria Math" w:cstheme="majorBidi"/>
              </w:rPr>
              <m:t>K</m:t>
            </m:r>
          </m:e>
          <m:sub>
            <m:r>
              <w:rPr>
                <w:rFonts w:ascii="Cambria Math" w:eastAsiaTheme="minorEastAsia" w:hAnsi="Cambria Math" w:cstheme="majorBidi"/>
              </w:rPr>
              <m:t>m</m:t>
            </m:r>
          </m:sub>
        </m:sSub>
      </m:oMath>
      <w:r w:rsidR="00A658EC" w:rsidRPr="005244BD">
        <w:rPr>
          <w:rFonts w:ascii="Times New Roman" w:eastAsiaTheme="minorEastAsia" w:hAnsi="Times New Roman" w:cs="Times New Roman"/>
          <w:iCs/>
        </w:rPr>
        <w:t>)</w:t>
      </w:r>
      <w:r w:rsidR="0088516C" w:rsidRPr="005244BD">
        <w:rPr>
          <w:rFonts w:ascii="Times New Roman" w:eastAsiaTheme="minorEastAsia" w:hAnsi="Times New Roman" w:cs="Times New Roman"/>
          <w:iCs/>
        </w:rPr>
        <w:t xml:space="preserve"> are estimated in the range of 10-400 mg.L</w:t>
      </w:r>
      <w:r w:rsidR="0088516C" w:rsidRPr="005244BD">
        <w:rPr>
          <w:rFonts w:ascii="Times New Roman" w:eastAsiaTheme="minorEastAsia" w:hAnsi="Times New Roman" w:cs="Times New Roman"/>
          <w:iCs/>
          <w:vertAlign w:val="superscript"/>
        </w:rPr>
        <w:t>-1</w:t>
      </w:r>
      <w:r w:rsidR="0088516C" w:rsidRPr="005244BD">
        <w:rPr>
          <w:rFonts w:ascii="Times New Roman" w:eastAsiaTheme="minorEastAsia" w:hAnsi="Times New Roman" w:cs="Times New Roman"/>
          <w:iCs/>
        </w:rPr>
        <w:t xml:space="preserve"> toluene concentration. Since the toluene concentration in the presence of bio-surfactant may increase up to 800-900 mg/L, it is assumed that these </w:t>
      </w:r>
      <w:r w:rsidR="0088516C" w:rsidRPr="005244BD">
        <w:rPr>
          <w:rFonts w:ascii="Times New Roman" w:eastAsiaTheme="minorEastAsia" w:hAnsi="Times New Roman" w:cs="Times New Roman"/>
        </w:rPr>
        <w:t>growth kinetic parameters can be extrapolated.</w:t>
      </w:r>
    </w:p>
    <w:p w14:paraId="63DAFBCC" w14:textId="73084A5A" w:rsidR="00D35DE6" w:rsidRPr="005244BD" w:rsidRDefault="005935D8" w:rsidP="00067F48">
      <w:pPr>
        <w:spacing w:line="480" w:lineRule="auto"/>
        <w:jc w:val="both"/>
        <w:rPr>
          <w:rFonts w:ascii="Times New Roman" w:hAnsi="Times New Roman" w:cs="Times New Roman"/>
          <w:rtl/>
          <w:lang w:bidi="fa-IR"/>
        </w:rPr>
      </w:pPr>
      <w:r w:rsidRPr="005244BD">
        <w:rPr>
          <w:rFonts w:ascii="Times New Roman" w:hAnsi="Times New Roman" w:cs="Times New Roman"/>
        </w:rPr>
        <w:t>In this work, rhamnolipids is assumed as a produced bio-surfactant</w:t>
      </w:r>
      <w:r w:rsidR="009B6993" w:rsidRPr="005244BD">
        <w:rPr>
          <w:rFonts w:ascii="Times New Roman" w:hAnsi="Times New Roman" w:cs="Times New Roman"/>
        </w:rPr>
        <w:t xml:space="preserve"> by </w:t>
      </w:r>
      <w:r w:rsidR="009B6993" w:rsidRPr="005244BD">
        <w:rPr>
          <w:rFonts w:ascii="Times New Roman" w:hAnsi="Times New Roman" w:cs="Times New Roman"/>
          <w:i/>
        </w:rPr>
        <w:t>Pseudomonas</w:t>
      </w:r>
      <w:r w:rsidR="009B6993" w:rsidRPr="005244BD">
        <w:rPr>
          <w:rFonts w:ascii="Times New Roman" w:hAnsi="Times New Roman" w:cs="Times New Roman"/>
        </w:rPr>
        <w:t xml:space="preserve"> </w:t>
      </w:r>
      <w:r w:rsidR="002E79B7" w:rsidRPr="005244BD">
        <w:rPr>
          <w:rFonts w:ascii="Times New Roman" w:hAnsi="Times New Roman" w:cs="Times New Roman"/>
        </w:rPr>
        <w:t>species/bacteria including</w:t>
      </w:r>
      <w:r w:rsidR="002E79B7" w:rsidRPr="005244BD">
        <w:t xml:space="preserve"> </w:t>
      </w:r>
      <w:r w:rsidR="002E79B7" w:rsidRPr="005244BD">
        <w:rPr>
          <w:rFonts w:ascii="Times New Roman" w:hAnsi="Times New Roman" w:cs="Times New Roman"/>
          <w:i/>
        </w:rPr>
        <w:t>Pseudomonas putida</w:t>
      </w:r>
      <w:r w:rsidR="002E79B7" w:rsidRPr="005244BD">
        <w:rPr>
          <w:rFonts w:ascii="Times New Roman" w:hAnsi="Times New Roman" w:cs="Times New Roman"/>
        </w:rPr>
        <w:t xml:space="preserve"> </w:t>
      </w:r>
      <w:r w:rsidR="002E79B7" w:rsidRPr="005244BD">
        <w:rPr>
          <w:rFonts w:ascii="Times New Roman" w:hAnsi="Times New Roman" w:cs="Times New Roman"/>
        </w:rPr>
        <w:fldChar w:fldCharType="begin" w:fldLock="1"/>
      </w:r>
      <w:r w:rsidR="00BF6D87" w:rsidRPr="005244BD">
        <w:rPr>
          <w:rFonts w:ascii="Times New Roman" w:hAnsi="Times New Roman" w:cs="Times New Roman"/>
        </w:rPr>
        <w:instrText>ADDIN CSL_CITATION {"citationItems":[{"id":"ITEM-1","itemData":{"author":[{"dropping-particle":"","family":"Wittgens","given":"Andreas","non-dropping-particle":"","parse-names":false,"suffix":""},{"dropping-particle":"","family":"Tiso","given":"Till","non-dropping-particle":"","parse-names":false,"suffix":""},{"dropping-particle":"","family":"Arndt","given":"Torsten T","non-dropping-particle":"","parse-names":false,"suffix":""},{"dropping-particle":"","family":"Wenk","given":"Pamela","non-dropping-particle":"","parse-names":false,"suffix":""},{"dropping-particle":"","family":"Hemmerich","given":"Johannes","non-dropping-particle":"","parse-names":false,"suffix":""},{"dropping-particle":"","family":"Müller","given":"Carsten","non-dropping-particle":"","parse-names":false,"suffix":""},{"dropping-particle":"","family":"Wichmann","given":"Rolf","non-dropping-particle":"","parse-names":false,"suffix":""},{"dropping-particle":"","family":"Küpper","given":"Benjamin","non-dropping-particle":"","parse-names":false,"suffix":""},{"dropping-particle":"","family":"Zwick","given":"Michaela","non-dropping-particle":"","parse-names":false,"suffix":""},{"dropping-particle":"","family":"Wilhelm","given":"Susanne","non-dropping-particle":"","parse-names":false,"suffix":""},{"dropping-particle":"","family":"others","given":"","non-dropping-particle":"","parse-names":false,"suffix":""}],"container-title":"Microbial cell factories","id":"ITEM-1","issue":"1","issued":{"date-parts":[["2011"]]},"page":"80","publisher":"BioMed Central","title":"Growth independent rhamnolipid production from glucose using the non-pathogenic Pseudomonas putida KT2440","type":"article-journal","volume":"10"},"uris":["http://www.mendeley.com/documents/?uuid=61b0aeb1-d877-41de-838c-1e70a22c6528","http://www.mendeley.com/documents/?uuid=81c0ece4-b907-40af-8397-c982456aa50c"]}],"mendeley":{"formattedCitation":"(Wittgens et al., 2011)","manualFormatting":"(Wittgens et al., 2011","plainTextFormattedCitation":"(Wittgens et al., 2011)","previouslyFormattedCitation":"(Wittgens et al., 2011)"},"properties":{"noteIndex":0},"schema":"https://github.com/citation-style-language/schema/raw/master/csl-citation.json"}</w:instrText>
      </w:r>
      <w:r w:rsidR="002E79B7" w:rsidRPr="005244BD">
        <w:rPr>
          <w:rFonts w:ascii="Times New Roman" w:hAnsi="Times New Roman" w:cs="Times New Roman"/>
        </w:rPr>
        <w:fldChar w:fldCharType="separate"/>
      </w:r>
      <w:r w:rsidR="007E3CAF" w:rsidRPr="005244BD">
        <w:rPr>
          <w:rFonts w:ascii="Times New Roman" w:hAnsi="Times New Roman" w:cs="Times New Roman"/>
          <w:noProof/>
        </w:rPr>
        <w:t>(Wittgens et al., 2011</w:t>
      </w:r>
      <w:r w:rsidR="002E79B7" w:rsidRPr="005244BD">
        <w:rPr>
          <w:rFonts w:ascii="Times New Roman" w:hAnsi="Times New Roman" w:cs="Times New Roman"/>
        </w:rPr>
        <w:fldChar w:fldCharType="end"/>
      </w:r>
      <w:r w:rsidR="004E651B" w:rsidRPr="005244BD">
        <w:rPr>
          <w:rFonts w:ascii="Times New Roman" w:hAnsi="Times New Roman" w:cs="Times New Roman"/>
        </w:rPr>
        <w:t xml:space="preserve">, </w:t>
      </w:r>
      <w:r w:rsidR="002E79B7" w:rsidRPr="005244BD">
        <w:rPr>
          <w:rFonts w:ascii="Times New Roman" w:hAnsi="Times New Roman" w:cs="Times New Roman"/>
        </w:rPr>
        <w:fldChar w:fldCharType="begin" w:fldLock="1"/>
      </w:r>
      <w:r w:rsidR="00BF6D87" w:rsidRPr="005244BD">
        <w:rPr>
          <w:rFonts w:ascii="Times New Roman" w:hAnsi="Times New Roman" w:cs="Times New Roman"/>
        </w:rPr>
        <w:instrText>ADDIN CSL_CITATION {"citationItems":[{"id":"ITEM-1","itemData":{"author":[{"dropping-particle":"","family":"Nanganuru","given":"Harikrishna Yadav","non-dropping-particle":"","parse-names":false,"suffix":""},{"dropping-particle":"","family":"Korrapati","given":"Narasimhulu","non-dropping-particle":"","parse-names":false,"suffix":""}],"container-title":"Int J Eng Res Appl","id":"ITEM-1","issue":"3","issued":{"date-parts":[["2012"]]},"page":"2217-2219","title":"Studies on biosorption of cadmium by Pseudomonas putida","type":"article-journal","volume":"2"},"uris":["http://www.mendeley.com/documents/?uuid=7240b341-34e2-49d4-b213-5296de428667","http://www.mendeley.com/documents/?uuid=2a212211-064c-4a15-83de-b3427a0515f6"]}],"mendeley":{"formattedCitation":"(Nanganuru &amp; Korrapati, 2012)","manualFormatting":"Nanganuru &amp; Korrapati, 2012","plainTextFormattedCitation":"(Nanganuru &amp; Korrapati, 2012)","previouslyFormattedCitation":"(Nanganuru &amp; Korrapati, 2012)"},"properties":{"noteIndex":0},"schema":"https://github.com/citation-style-language/schema/raw/master/csl-citation.json"}</w:instrText>
      </w:r>
      <w:r w:rsidR="002E79B7" w:rsidRPr="005244BD">
        <w:rPr>
          <w:rFonts w:ascii="Times New Roman" w:hAnsi="Times New Roman" w:cs="Times New Roman"/>
        </w:rPr>
        <w:fldChar w:fldCharType="separate"/>
      </w:r>
      <w:r w:rsidR="007E3CAF" w:rsidRPr="005244BD">
        <w:rPr>
          <w:rFonts w:ascii="Times New Roman" w:hAnsi="Times New Roman" w:cs="Times New Roman"/>
          <w:noProof/>
        </w:rPr>
        <w:t>Nanganuru &amp; Korrapati, 2012</w:t>
      </w:r>
      <w:r w:rsidR="002E79B7" w:rsidRPr="005244BD">
        <w:rPr>
          <w:rFonts w:ascii="Times New Roman" w:hAnsi="Times New Roman" w:cs="Times New Roman"/>
        </w:rPr>
        <w:fldChar w:fldCharType="end"/>
      </w:r>
      <w:r w:rsidR="004E651B" w:rsidRPr="005244BD">
        <w:rPr>
          <w:rFonts w:ascii="Times New Roman" w:hAnsi="Times New Roman" w:cs="Times New Roman"/>
        </w:rPr>
        <w:t xml:space="preserve">, </w:t>
      </w:r>
      <w:r w:rsidR="002E79B7" w:rsidRPr="005244BD">
        <w:rPr>
          <w:rFonts w:ascii="Times New Roman" w:hAnsi="Times New Roman" w:cs="Times New Roman"/>
        </w:rPr>
        <w:fldChar w:fldCharType="begin" w:fldLock="1"/>
      </w:r>
      <w:r w:rsidR="00BF6D87" w:rsidRPr="005244BD">
        <w:rPr>
          <w:rFonts w:ascii="Times New Roman" w:hAnsi="Times New Roman" w:cs="Times New Roman"/>
        </w:rPr>
        <w:instrText>ADDIN CSL_CITATION {"citationItems":[{"id":"ITEM-1","itemData":{"author":[{"dropping-particle":"","family":"Meliani","given":"Amina","non-dropping-particle":"","parse-names":false,"suffix":""},{"dropping-particle":"","family":"Bensoltane","given":"Ahmed","non-dropping-particle":"","parse-names":false,"suffix":""}],"container-title":"Journal of Petroleum &amp; Environmental Biotechnology","id":"ITEM-1","issue":"1","issued":{"date-parts":[["2014"]]},"page":"1","publisher":"OMICS Publishing Group","title":"Enhancement of hydrocarbons degradation by use of Pseudomonas biosurfactants and biofilms","type":"article-journal","volume":"5"},"uris":["http://www.mendeley.com/documents/?uuid=21dbbae8-882c-4ffe-8ca9-0361a670511e","http://www.mendeley.com/documents/?uuid=2e5ad18e-7c4a-4b93-93a4-4b59598f2e75"]}],"mendeley":{"formattedCitation":"(Meliani &amp; Bensoltane, 2014)","manualFormatting":"Meliani &amp; Bensoltane, 2014","plainTextFormattedCitation":"(Meliani &amp; Bensoltane, 2014)","previouslyFormattedCitation":"(Meliani &amp; Bensoltane, 2014)"},"properties":{"noteIndex":0},"schema":"https://github.com/citation-style-language/schema/raw/master/csl-citation.json"}</w:instrText>
      </w:r>
      <w:r w:rsidR="002E79B7" w:rsidRPr="005244BD">
        <w:rPr>
          <w:rFonts w:ascii="Times New Roman" w:hAnsi="Times New Roman" w:cs="Times New Roman"/>
        </w:rPr>
        <w:fldChar w:fldCharType="separate"/>
      </w:r>
      <w:r w:rsidR="007E3CAF" w:rsidRPr="005244BD">
        <w:rPr>
          <w:rFonts w:ascii="Times New Roman" w:hAnsi="Times New Roman" w:cs="Times New Roman"/>
          <w:noProof/>
        </w:rPr>
        <w:t>Meliani &amp; Bensoltane, 2014</w:t>
      </w:r>
      <w:r w:rsidR="002E79B7" w:rsidRPr="005244BD">
        <w:rPr>
          <w:rFonts w:ascii="Times New Roman" w:hAnsi="Times New Roman" w:cs="Times New Roman"/>
        </w:rPr>
        <w:fldChar w:fldCharType="end"/>
      </w:r>
      <w:r w:rsidR="004E651B" w:rsidRPr="005244BD">
        <w:rPr>
          <w:rFonts w:ascii="Times New Roman" w:hAnsi="Times New Roman" w:cs="Times New Roman"/>
        </w:rPr>
        <w:t xml:space="preserve">, </w:t>
      </w:r>
      <w:r w:rsidR="002E79B7" w:rsidRPr="005244BD">
        <w:rPr>
          <w:rFonts w:ascii="Times New Roman" w:hAnsi="Times New Roman" w:cs="Times New Roman"/>
        </w:rPr>
        <w:fldChar w:fldCharType="begin" w:fldLock="1"/>
      </w:r>
      <w:r w:rsidR="00BF6D87" w:rsidRPr="005244BD">
        <w:rPr>
          <w:rFonts w:ascii="Times New Roman" w:hAnsi="Times New Roman" w:cs="Times New Roman"/>
        </w:rPr>
        <w:instrText>ADDIN CSL_CITATION {"citationItems":[{"id":"ITEM-1","itemData":{"author":[{"dropping-particle":"","family":"Kaskatepe","given":"Banu","non-dropping-particle":"","parse-names":false,"suffix":""},{"dropping-particle":"","family":"Yildiz","given":"Sulhiye","non-dropping-particle":"","parse-names":false,"suffix":""}],"container-title":"Brazilian Archives of Biology and Technology","id":"ITEM-1","issued":{"date-parts":[["2016"]]},"publisher":"SciELO Brasil","title":"Rhamnolipid biosurfactants produced by Pseudomonas species","type":"article-journal","volume":"59"},"uris":["http://www.mendeley.com/documents/?uuid=1d25a6a9-f935-4329-bc3b-eecceb9c3249","http://www.mendeley.com/documents/?uuid=c6b4156f-0154-453e-8369-32d67f5654e4"]}],"mendeley":{"formattedCitation":"(Kaskatepe &amp; Yildiz, 2016)","manualFormatting":"Kaskatepe &amp; Yildiz, 2016)","plainTextFormattedCitation":"(Kaskatepe &amp; Yildiz, 2016)","previouslyFormattedCitation":"(Kaskatepe &amp; Yildiz, 2016)"},"properties":{"noteIndex":0},"schema":"https://github.com/citation-style-language/schema/raw/master/csl-citation.json"}</w:instrText>
      </w:r>
      <w:r w:rsidR="002E79B7" w:rsidRPr="005244BD">
        <w:rPr>
          <w:rFonts w:ascii="Times New Roman" w:hAnsi="Times New Roman" w:cs="Times New Roman"/>
        </w:rPr>
        <w:fldChar w:fldCharType="separate"/>
      </w:r>
      <w:r w:rsidR="007E3CAF" w:rsidRPr="005244BD">
        <w:rPr>
          <w:rFonts w:ascii="Times New Roman" w:hAnsi="Times New Roman" w:cs="Times New Roman"/>
          <w:noProof/>
        </w:rPr>
        <w:t>Kaskatepe &amp; Yildiz, 2016)</w:t>
      </w:r>
      <w:r w:rsidR="002E79B7" w:rsidRPr="005244BD">
        <w:rPr>
          <w:rFonts w:ascii="Times New Roman" w:hAnsi="Times New Roman" w:cs="Times New Roman"/>
        </w:rPr>
        <w:fldChar w:fldCharType="end"/>
      </w:r>
      <w:r w:rsidR="002E79B7" w:rsidRPr="005244BD">
        <w:rPr>
          <w:rFonts w:ascii="Times New Roman" w:hAnsi="Times New Roman" w:cs="Times New Roman"/>
        </w:rPr>
        <w:t xml:space="preserve">. </w:t>
      </w:r>
      <w:r w:rsidR="009B6993" w:rsidRPr="005244BD">
        <w:rPr>
          <w:rFonts w:ascii="Times New Roman" w:hAnsi="Times New Roman" w:cs="Times New Roman"/>
        </w:rPr>
        <w:t>Rhamnolipid is the best</w:t>
      </w:r>
      <w:r w:rsidR="009A2FFC" w:rsidRPr="005244BD">
        <w:rPr>
          <w:rFonts w:ascii="Times New Roman" w:hAnsi="Times New Roman" w:cs="Times New Roman"/>
        </w:rPr>
        <w:t>-</w:t>
      </w:r>
      <w:r w:rsidR="009B6993" w:rsidRPr="005244BD">
        <w:rPr>
          <w:rFonts w:ascii="Times New Roman" w:hAnsi="Times New Roman" w:cs="Times New Roman"/>
        </w:rPr>
        <w:t>known glycolipid bio-</w:t>
      </w:r>
      <w:r w:rsidR="009642BE" w:rsidRPr="005244BD">
        <w:rPr>
          <w:rFonts w:ascii="Times New Roman" w:hAnsi="Times New Roman" w:cs="Times New Roman"/>
        </w:rPr>
        <w:t>surfactant</w:t>
      </w:r>
      <w:r w:rsidR="009B6993" w:rsidRPr="005244BD">
        <w:t xml:space="preserve"> </w:t>
      </w:r>
      <w:r w:rsidR="009B6993" w:rsidRPr="005244BD">
        <w:rPr>
          <w:rFonts w:ascii="Times New Roman" w:hAnsi="Times New Roman" w:cs="Times New Roman"/>
        </w:rPr>
        <w:t>with one or two molecules of β-hydroxydecanoic acid</w:t>
      </w:r>
      <w:r w:rsidR="008D6B95" w:rsidRPr="005244BD">
        <w:rPr>
          <w:rFonts w:ascii="Times New Roman" w:hAnsi="Times New Roman" w:cs="Times New Roman"/>
        </w:rPr>
        <w:t xml:space="preserve"> </w:t>
      </w:r>
      <w:r w:rsidR="008D6B95" w:rsidRPr="005244BD">
        <w:rPr>
          <w:rFonts w:ascii="Times New Roman" w:hAnsi="Times New Roman" w:cs="Times New Roman"/>
        </w:rPr>
        <w:fldChar w:fldCharType="begin" w:fldLock="1"/>
      </w:r>
      <w:r w:rsidR="00BF6D87" w:rsidRPr="005244BD">
        <w:rPr>
          <w:rFonts w:ascii="Times New Roman" w:hAnsi="Times New Roman" w:cs="Times New Roman"/>
        </w:rPr>
        <w:instrText>ADDIN CSL_CITATION {"citationItems":[{"id":"ITEM-1","itemData":{"author":[{"dropping-particle":"","family":"Kaskatepe","given":"Banu","non-dropping-particle":"","parse-names":false,"suffix":""},{"dropping-particle":"","family":"Yildiz","given":"Sulhiye","non-dropping-particle":"","parse-names":false,"suffix":""}],"container-title":"Brazilian Archives of Biology and Technology","id":"ITEM-1","issued":{"date-parts":[["2016"]]},"publisher":"SciELO Brasil","title":"Rhamnolipid biosurfactants produced by Pseudomonas species","type":"article-journal","volume":"59"},"uris":["http://www.mendeley.com/documents/?uuid=c6b4156f-0154-453e-8369-32d67f5654e4","http://www.mendeley.com/documents/?uuid=1d25a6a9-f935-4329-bc3b-eecceb9c3249"]}],"mendeley":{"formattedCitation":"(Kaskatepe &amp; Yildiz, 2016)","plainTextFormattedCitation":"(Kaskatepe &amp; Yildiz, 2016)","previouslyFormattedCitation":"(Kaskatepe &amp; Yildiz, 2016)"},"properties":{"noteIndex":0},"schema":"https://github.com/citation-style-language/schema/raw/master/csl-citation.json"}</w:instrText>
      </w:r>
      <w:r w:rsidR="008D6B95" w:rsidRPr="005244BD">
        <w:rPr>
          <w:rFonts w:ascii="Times New Roman" w:hAnsi="Times New Roman" w:cs="Times New Roman"/>
        </w:rPr>
        <w:fldChar w:fldCharType="separate"/>
      </w:r>
      <w:r w:rsidR="007E3CAF" w:rsidRPr="005244BD">
        <w:rPr>
          <w:rFonts w:ascii="Times New Roman" w:hAnsi="Times New Roman" w:cs="Times New Roman"/>
          <w:noProof/>
        </w:rPr>
        <w:t>(Kaskatepe &amp; Yildiz, 2016)</w:t>
      </w:r>
      <w:r w:rsidR="008D6B95" w:rsidRPr="005244BD">
        <w:rPr>
          <w:rFonts w:ascii="Times New Roman" w:hAnsi="Times New Roman" w:cs="Times New Roman"/>
        </w:rPr>
        <w:fldChar w:fldCharType="end"/>
      </w:r>
      <w:r w:rsidR="009B6993" w:rsidRPr="005244BD">
        <w:rPr>
          <w:rFonts w:ascii="Times New Roman" w:hAnsi="Times New Roman" w:cs="Times New Roman"/>
        </w:rPr>
        <w:t>.</w:t>
      </w:r>
      <w:r w:rsidR="002E79B7" w:rsidRPr="005244BD">
        <w:rPr>
          <w:rFonts w:ascii="Times New Roman" w:hAnsi="Times New Roman" w:cs="Times New Roman"/>
        </w:rPr>
        <w:t xml:space="preserve"> In this work</w:t>
      </w:r>
      <w:r w:rsidR="00D63F92" w:rsidRPr="005244BD">
        <w:rPr>
          <w:rFonts w:ascii="Times New Roman" w:hAnsi="Times New Roman" w:cs="Times New Roman"/>
        </w:rPr>
        <w:t>,</w:t>
      </w:r>
      <w:r w:rsidR="002E79B7" w:rsidRPr="005244BD">
        <w:rPr>
          <w:rFonts w:ascii="Times New Roman" w:hAnsi="Times New Roman" w:cs="Times New Roman"/>
        </w:rPr>
        <w:t xml:space="preserve"> the </w:t>
      </w:r>
      <w:r w:rsidRPr="005244BD">
        <w:rPr>
          <w:rFonts w:ascii="Times New Roman" w:hAnsi="Times New Roman" w:cs="Times New Roman"/>
        </w:rPr>
        <w:t>partitioning coefficient</w:t>
      </w:r>
      <w:r w:rsidR="009B6993" w:rsidRPr="005244BD">
        <w:rPr>
          <w:rFonts w:ascii="Times New Roman" w:hAnsi="Times New Roman" w:cs="Times New Roman"/>
        </w:rPr>
        <w:t xml:space="preserve"> of toluene in the presence of rhamnolipids</w:t>
      </w:r>
      <w:r w:rsidR="00D63F92" w:rsidRPr="005244BD">
        <w:rPr>
          <w:rFonts w:ascii="Times New Roman" w:hAnsi="Times New Roman" w:cs="Times New Roman"/>
        </w:rPr>
        <w:t xml:space="preserve"> is approximately set to 1.5 </w:t>
      </w:r>
      <w:r w:rsidR="00D63F92" w:rsidRPr="005244BD">
        <w:rPr>
          <w:rFonts w:ascii="Times New Roman" w:hAnsi="Times New Roman" w:cs="Times New Roman"/>
        </w:rPr>
        <w:fldChar w:fldCharType="begin" w:fldLock="1"/>
      </w:r>
      <w:r w:rsidR="00BF6D87" w:rsidRPr="005244BD">
        <w:rPr>
          <w:rFonts w:ascii="Times New Roman" w:hAnsi="Times New Roman" w:cs="Times New Roman"/>
        </w:rPr>
        <w:instrText>ADDIN CSL_CITATION {"citationItems":[{"id":"ITEM-1","itemData":{"author":[{"dropping-particle":"","family":"McCray","given":"John E","non-dropping-particle":"","parse-names":false,"suffix":""},{"dropping-particle":"","family":"Bai","given":"Guiyun","non-dropping-particle":"","parse-names":false,"suffix":""},{"dropping-particle":"","family":"Maier","given":"Raina M","non-dropping-particle":"","parse-names":false,"suffix":""},{"dropping-particle":"","family":"Brusseau","given":"Mark L","non-dropping-particle":"","parse-names":false,"suffix":""}],"container-title":"Journal of Contaminant Hydrology","id":"ITEM-1","issue":"1-2","issued":{"date-parts":[["2001"]]},"page":"45-68","publisher":"Elsevier","title":"Biosurfactant-enhanced solubilization of NAPL mixtures","type":"article-journal","volume":"48"},"uris":["http://www.mendeley.com/documents/?uuid=697467d1-3391-45d6-b822-496ce0a7468c","http://www.mendeley.com/documents/?uuid=75c329b1-fee8-4588-adf7-97531280f775"]}],"mendeley":{"formattedCitation":"(McCray et al., 2001)","plainTextFormattedCitation":"(McCray et al., 2001)","previouslyFormattedCitation":"(McCray et al., 2001)"},"properties":{"noteIndex":0},"schema":"https://github.com/citation-style-language/schema/raw/master/csl-citation.json"}</w:instrText>
      </w:r>
      <w:r w:rsidR="00D63F92" w:rsidRPr="005244BD">
        <w:rPr>
          <w:rFonts w:ascii="Times New Roman" w:hAnsi="Times New Roman" w:cs="Times New Roman"/>
        </w:rPr>
        <w:fldChar w:fldCharType="separate"/>
      </w:r>
      <w:r w:rsidR="007E3CAF" w:rsidRPr="005244BD">
        <w:rPr>
          <w:rFonts w:ascii="Times New Roman" w:hAnsi="Times New Roman" w:cs="Times New Roman"/>
          <w:noProof/>
        </w:rPr>
        <w:t>(McCray et al., 2001)</w:t>
      </w:r>
      <w:r w:rsidR="00D63F92" w:rsidRPr="005244BD">
        <w:rPr>
          <w:rFonts w:ascii="Times New Roman" w:hAnsi="Times New Roman" w:cs="Times New Roman"/>
        </w:rPr>
        <w:fldChar w:fldCharType="end"/>
      </w:r>
      <w:r w:rsidR="009B6993" w:rsidRPr="005244BD">
        <w:rPr>
          <w:rFonts w:ascii="Times New Roman" w:hAnsi="Times New Roman" w:cs="Times New Roman"/>
        </w:rPr>
        <w:t xml:space="preserve">. </w:t>
      </w:r>
      <w:r w:rsidR="008A3C5B" w:rsidRPr="005244BD">
        <w:rPr>
          <w:rFonts w:ascii="Times New Roman" w:hAnsi="Times New Roman" w:cs="Times New Roman"/>
        </w:rPr>
        <w:t xml:space="preserve">In addition, </w:t>
      </w:r>
      <w:r w:rsidR="008248C6" w:rsidRPr="005244BD">
        <w:rPr>
          <w:rFonts w:ascii="Times New Roman" w:hAnsi="Times New Roman" w:cs="Times New Roman"/>
        </w:rPr>
        <w:t>it is assumed that the initial thickness of biomass</w:t>
      </w:r>
      <w:r w:rsidR="00307FDD" w:rsidRPr="005244BD">
        <w:rPr>
          <w:rFonts w:ascii="Times New Roman" w:hAnsi="Times New Roman" w:cs="Times New Roman"/>
        </w:rPr>
        <w:t xml:space="preserve"> (which is attached to the rock surface)</w:t>
      </w:r>
      <w:r w:rsidR="008248C6" w:rsidRPr="005244BD">
        <w:rPr>
          <w:rFonts w:ascii="Times New Roman" w:hAnsi="Times New Roman" w:cs="Times New Roman"/>
        </w:rPr>
        <w:t xml:space="preserve"> in the water-filled pores and throats is the 0.</w:t>
      </w:r>
      <w:r w:rsidR="0089456A" w:rsidRPr="005244BD">
        <w:rPr>
          <w:rFonts w:ascii="Times New Roman" w:hAnsi="Times New Roman" w:cs="Times New Roman"/>
        </w:rPr>
        <w:t>1</w:t>
      </w:r>
      <w:r w:rsidR="008248C6" w:rsidRPr="005244BD">
        <w:rPr>
          <w:rFonts w:ascii="Times New Roman" w:hAnsi="Times New Roman" w:cs="Times New Roman"/>
        </w:rPr>
        <w:t xml:space="preserve">% of </w:t>
      </w:r>
      <w:r w:rsidR="00307FDD" w:rsidRPr="005244BD">
        <w:rPr>
          <w:rFonts w:ascii="Times New Roman" w:hAnsi="Times New Roman" w:cs="Times New Roman"/>
        </w:rPr>
        <w:t>their</w:t>
      </w:r>
      <w:r w:rsidR="008248C6" w:rsidRPr="005244BD">
        <w:rPr>
          <w:rFonts w:ascii="Times New Roman" w:hAnsi="Times New Roman" w:cs="Times New Roman"/>
        </w:rPr>
        <w:t xml:space="preserve"> radii.  </w:t>
      </w:r>
    </w:p>
    <w:p w14:paraId="06CB4460" w14:textId="2C55A0AD" w:rsidR="0088516C" w:rsidRPr="005244BD" w:rsidRDefault="0088516C" w:rsidP="0088516C">
      <w:pPr>
        <w:spacing w:after="0" w:line="480" w:lineRule="auto"/>
        <w:jc w:val="both"/>
        <w:rPr>
          <w:rFonts w:asciiTheme="majorBidi" w:hAnsiTheme="majorBidi" w:cstheme="majorBidi"/>
          <w:sz w:val="20"/>
          <w:szCs w:val="20"/>
        </w:rPr>
      </w:pPr>
      <w:bookmarkStart w:id="9" w:name="_Ref15029240"/>
      <w:bookmarkStart w:id="10" w:name="_Ref15029236"/>
      <w:r w:rsidRPr="005244BD">
        <w:rPr>
          <w:rFonts w:asciiTheme="majorBidi" w:hAnsiTheme="majorBidi" w:cstheme="majorBidi"/>
          <w:b/>
          <w:bCs/>
          <w:sz w:val="20"/>
          <w:szCs w:val="20"/>
        </w:rPr>
        <w:t xml:space="preserve">Table </w:t>
      </w:r>
      <w:r w:rsidRPr="005244BD">
        <w:rPr>
          <w:rFonts w:asciiTheme="majorBidi" w:hAnsiTheme="majorBidi" w:cstheme="majorBidi"/>
          <w:b/>
          <w:bCs/>
          <w:sz w:val="20"/>
          <w:szCs w:val="20"/>
        </w:rPr>
        <w:fldChar w:fldCharType="begin"/>
      </w:r>
      <w:r w:rsidRPr="005244BD">
        <w:rPr>
          <w:rFonts w:asciiTheme="majorBidi" w:hAnsiTheme="majorBidi" w:cstheme="majorBidi"/>
          <w:b/>
          <w:bCs/>
          <w:sz w:val="20"/>
          <w:szCs w:val="20"/>
        </w:rPr>
        <w:instrText xml:space="preserve"> SEQ Table \* ARABIC </w:instrText>
      </w:r>
      <w:r w:rsidRPr="005244BD">
        <w:rPr>
          <w:rFonts w:asciiTheme="majorBidi" w:hAnsiTheme="majorBidi" w:cstheme="majorBidi"/>
          <w:b/>
          <w:bCs/>
          <w:sz w:val="20"/>
          <w:szCs w:val="20"/>
        </w:rPr>
        <w:fldChar w:fldCharType="separate"/>
      </w:r>
      <w:r w:rsidR="00EE0F85">
        <w:rPr>
          <w:rFonts w:asciiTheme="majorBidi" w:hAnsiTheme="majorBidi" w:cstheme="majorBidi"/>
          <w:b/>
          <w:bCs/>
          <w:noProof/>
          <w:sz w:val="20"/>
          <w:szCs w:val="20"/>
        </w:rPr>
        <w:t>2</w:t>
      </w:r>
      <w:r w:rsidRPr="005244BD">
        <w:rPr>
          <w:rFonts w:asciiTheme="majorBidi" w:hAnsiTheme="majorBidi" w:cstheme="majorBidi"/>
          <w:b/>
          <w:bCs/>
          <w:sz w:val="20"/>
          <w:szCs w:val="20"/>
        </w:rPr>
        <w:fldChar w:fldCharType="end"/>
      </w:r>
      <w:bookmarkEnd w:id="9"/>
      <w:r w:rsidRPr="005244BD">
        <w:rPr>
          <w:rFonts w:asciiTheme="majorBidi" w:hAnsiTheme="majorBidi" w:cstheme="majorBidi"/>
          <w:sz w:val="20"/>
          <w:szCs w:val="20"/>
        </w:rPr>
        <w:t>. List of parameter</w:t>
      </w:r>
      <w:r w:rsidR="00A34CFF" w:rsidRPr="005244BD">
        <w:rPr>
          <w:rFonts w:asciiTheme="majorBidi" w:hAnsiTheme="majorBidi" w:cstheme="majorBidi"/>
          <w:sz w:val="20"/>
          <w:szCs w:val="20"/>
        </w:rPr>
        <w:t>s</w:t>
      </w:r>
      <w:r w:rsidRPr="005244BD">
        <w:rPr>
          <w:rFonts w:asciiTheme="majorBidi" w:hAnsiTheme="majorBidi" w:cstheme="majorBidi"/>
          <w:sz w:val="20"/>
          <w:szCs w:val="20"/>
        </w:rPr>
        <w:t xml:space="preserve"> used in bioremediation model</w:t>
      </w:r>
      <w:bookmarkEnd w:id="10"/>
      <w:r w:rsidR="00A34CFF" w:rsidRPr="005244BD">
        <w:rPr>
          <w:rFonts w:asciiTheme="majorBidi" w:hAnsiTheme="majorBidi" w:cstheme="majorBidi"/>
          <w:sz w:val="20"/>
          <w:szCs w:val="20"/>
        </w:rPr>
        <w:t>.</w:t>
      </w:r>
      <w:r w:rsidR="000979C3" w:rsidRPr="005244BD">
        <w:rPr>
          <w:rFonts w:asciiTheme="majorBidi" w:hAnsiTheme="majorBidi" w:cstheme="majorBidi"/>
          <w:sz w:val="20"/>
          <w:szCs w:val="20"/>
        </w:rPr>
        <w:t xml:space="preserve"> </w:t>
      </w:r>
      <w:r w:rsidR="00D02533" w:rsidRPr="005244BD">
        <w:rPr>
          <w:rFonts w:asciiTheme="majorBidi" w:hAnsiTheme="majorBidi" w:cstheme="majorBidi"/>
          <w:sz w:val="20"/>
          <w:szCs w:val="20"/>
          <w:vertAlign w:val="superscript"/>
        </w:rPr>
        <w:t xml:space="preserve">* </w:t>
      </w:r>
      <w:r w:rsidR="000979C3" w:rsidRPr="005244BD">
        <w:rPr>
          <w:rFonts w:asciiTheme="majorBidi" w:hAnsiTheme="majorBidi" w:cstheme="majorBidi"/>
          <w:sz w:val="20"/>
          <w:szCs w:val="20"/>
        </w:rPr>
        <w:t>The yield coefficient found in Robledo-Ortíz et al. (2011) is expressed as a funct</w:t>
      </w:r>
      <w:r w:rsidR="00B438D0">
        <w:rPr>
          <w:rFonts w:asciiTheme="majorBidi" w:hAnsiTheme="majorBidi" w:cstheme="majorBidi"/>
          <w:sz w:val="20"/>
          <w:szCs w:val="20"/>
        </w:rPr>
        <w:t>ion of the dry mass of biomass.</w:t>
      </w:r>
      <w:r w:rsidR="000979C3" w:rsidRPr="005244BD">
        <w:rPr>
          <w:rFonts w:asciiTheme="majorBidi" w:hAnsiTheme="majorBidi" w:cstheme="majorBidi"/>
          <w:sz w:val="20"/>
          <w:szCs w:val="20"/>
        </w:rPr>
        <w:t xml:space="preserve"> It was scaled by assuming a dry weight/wet weight ratio of 0.48 for bacterial cells in our simulations.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937"/>
        <w:gridCol w:w="3259"/>
        <w:gridCol w:w="851"/>
        <w:gridCol w:w="4149"/>
      </w:tblGrid>
      <w:tr w:rsidR="0063257E" w:rsidRPr="005244BD" w14:paraId="05F0FB7A" w14:textId="313CE2F7" w:rsidTr="0063257E">
        <w:trPr>
          <w:jc w:val="center"/>
        </w:trPr>
        <w:tc>
          <w:tcPr>
            <w:tcW w:w="937" w:type="dxa"/>
            <w:tcBorders>
              <w:bottom w:val="single" w:sz="4" w:space="0" w:color="auto"/>
            </w:tcBorders>
            <w:vAlign w:val="center"/>
          </w:tcPr>
          <w:p w14:paraId="3F0AC7A7" w14:textId="77777777" w:rsidR="0063257E" w:rsidRPr="005244BD" w:rsidRDefault="0063257E" w:rsidP="005D54AF">
            <w:pPr>
              <w:spacing w:after="0" w:line="240" w:lineRule="auto"/>
              <w:rPr>
                <w:rFonts w:ascii="Times New Roman" w:eastAsia="Calibri" w:hAnsi="Times New Roman" w:cs="Times New Roman"/>
                <w:b/>
                <w:bCs/>
                <w:iCs/>
                <w:sz w:val="20"/>
              </w:rPr>
            </w:pPr>
            <w:r w:rsidRPr="005244BD">
              <w:rPr>
                <w:rFonts w:ascii="Times New Roman" w:eastAsia="Calibri" w:hAnsi="Times New Roman" w:cs="Times New Roman"/>
                <w:b/>
                <w:bCs/>
                <w:iCs/>
                <w:sz w:val="20"/>
              </w:rPr>
              <w:t>Property</w:t>
            </w:r>
          </w:p>
        </w:tc>
        <w:tc>
          <w:tcPr>
            <w:tcW w:w="3259" w:type="dxa"/>
            <w:tcBorders>
              <w:bottom w:val="single" w:sz="4" w:space="0" w:color="auto"/>
            </w:tcBorders>
          </w:tcPr>
          <w:p w14:paraId="5B0AD0EF" w14:textId="77777777" w:rsidR="0063257E" w:rsidRPr="005244BD" w:rsidRDefault="0063257E" w:rsidP="005D54AF">
            <w:pPr>
              <w:spacing w:after="0" w:line="240" w:lineRule="auto"/>
              <w:rPr>
                <w:rFonts w:asciiTheme="majorBidi" w:eastAsiaTheme="minorEastAsia" w:hAnsiTheme="majorBidi" w:cstheme="majorBidi"/>
                <w:b/>
                <w:bCs/>
                <w:iCs/>
                <w:sz w:val="20"/>
              </w:rPr>
            </w:pPr>
          </w:p>
        </w:tc>
        <w:tc>
          <w:tcPr>
            <w:tcW w:w="851" w:type="dxa"/>
            <w:tcBorders>
              <w:bottom w:val="single" w:sz="4" w:space="0" w:color="auto"/>
            </w:tcBorders>
          </w:tcPr>
          <w:p w14:paraId="1B9A3507" w14:textId="212D1EFF" w:rsidR="0063257E" w:rsidRPr="005244BD" w:rsidRDefault="0063257E" w:rsidP="005D54AF">
            <w:pPr>
              <w:spacing w:after="0" w:line="240" w:lineRule="auto"/>
              <w:rPr>
                <w:rFonts w:asciiTheme="majorBidi" w:eastAsiaTheme="minorEastAsia" w:hAnsiTheme="majorBidi" w:cstheme="majorBidi"/>
                <w:b/>
                <w:bCs/>
                <w:iCs/>
                <w:sz w:val="20"/>
              </w:rPr>
            </w:pPr>
            <w:r w:rsidRPr="005244BD">
              <w:rPr>
                <w:rFonts w:asciiTheme="majorBidi" w:eastAsiaTheme="minorEastAsia" w:hAnsiTheme="majorBidi" w:cstheme="majorBidi"/>
                <w:b/>
                <w:bCs/>
                <w:iCs/>
                <w:sz w:val="20"/>
              </w:rPr>
              <w:t>Value</w:t>
            </w:r>
          </w:p>
        </w:tc>
        <w:tc>
          <w:tcPr>
            <w:tcW w:w="4149" w:type="dxa"/>
            <w:tcBorders>
              <w:bottom w:val="single" w:sz="4" w:space="0" w:color="auto"/>
            </w:tcBorders>
          </w:tcPr>
          <w:p w14:paraId="07DBFA32" w14:textId="4557C6B0" w:rsidR="0063257E" w:rsidRPr="005244BD" w:rsidRDefault="0063257E" w:rsidP="005D54AF">
            <w:pPr>
              <w:spacing w:after="0" w:line="240" w:lineRule="auto"/>
              <w:rPr>
                <w:rFonts w:asciiTheme="majorBidi" w:eastAsiaTheme="minorEastAsia" w:hAnsiTheme="majorBidi" w:cstheme="majorBidi"/>
                <w:b/>
                <w:bCs/>
                <w:iCs/>
                <w:sz w:val="20"/>
              </w:rPr>
            </w:pPr>
            <w:r w:rsidRPr="005244BD">
              <w:rPr>
                <w:rFonts w:asciiTheme="majorBidi" w:eastAsiaTheme="minorEastAsia" w:hAnsiTheme="majorBidi" w:cstheme="majorBidi"/>
                <w:b/>
                <w:bCs/>
                <w:iCs/>
                <w:sz w:val="20"/>
              </w:rPr>
              <w:t>Representative value from</w:t>
            </w:r>
          </w:p>
        </w:tc>
      </w:tr>
      <w:tr w:rsidR="0063257E" w:rsidRPr="005244BD" w14:paraId="5BBDF9B1" w14:textId="1D1A0930" w:rsidTr="0063257E">
        <w:trPr>
          <w:jc w:val="center"/>
        </w:trPr>
        <w:tc>
          <w:tcPr>
            <w:tcW w:w="937" w:type="dxa"/>
            <w:tcBorders>
              <w:top w:val="single" w:sz="4" w:space="0" w:color="auto"/>
            </w:tcBorders>
            <w:vAlign w:val="center"/>
          </w:tcPr>
          <w:p w14:paraId="08EC3810" w14:textId="6B6AE8FD" w:rsidR="0063257E" w:rsidRPr="005244BD" w:rsidRDefault="0063257E" w:rsidP="005D54AF">
            <w:pPr>
              <w:spacing w:after="0" w:line="240" w:lineRule="auto"/>
              <w:rPr>
                <w:rFonts w:asciiTheme="majorBidi" w:eastAsiaTheme="minorEastAsia" w:hAnsiTheme="majorBidi" w:cstheme="majorBidi"/>
                <w:iCs/>
                <w:sz w:val="20"/>
                <w:szCs w:val="16"/>
              </w:rPr>
            </w:pPr>
            <m:oMath>
              <m:r>
                <w:rPr>
                  <w:rFonts w:ascii="Cambria Math" w:eastAsiaTheme="minorEastAsia" w:hAnsi="Cambria Math" w:cstheme="majorBidi"/>
                  <w:sz w:val="20"/>
                  <w:szCs w:val="16"/>
                </w:rPr>
                <m:t>μ</m:t>
              </m:r>
            </m:oMath>
            <w:r w:rsidRPr="005244BD">
              <w:rPr>
                <w:rFonts w:asciiTheme="majorBidi" w:eastAsiaTheme="minorEastAsia" w:hAnsiTheme="majorBidi" w:cstheme="majorBidi"/>
                <w:iCs/>
                <w:sz w:val="20"/>
                <w:szCs w:val="16"/>
              </w:rPr>
              <w:t xml:space="preserve"> </w:t>
            </w:r>
          </w:p>
        </w:tc>
        <w:tc>
          <w:tcPr>
            <w:tcW w:w="3259" w:type="dxa"/>
            <w:tcBorders>
              <w:top w:val="single" w:sz="4" w:space="0" w:color="auto"/>
            </w:tcBorders>
          </w:tcPr>
          <w:p w14:paraId="60A0E970" w14:textId="63D29EC1"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maximum reaction rate (hr</w:t>
            </w:r>
            <w:r w:rsidRPr="005244BD">
              <w:rPr>
                <w:rFonts w:asciiTheme="majorBidi" w:eastAsiaTheme="minorEastAsia" w:hAnsiTheme="majorBidi" w:cstheme="majorBidi"/>
                <w:iCs/>
                <w:sz w:val="20"/>
                <w:szCs w:val="16"/>
                <w:vertAlign w:val="superscript"/>
              </w:rPr>
              <w:t>-1</w:t>
            </w:r>
            <w:r w:rsidRPr="005244BD">
              <w:rPr>
                <w:rFonts w:asciiTheme="majorBidi" w:eastAsiaTheme="minorEastAsia" w:hAnsiTheme="majorBidi" w:cstheme="majorBidi"/>
                <w:iCs/>
                <w:sz w:val="20"/>
                <w:szCs w:val="16"/>
              </w:rPr>
              <w:t>)</w:t>
            </w:r>
          </w:p>
        </w:tc>
        <w:tc>
          <w:tcPr>
            <w:tcW w:w="851" w:type="dxa"/>
            <w:tcBorders>
              <w:top w:val="single" w:sz="4" w:space="0" w:color="auto"/>
            </w:tcBorders>
          </w:tcPr>
          <w:p w14:paraId="692F6EE3" w14:textId="48FE58C9"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0.1722</w:t>
            </w:r>
          </w:p>
        </w:tc>
        <w:tc>
          <w:tcPr>
            <w:tcW w:w="4149" w:type="dxa"/>
            <w:tcBorders>
              <w:top w:val="single" w:sz="4" w:space="0" w:color="auto"/>
            </w:tcBorders>
          </w:tcPr>
          <w:p w14:paraId="0ADF32AF" w14:textId="7D5882BE"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fldChar w:fldCharType="begin" w:fldLock="1"/>
            </w:r>
            <w:r w:rsidR="00BF6D87" w:rsidRPr="005244BD">
              <w:rPr>
                <w:rFonts w:asciiTheme="majorBidi" w:eastAsiaTheme="minorEastAsia" w:hAnsiTheme="majorBidi" w:cstheme="majorBidi"/>
                <w:iCs/>
                <w:sz w:val="20"/>
                <w:szCs w:val="16"/>
              </w:rPr>
              <w:instrText>ADDIN CSL_CITATION {"citationItems":[{"id":"ITEM-1","itemData":{"author":[{"dropping-particle":"","family":"Mathur","given":"A K","non-dropping-particle":"","parse-names":false,"suffix":""},{"dropping-particle":"","family":"Majumder","given":"C B","non-dropping-particle":"","parse-names":false,"suffix":""}],"container-title":"Chemical and biochemical engineering quarterly","id":"ITEM-1","issue":"1","issued":{"date-parts":[["2010"]]},"page":"101-109","publisher":"Hrvatsko društvo kemijskih inženjera i tehnologa","title":"Kinetics modelling of the biodegradation of benzene, toluene and phenol as single substrate and mixed substrate by using Pseudomonas putida","type":"article-journal","volume":"24"},"uris":["http://www.mendeley.com/documents/?uuid=624ef287-b224-4ce1-a525-8278399a1590","http://www.mendeley.com/documents/?uuid=f8244007-403d-4381-8ef0-37c9b9e25f20"]}],"mendeley":{"formattedCitation":"(Mathur &amp; Majumder, 2010)","plainTextFormattedCitation":"(Mathur &amp; Majumder, 2010)","previouslyFormattedCitation":"(Mathur &amp; Majumder, 2010)"},"properties":{"noteIndex":0},"schema":"https://github.com/citation-style-language/schema/raw/master/csl-citation.json"}</w:instrText>
            </w:r>
            <w:r w:rsidRPr="005244BD">
              <w:rPr>
                <w:rFonts w:asciiTheme="majorBidi" w:eastAsiaTheme="minorEastAsia" w:hAnsiTheme="majorBidi" w:cstheme="majorBidi"/>
                <w:iCs/>
                <w:sz w:val="20"/>
                <w:szCs w:val="16"/>
              </w:rPr>
              <w:fldChar w:fldCharType="separate"/>
            </w:r>
            <w:r w:rsidRPr="005244BD">
              <w:rPr>
                <w:rFonts w:asciiTheme="majorBidi" w:eastAsiaTheme="minorEastAsia" w:hAnsiTheme="majorBidi" w:cstheme="majorBidi"/>
                <w:iCs/>
                <w:noProof/>
                <w:sz w:val="20"/>
                <w:szCs w:val="16"/>
              </w:rPr>
              <w:t>(Mathur &amp; Majumder, 2010)</w:t>
            </w:r>
            <w:r w:rsidRPr="005244BD">
              <w:rPr>
                <w:rFonts w:asciiTheme="majorBidi" w:eastAsiaTheme="minorEastAsia" w:hAnsiTheme="majorBidi" w:cstheme="majorBidi"/>
                <w:iCs/>
                <w:sz w:val="20"/>
                <w:szCs w:val="16"/>
              </w:rPr>
              <w:fldChar w:fldCharType="end"/>
            </w:r>
          </w:p>
        </w:tc>
      </w:tr>
      <w:tr w:rsidR="0063257E" w:rsidRPr="005244BD" w14:paraId="00C9A64F" w14:textId="2FA8188D" w:rsidTr="0063257E">
        <w:trPr>
          <w:jc w:val="center"/>
        </w:trPr>
        <w:tc>
          <w:tcPr>
            <w:tcW w:w="937" w:type="dxa"/>
            <w:vAlign w:val="center"/>
          </w:tcPr>
          <w:p w14:paraId="2220E57A" w14:textId="2EEE5B07" w:rsidR="0063257E" w:rsidRPr="005244BD" w:rsidRDefault="007E5EE0" w:rsidP="005D54AF">
            <w:pPr>
              <w:spacing w:after="0" w:line="240" w:lineRule="auto"/>
              <w:rPr>
                <w:rFonts w:asciiTheme="majorBidi" w:eastAsiaTheme="minorEastAsia" w:hAnsiTheme="majorBidi" w:cstheme="majorBidi"/>
                <w:iCs/>
                <w:sz w:val="20"/>
                <w:szCs w:val="16"/>
              </w:rPr>
            </w:pPr>
            <m:oMath>
              <m:sSub>
                <m:sSubPr>
                  <m:ctrlPr>
                    <w:rPr>
                      <w:rFonts w:ascii="Cambria Math" w:eastAsiaTheme="minorEastAsia" w:hAnsi="Cambria Math" w:cstheme="majorBidi"/>
                      <w:iCs/>
                      <w:sz w:val="20"/>
                      <w:szCs w:val="16"/>
                    </w:rPr>
                  </m:ctrlPr>
                </m:sSubPr>
                <m:e>
                  <m:r>
                    <w:rPr>
                      <w:rFonts w:ascii="Cambria Math" w:eastAsiaTheme="minorEastAsia" w:hAnsi="Cambria Math" w:cstheme="majorBidi"/>
                      <w:sz w:val="20"/>
                      <w:szCs w:val="16"/>
                    </w:rPr>
                    <m:t>K</m:t>
                  </m:r>
                </m:e>
                <m:sub>
                  <m:r>
                    <w:rPr>
                      <w:rFonts w:ascii="Cambria Math" w:eastAsiaTheme="minorEastAsia" w:hAnsi="Cambria Math" w:cstheme="majorBidi"/>
                      <w:sz w:val="20"/>
                      <w:szCs w:val="16"/>
                    </w:rPr>
                    <m:t>i</m:t>
                  </m:r>
                </m:sub>
              </m:sSub>
            </m:oMath>
            <w:r w:rsidR="0063257E" w:rsidRPr="005244BD">
              <w:rPr>
                <w:rFonts w:asciiTheme="majorBidi" w:eastAsiaTheme="minorEastAsia" w:hAnsiTheme="majorBidi" w:cstheme="majorBidi"/>
                <w:iCs/>
                <w:sz w:val="20"/>
                <w:szCs w:val="16"/>
              </w:rPr>
              <w:t xml:space="preserve"> </w:t>
            </w:r>
          </w:p>
        </w:tc>
        <w:tc>
          <w:tcPr>
            <w:tcW w:w="3259" w:type="dxa"/>
          </w:tcPr>
          <w:p w14:paraId="60ED226E" w14:textId="201966FE"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inhibition coefficient (mg L</w:t>
            </w:r>
            <w:r w:rsidR="00065485" w:rsidRPr="005244BD">
              <w:rPr>
                <w:rFonts w:ascii="Arial" w:eastAsiaTheme="minorEastAsia" w:hAnsi="Arial" w:cs="Arial"/>
                <w:iCs/>
                <w:sz w:val="20"/>
                <w:szCs w:val="16"/>
                <w:vertAlign w:val="superscript"/>
              </w:rPr>
              <w:t>−</w:t>
            </w:r>
            <w:r w:rsidRPr="005244BD">
              <w:rPr>
                <w:rFonts w:asciiTheme="majorBidi" w:eastAsiaTheme="minorEastAsia" w:hAnsiTheme="majorBidi" w:cstheme="majorBidi"/>
                <w:iCs/>
                <w:sz w:val="20"/>
                <w:szCs w:val="16"/>
                <w:vertAlign w:val="superscript"/>
              </w:rPr>
              <w:t>1</w:t>
            </w:r>
            <w:r w:rsidRPr="005244BD">
              <w:rPr>
                <w:rFonts w:asciiTheme="majorBidi" w:eastAsiaTheme="minorEastAsia" w:hAnsiTheme="majorBidi" w:cstheme="majorBidi"/>
                <w:iCs/>
                <w:sz w:val="20"/>
                <w:szCs w:val="16"/>
              </w:rPr>
              <w:t>)</w:t>
            </w:r>
          </w:p>
        </w:tc>
        <w:tc>
          <w:tcPr>
            <w:tcW w:w="851" w:type="dxa"/>
          </w:tcPr>
          <w:p w14:paraId="63103B8E" w14:textId="18286666"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380.62</w:t>
            </w:r>
          </w:p>
        </w:tc>
        <w:tc>
          <w:tcPr>
            <w:tcW w:w="4149" w:type="dxa"/>
          </w:tcPr>
          <w:p w14:paraId="5EC29CCE" w14:textId="479CB506"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fldChar w:fldCharType="begin" w:fldLock="1"/>
            </w:r>
            <w:r w:rsidR="00BF6D87" w:rsidRPr="005244BD">
              <w:rPr>
                <w:rFonts w:asciiTheme="majorBidi" w:eastAsiaTheme="minorEastAsia" w:hAnsiTheme="majorBidi" w:cstheme="majorBidi"/>
                <w:iCs/>
                <w:sz w:val="20"/>
                <w:szCs w:val="16"/>
              </w:rPr>
              <w:instrText>ADDIN CSL_CITATION {"citationItems":[{"id":"ITEM-1","itemData":{"author":[{"dropping-particle":"","family":"Mathur","given":"A K","non-dropping-particle":"","parse-names":false,"suffix":""},{"dropping-particle":"","family":"Majumder","given":"C B","non-dropping-particle":"","parse-names":false,"suffix":""}],"container-title":"Chemical and biochemical engineering quarterly","id":"ITEM-1","issue":"1","issued":{"date-parts":[["2010"]]},"page":"101-109","publisher":"Hrvatsko društvo kemijskih inženjera i tehnologa","title":"Kinetics modelling of the biodegradation of benzene, toluene and phenol as single substrate and mixed substrate by using Pseudomonas putida","type":"article-journal","volume":"24"},"uris":["http://www.mendeley.com/documents/?uuid=624ef287-b224-4ce1-a525-8278399a1590","http://www.mendeley.com/documents/?uuid=f8244007-403d-4381-8ef0-37c9b9e25f20"]}],"mendeley":{"formattedCitation":"(Mathur &amp; Majumder, 2010)","plainTextFormattedCitation":"(Mathur &amp; Majumder, 2010)","previouslyFormattedCitation":"(Mathur &amp; Majumder, 2010)"},"properties":{"noteIndex":0},"schema":"https://github.com/citation-style-language/schema/raw/master/csl-citation.json"}</w:instrText>
            </w:r>
            <w:r w:rsidRPr="005244BD">
              <w:rPr>
                <w:rFonts w:asciiTheme="majorBidi" w:eastAsiaTheme="minorEastAsia" w:hAnsiTheme="majorBidi" w:cstheme="majorBidi"/>
                <w:iCs/>
                <w:sz w:val="20"/>
                <w:szCs w:val="16"/>
              </w:rPr>
              <w:fldChar w:fldCharType="separate"/>
            </w:r>
            <w:r w:rsidRPr="005244BD">
              <w:rPr>
                <w:rFonts w:asciiTheme="majorBidi" w:eastAsiaTheme="minorEastAsia" w:hAnsiTheme="majorBidi" w:cstheme="majorBidi"/>
                <w:iCs/>
                <w:noProof/>
                <w:sz w:val="20"/>
                <w:szCs w:val="16"/>
              </w:rPr>
              <w:t>(Mathur &amp; Majumder, 2010)</w:t>
            </w:r>
            <w:r w:rsidRPr="005244BD">
              <w:rPr>
                <w:rFonts w:asciiTheme="majorBidi" w:eastAsiaTheme="minorEastAsia" w:hAnsiTheme="majorBidi" w:cstheme="majorBidi"/>
                <w:iCs/>
                <w:sz w:val="20"/>
                <w:szCs w:val="16"/>
              </w:rPr>
              <w:fldChar w:fldCharType="end"/>
            </w:r>
          </w:p>
        </w:tc>
      </w:tr>
      <w:tr w:rsidR="0063257E" w:rsidRPr="005244BD" w14:paraId="3BD4BC67" w14:textId="6B0684E4" w:rsidTr="0063257E">
        <w:trPr>
          <w:jc w:val="center"/>
        </w:trPr>
        <w:tc>
          <w:tcPr>
            <w:tcW w:w="937" w:type="dxa"/>
            <w:vAlign w:val="center"/>
          </w:tcPr>
          <w:p w14:paraId="52FDD181" w14:textId="6343E343" w:rsidR="0063257E" w:rsidRPr="005244BD" w:rsidRDefault="007E5EE0" w:rsidP="005D54AF">
            <w:pPr>
              <w:spacing w:after="0" w:line="240" w:lineRule="auto"/>
              <w:rPr>
                <w:rFonts w:asciiTheme="majorBidi" w:eastAsiaTheme="minorEastAsia" w:hAnsiTheme="majorBidi" w:cstheme="majorBidi"/>
                <w:iCs/>
                <w:sz w:val="20"/>
                <w:szCs w:val="16"/>
              </w:rPr>
            </w:pPr>
            <m:oMath>
              <m:sSub>
                <m:sSubPr>
                  <m:ctrlPr>
                    <w:rPr>
                      <w:rFonts w:ascii="Cambria Math" w:eastAsiaTheme="minorEastAsia" w:hAnsi="Cambria Math" w:cstheme="majorBidi"/>
                      <w:iCs/>
                      <w:sz w:val="20"/>
                      <w:szCs w:val="16"/>
                    </w:rPr>
                  </m:ctrlPr>
                </m:sSubPr>
                <m:e>
                  <m:r>
                    <w:rPr>
                      <w:rFonts w:ascii="Cambria Math" w:eastAsiaTheme="minorEastAsia" w:hAnsi="Cambria Math" w:cstheme="majorBidi"/>
                      <w:sz w:val="20"/>
                      <w:szCs w:val="16"/>
                    </w:rPr>
                    <m:t>K</m:t>
                  </m:r>
                </m:e>
                <m:sub>
                  <m:r>
                    <w:rPr>
                      <w:rFonts w:ascii="Cambria Math" w:eastAsiaTheme="minorEastAsia" w:hAnsi="Cambria Math" w:cstheme="majorBidi"/>
                      <w:sz w:val="20"/>
                      <w:szCs w:val="16"/>
                    </w:rPr>
                    <m:t>m</m:t>
                  </m:r>
                </m:sub>
              </m:sSub>
            </m:oMath>
            <w:r w:rsidR="0063257E" w:rsidRPr="005244BD">
              <w:rPr>
                <w:rFonts w:asciiTheme="majorBidi" w:eastAsiaTheme="minorEastAsia" w:hAnsiTheme="majorBidi" w:cstheme="majorBidi"/>
                <w:iCs/>
                <w:sz w:val="20"/>
                <w:szCs w:val="16"/>
              </w:rPr>
              <w:t xml:space="preserve"> </w:t>
            </w:r>
          </w:p>
        </w:tc>
        <w:tc>
          <w:tcPr>
            <w:tcW w:w="3259" w:type="dxa"/>
          </w:tcPr>
          <w:p w14:paraId="5DEE2CC6" w14:textId="0990E157"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half-saturation constant (mg L</w:t>
            </w:r>
            <w:r w:rsidR="00065485" w:rsidRPr="005244BD">
              <w:rPr>
                <w:rFonts w:ascii="Arial" w:eastAsiaTheme="minorEastAsia" w:hAnsi="Arial" w:cs="Arial"/>
                <w:iCs/>
                <w:sz w:val="20"/>
                <w:szCs w:val="16"/>
                <w:vertAlign w:val="superscript"/>
              </w:rPr>
              <w:t>−</w:t>
            </w:r>
            <w:r w:rsidRPr="005244BD">
              <w:rPr>
                <w:rFonts w:asciiTheme="majorBidi" w:eastAsiaTheme="minorEastAsia" w:hAnsiTheme="majorBidi" w:cstheme="majorBidi"/>
                <w:iCs/>
                <w:sz w:val="20"/>
                <w:szCs w:val="16"/>
                <w:vertAlign w:val="superscript"/>
              </w:rPr>
              <w:t>1</w:t>
            </w:r>
            <w:r w:rsidRPr="005244BD">
              <w:rPr>
                <w:rFonts w:asciiTheme="majorBidi" w:eastAsiaTheme="minorEastAsia" w:hAnsiTheme="majorBidi" w:cstheme="majorBidi"/>
                <w:iCs/>
                <w:sz w:val="20"/>
                <w:szCs w:val="16"/>
              </w:rPr>
              <w:t>)</w:t>
            </w:r>
          </w:p>
        </w:tc>
        <w:tc>
          <w:tcPr>
            <w:tcW w:w="851" w:type="dxa"/>
          </w:tcPr>
          <w:p w14:paraId="6E5B3387" w14:textId="044ECBD4"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62.56</w:t>
            </w:r>
          </w:p>
        </w:tc>
        <w:tc>
          <w:tcPr>
            <w:tcW w:w="4149" w:type="dxa"/>
          </w:tcPr>
          <w:p w14:paraId="74251AE8" w14:textId="61D986B6"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fldChar w:fldCharType="begin" w:fldLock="1"/>
            </w:r>
            <w:r w:rsidR="00BF6D87" w:rsidRPr="005244BD">
              <w:rPr>
                <w:rFonts w:asciiTheme="majorBidi" w:eastAsiaTheme="minorEastAsia" w:hAnsiTheme="majorBidi" w:cstheme="majorBidi"/>
                <w:iCs/>
                <w:sz w:val="20"/>
                <w:szCs w:val="16"/>
              </w:rPr>
              <w:instrText>ADDIN CSL_CITATION {"citationItems":[{"id":"ITEM-1","itemData":{"author":[{"dropping-particle":"","family":"Mathur","given":"A K","non-dropping-particle":"","parse-names":false,"suffix":""},{"dropping-particle":"","family":"Majumder","given":"C B","non-dropping-particle":"","parse-names":false,"suffix":""}],"container-title":"Chemical and biochemical engineering quarterly","id":"ITEM-1","issue":"1","issued":{"date-parts":[["2010"]]},"page":"101-109","publisher":"Hrvatsko društvo kemijskih inženjera i tehnologa","title":"Kinetics modelling of the biodegradation of benzene, toluene and phenol as single substrate and mixed substrate by using Pseudomonas putida","type":"article-journal","volume":"24"},"uris":["http://www.mendeley.com/documents/?uuid=624ef287-b224-4ce1-a525-8278399a1590","http://www.mendeley.com/documents/?uuid=f8244007-403d-4381-8ef0-37c9b9e25f20"]}],"mendeley":{"formattedCitation":"(Mathur &amp; Majumder, 2010)","plainTextFormattedCitation":"(Mathur &amp; Majumder, 2010)","previouslyFormattedCitation":"(Mathur &amp; Majumder, 2010)"},"properties":{"noteIndex":0},"schema":"https://github.com/citation-style-language/schema/raw/master/csl-citation.json"}</w:instrText>
            </w:r>
            <w:r w:rsidRPr="005244BD">
              <w:rPr>
                <w:rFonts w:asciiTheme="majorBidi" w:eastAsiaTheme="minorEastAsia" w:hAnsiTheme="majorBidi" w:cstheme="majorBidi"/>
                <w:iCs/>
                <w:sz w:val="20"/>
                <w:szCs w:val="16"/>
              </w:rPr>
              <w:fldChar w:fldCharType="separate"/>
            </w:r>
            <w:r w:rsidRPr="005244BD">
              <w:rPr>
                <w:rFonts w:asciiTheme="majorBidi" w:eastAsiaTheme="minorEastAsia" w:hAnsiTheme="majorBidi" w:cstheme="majorBidi"/>
                <w:iCs/>
                <w:noProof/>
                <w:sz w:val="20"/>
                <w:szCs w:val="16"/>
              </w:rPr>
              <w:t>(Mathur &amp; Majumder, 2010)</w:t>
            </w:r>
            <w:r w:rsidRPr="005244BD">
              <w:rPr>
                <w:rFonts w:asciiTheme="majorBidi" w:eastAsiaTheme="minorEastAsia" w:hAnsiTheme="majorBidi" w:cstheme="majorBidi"/>
                <w:iCs/>
                <w:sz w:val="20"/>
                <w:szCs w:val="16"/>
              </w:rPr>
              <w:fldChar w:fldCharType="end"/>
            </w:r>
          </w:p>
        </w:tc>
      </w:tr>
      <w:tr w:rsidR="0063257E" w:rsidRPr="005244BD" w14:paraId="340938E8" w14:textId="4E862EB1" w:rsidTr="0063257E">
        <w:trPr>
          <w:jc w:val="center"/>
        </w:trPr>
        <w:tc>
          <w:tcPr>
            <w:tcW w:w="937" w:type="dxa"/>
            <w:vAlign w:val="center"/>
          </w:tcPr>
          <w:p w14:paraId="6B4C86B8" w14:textId="287A915F" w:rsidR="0063257E" w:rsidRPr="005244BD" w:rsidRDefault="007E5EE0" w:rsidP="005D54AF">
            <w:pPr>
              <w:spacing w:after="0" w:line="240" w:lineRule="auto"/>
              <w:rPr>
                <w:rFonts w:asciiTheme="majorBidi" w:eastAsiaTheme="minorEastAsia" w:hAnsiTheme="majorBidi" w:cstheme="majorBidi"/>
                <w:iCs/>
                <w:sz w:val="20"/>
                <w:szCs w:val="16"/>
              </w:rPr>
            </w:pPr>
            <m:oMath>
              <m:sSub>
                <m:sSubPr>
                  <m:ctrlPr>
                    <w:rPr>
                      <w:rFonts w:ascii="Cambria Math" w:eastAsiaTheme="minorEastAsia" w:hAnsi="Cambria Math" w:cstheme="majorBidi"/>
                      <w:iCs/>
                      <w:sz w:val="20"/>
                      <w:szCs w:val="16"/>
                    </w:rPr>
                  </m:ctrlPr>
                </m:sSubPr>
                <m:e>
                  <m:r>
                    <w:rPr>
                      <w:rFonts w:ascii="Cambria Math" w:eastAsiaTheme="minorEastAsia" w:hAnsi="Cambria Math" w:cstheme="majorBidi"/>
                      <w:sz w:val="20"/>
                      <w:szCs w:val="16"/>
                    </w:rPr>
                    <m:t>Y</m:t>
                  </m:r>
                </m:e>
                <m:sub>
                  <m:r>
                    <w:rPr>
                      <w:rFonts w:ascii="Cambria Math" w:eastAsiaTheme="minorEastAsia" w:hAnsi="Cambria Math" w:cstheme="majorBidi"/>
                      <w:sz w:val="20"/>
                      <w:szCs w:val="16"/>
                    </w:rPr>
                    <m:t>bio</m:t>
                  </m:r>
                </m:sub>
              </m:sSub>
            </m:oMath>
            <w:r w:rsidR="0063257E" w:rsidRPr="005244BD">
              <w:rPr>
                <w:rFonts w:asciiTheme="majorBidi" w:eastAsiaTheme="minorEastAsia" w:hAnsiTheme="majorBidi" w:cstheme="majorBidi"/>
                <w:iCs/>
                <w:sz w:val="20"/>
                <w:szCs w:val="16"/>
              </w:rPr>
              <w:t xml:space="preserve"> </w:t>
            </w:r>
          </w:p>
        </w:tc>
        <w:tc>
          <w:tcPr>
            <w:tcW w:w="3259" w:type="dxa"/>
          </w:tcPr>
          <w:p w14:paraId="3882FE71" w14:textId="6D3C0857"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yield or stoichiometric coefficient</w:t>
            </w:r>
          </w:p>
        </w:tc>
        <w:tc>
          <w:tcPr>
            <w:tcW w:w="851" w:type="dxa"/>
          </w:tcPr>
          <w:p w14:paraId="71D92FBC" w14:textId="1538A0F1"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1.28</w:t>
            </w:r>
          </w:p>
        </w:tc>
        <w:tc>
          <w:tcPr>
            <w:tcW w:w="4149" w:type="dxa"/>
          </w:tcPr>
          <w:p w14:paraId="0CBA123F" w14:textId="7111E4A8" w:rsidR="0063257E" w:rsidRPr="005244BD" w:rsidRDefault="000C789E" w:rsidP="005D54AF">
            <w:pPr>
              <w:spacing w:after="0" w:line="240" w:lineRule="auto"/>
              <w:rPr>
                <w:rFonts w:asciiTheme="majorBidi" w:eastAsiaTheme="minorEastAsia" w:hAnsiTheme="majorBidi" w:cstheme="majorBidi"/>
                <w:iCs/>
                <w:noProof/>
                <w:sz w:val="20"/>
                <w:szCs w:val="16"/>
              </w:rPr>
            </w:pPr>
            <w:r w:rsidRPr="005244BD">
              <w:rPr>
                <w:rFonts w:asciiTheme="majorBidi" w:eastAsiaTheme="minorEastAsia" w:hAnsiTheme="majorBidi" w:cstheme="majorBidi"/>
                <w:iCs/>
                <w:noProof/>
                <w:sz w:val="20"/>
                <w:szCs w:val="16"/>
              </w:rPr>
              <w:fldChar w:fldCharType="begin" w:fldLock="1"/>
            </w:r>
            <w:r w:rsidR="008C1184" w:rsidRPr="005244BD">
              <w:rPr>
                <w:rFonts w:asciiTheme="majorBidi" w:eastAsiaTheme="minorEastAsia" w:hAnsiTheme="majorBidi" w:cstheme="majorBidi"/>
                <w:iCs/>
                <w:noProof/>
                <w:sz w:val="20"/>
                <w:szCs w:val="16"/>
              </w:rPr>
              <w:instrText>ADDIN CSL_CITATION {"citationItems":[{"id":"ITEM-1","itemData":{"author":[{"dropping-particle":"","family":"Robledo-Ort\\'\\iz","given":"J R","non-dropping-particle":"","parse-names":false,"suffix":""},{"dropping-particle":"","family":"Ram\\'\\irez-Arreola","given":"D E","non-dropping-particle":"","parse-names":false,"suffix":""},{"dropping-particle":"","family":"Pérez-Fonseca","given":"A A","non-dropping-particle":"","parse-names":false,"suffix":""},{"dropping-particle":"","family":"Gómez","given":"C","non-dropping-particle":"","parse-names":false,"suffix":""},{"dropping-particle":"","family":"González-Reynoso","given":"O","non-dropping-particle":"","parse-names":false,"suffix":""},{"dropping-particle":"","family":"Ramos-Quirarte","given":"J","non-dropping-particle":"","parse-names":false,"suffix":""},{"dropping-particle":"","family":"González-Núñez","given":"R","non-dropping-particle":"","parse-names":false,"suffix":""}],"container-title":"International biodeterioration &amp; biodegradation","id":"ITEM-1","issue":"3","issued":{"date-parts":[["2011"]]},"page":"539-546","publisher":"Elsevier","title":"Benzene, toluene, and o-xylene degradation by free and immobilized P. putida F1 of postconsumer agave-fiber/polymer foamed composites","type":"article-journal","volume":"65"},"uris":["http://www.mendeley.com/documents/?uuid=dac77e5a-d0ea-44d4-b98a-d1a5f52484e6"]}],"mendeley":{"formattedCitation":"(Robledo-Ort\\’\\iz et al., 2011)","manualFormatting":"(Robledo- Ortíz et al., 2011)","plainTextFormattedCitation":"(Robledo-Ort\\’\\iz et al., 2011)","previouslyFormattedCitation":"(Robledo-Ort\\’\\iz et al., 2011)"},"properties":{"noteIndex":0},"schema":"https://github.com/citation-style-language/schema/raw/master/csl-citation.json"}</w:instrText>
            </w:r>
            <w:r w:rsidRPr="005244BD">
              <w:rPr>
                <w:rFonts w:asciiTheme="majorBidi" w:eastAsiaTheme="minorEastAsia" w:hAnsiTheme="majorBidi" w:cstheme="majorBidi"/>
                <w:iCs/>
                <w:noProof/>
                <w:sz w:val="20"/>
                <w:szCs w:val="16"/>
              </w:rPr>
              <w:fldChar w:fldCharType="separate"/>
            </w:r>
            <w:r w:rsidRPr="005244BD">
              <w:rPr>
                <w:rFonts w:asciiTheme="majorBidi" w:eastAsiaTheme="minorEastAsia" w:hAnsiTheme="majorBidi" w:cstheme="majorBidi"/>
                <w:iCs/>
                <w:noProof/>
                <w:sz w:val="20"/>
                <w:szCs w:val="16"/>
              </w:rPr>
              <w:t>(Robledo- Ortíz et al., 2011)</w:t>
            </w:r>
            <w:r w:rsidRPr="005244BD">
              <w:rPr>
                <w:rFonts w:asciiTheme="majorBidi" w:eastAsiaTheme="minorEastAsia" w:hAnsiTheme="majorBidi" w:cstheme="majorBidi"/>
                <w:iCs/>
                <w:noProof/>
                <w:sz w:val="20"/>
                <w:szCs w:val="16"/>
              </w:rPr>
              <w:fldChar w:fldCharType="end"/>
            </w:r>
            <w:r w:rsidR="00D02533" w:rsidRPr="005244BD">
              <w:rPr>
                <w:rFonts w:asciiTheme="majorBidi" w:eastAsiaTheme="minorEastAsia" w:hAnsiTheme="majorBidi" w:cstheme="majorBidi"/>
                <w:iCs/>
                <w:noProof/>
                <w:sz w:val="20"/>
                <w:szCs w:val="16"/>
                <w:vertAlign w:val="superscript"/>
              </w:rPr>
              <w:t>*</w:t>
            </w:r>
          </w:p>
        </w:tc>
      </w:tr>
      <w:tr w:rsidR="0063257E" w:rsidRPr="005244BD" w14:paraId="36825126" w14:textId="595ABB79" w:rsidTr="0063257E">
        <w:trPr>
          <w:jc w:val="center"/>
        </w:trPr>
        <w:tc>
          <w:tcPr>
            <w:tcW w:w="937" w:type="dxa"/>
            <w:vAlign w:val="center"/>
          </w:tcPr>
          <w:p w14:paraId="60D8EEA0" w14:textId="18F997A4" w:rsidR="0063257E" w:rsidRPr="005244BD" w:rsidRDefault="007E5EE0" w:rsidP="005D54AF">
            <w:pPr>
              <w:spacing w:after="0" w:line="240" w:lineRule="auto"/>
              <w:rPr>
                <w:rFonts w:asciiTheme="majorBidi" w:eastAsiaTheme="minorEastAsia" w:hAnsiTheme="majorBidi" w:cstheme="majorBidi"/>
                <w:iCs/>
                <w:sz w:val="20"/>
                <w:szCs w:val="16"/>
              </w:rPr>
            </w:pPr>
            <m:oMath>
              <m:sSub>
                <m:sSubPr>
                  <m:ctrlPr>
                    <w:rPr>
                      <w:rFonts w:ascii="Cambria Math" w:eastAsiaTheme="minorEastAsia" w:hAnsi="Cambria Math" w:cstheme="majorBidi"/>
                      <w:iCs/>
                      <w:sz w:val="20"/>
                      <w:szCs w:val="16"/>
                    </w:rPr>
                  </m:ctrlPr>
                </m:sSubPr>
                <m:e>
                  <m:r>
                    <w:rPr>
                      <w:rFonts w:ascii="Cambria Math" w:eastAsiaTheme="minorEastAsia" w:hAnsi="Cambria Math" w:cstheme="majorBidi"/>
                      <w:sz w:val="20"/>
                      <w:szCs w:val="16"/>
                    </w:rPr>
                    <m:t>ρ</m:t>
                  </m:r>
                </m:e>
                <m:sub>
                  <m:r>
                    <m:rPr>
                      <m:sty m:val="p"/>
                    </m:rPr>
                    <w:rPr>
                      <w:rFonts w:ascii="Cambria Math" w:eastAsiaTheme="minorEastAsia" w:hAnsi="Cambria Math" w:cstheme="majorBidi"/>
                      <w:sz w:val="20"/>
                      <w:szCs w:val="16"/>
                    </w:rPr>
                    <m:t>bio</m:t>
                  </m:r>
                </m:sub>
              </m:sSub>
            </m:oMath>
            <w:r w:rsidR="0063257E" w:rsidRPr="005244BD">
              <w:rPr>
                <w:rFonts w:asciiTheme="majorBidi" w:eastAsiaTheme="minorEastAsia" w:hAnsiTheme="majorBidi" w:cstheme="majorBidi"/>
                <w:iCs/>
                <w:sz w:val="20"/>
                <w:szCs w:val="16"/>
              </w:rPr>
              <w:t xml:space="preserve"> </w:t>
            </w:r>
          </w:p>
        </w:tc>
        <w:tc>
          <w:tcPr>
            <w:tcW w:w="3259" w:type="dxa"/>
          </w:tcPr>
          <w:p w14:paraId="730B00CC" w14:textId="16216986"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bacterial density (g cm</w:t>
            </w:r>
            <w:r w:rsidR="00065485" w:rsidRPr="005244BD">
              <w:rPr>
                <w:rFonts w:ascii="Arial" w:eastAsiaTheme="minorEastAsia" w:hAnsi="Arial" w:cs="Arial"/>
                <w:iCs/>
                <w:sz w:val="20"/>
                <w:szCs w:val="16"/>
                <w:vertAlign w:val="superscript"/>
              </w:rPr>
              <w:t>−</w:t>
            </w:r>
            <w:r w:rsidRPr="005244BD">
              <w:rPr>
                <w:rFonts w:asciiTheme="majorBidi" w:eastAsiaTheme="minorEastAsia" w:hAnsiTheme="majorBidi" w:cstheme="majorBidi"/>
                <w:iCs/>
                <w:sz w:val="20"/>
                <w:szCs w:val="16"/>
                <w:vertAlign w:val="superscript"/>
              </w:rPr>
              <w:t>3</w:t>
            </w:r>
            <w:r w:rsidRPr="005244BD">
              <w:rPr>
                <w:rFonts w:asciiTheme="majorBidi" w:eastAsiaTheme="minorEastAsia" w:hAnsiTheme="majorBidi" w:cstheme="majorBidi"/>
                <w:iCs/>
                <w:sz w:val="20"/>
                <w:szCs w:val="16"/>
              </w:rPr>
              <w:t>)</w:t>
            </w:r>
          </w:p>
        </w:tc>
        <w:tc>
          <w:tcPr>
            <w:tcW w:w="851" w:type="dxa"/>
          </w:tcPr>
          <w:p w14:paraId="7D4761DD" w14:textId="1467F412"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1</w:t>
            </w:r>
          </w:p>
        </w:tc>
        <w:tc>
          <w:tcPr>
            <w:tcW w:w="4149" w:type="dxa"/>
          </w:tcPr>
          <w:p w14:paraId="08D700D4" w14:textId="567DFA7D"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fldChar w:fldCharType="begin" w:fldLock="1"/>
            </w:r>
            <w:r w:rsidR="00BF6D87" w:rsidRPr="005244BD">
              <w:rPr>
                <w:rFonts w:asciiTheme="majorBidi" w:eastAsiaTheme="minorEastAsia" w:hAnsiTheme="majorBidi" w:cstheme="majorBidi"/>
                <w:iCs/>
                <w:sz w:val="20"/>
                <w:szCs w:val="16"/>
              </w:rPr>
              <w:instrText>ADDIN CSL_CITATION {"citationItems":[{"id":"ITEM-1","itemData":{"author":[{"dropping-particle":"","family":"Zhang","given":"Tian C","non-dropping-particle":"","parse-names":false,"suffix":""},{"dropping-particle":"","family":"Bishop","given":"Paul L","non-dropping-particle":"","parse-names":false,"suffix":""}],"container-title":"Water Research","id":"ITEM-1","issue":"11","issued":{"date-parts":[["1994"]]},"page":"2267-2277","publisher":"Elsevier","title":"Density, porosity, and pore structure of biofilms","type":"article-journal","volume":"28"},"uris":["http://www.mendeley.com/documents/?uuid=4dc7bfb9-7379-45d8-bcc9-62a2d0ac842b","http://www.mendeley.com/documents/?uuid=2595c425-daeb-40df-a8c9-61b2d0c30515"]}],"mendeley":{"formattedCitation":"(T. C. Zhang &amp; Bishop, 1994)","manualFormatting":"(Zhang &amp; Bishop, 1994)","plainTextFormattedCitation":"(T. C. Zhang &amp; Bishop, 1994)","previouslyFormattedCitation":"(T. C. Zhang &amp; Bishop, 1994)"},"properties":{"noteIndex":0},"schema":"https://github.com/citation-style-language/schema/raw/master/csl-citation.json"}</w:instrText>
            </w:r>
            <w:r w:rsidRPr="005244BD">
              <w:rPr>
                <w:rFonts w:asciiTheme="majorBidi" w:eastAsiaTheme="minorEastAsia" w:hAnsiTheme="majorBidi" w:cstheme="majorBidi"/>
                <w:iCs/>
                <w:sz w:val="20"/>
                <w:szCs w:val="16"/>
              </w:rPr>
              <w:fldChar w:fldCharType="separate"/>
            </w:r>
            <w:r w:rsidRPr="005244BD">
              <w:rPr>
                <w:rFonts w:asciiTheme="majorBidi" w:eastAsiaTheme="minorEastAsia" w:hAnsiTheme="majorBidi" w:cstheme="majorBidi"/>
                <w:iCs/>
                <w:noProof/>
                <w:sz w:val="20"/>
                <w:szCs w:val="16"/>
              </w:rPr>
              <w:t>(Zhang &amp; Bishop, 1994)</w:t>
            </w:r>
            <w:r w:rsidRPr="005244BD">
              <w:rPr>
                <w:rFonts w:asciiTheme="majorBidi" w:eastAsiaTheme="minorEastAsia" w:hAnsiTheme="majorBidi" w:cstheme="majorBidi"/>
                <w:iCs/>
                <w:sz w:val="20"/>
                <w:szCs w:val="16"/>
              </w:rPr>
              <w:fldChar w:fldCharType="end"/>
            </w:r>
          </w:p>
        </w:tc>
      </w:tr>
      <w:tr w:rsidR="0063257E" w:rsidRPr="005244BD" w14:paraId="295CDAF4" w14:textId="3B477FC3" w:rsidTr="0063257E">
        <w:trPr>
          <w:jc w:val="center"/>
        </w:trPr>
        <w:tc>
          <w:tcPr>
            <w:tcW w:w="937" w:type="dxa"/>
            <w:vAlign w:val="center"/>
          </w:tcPr>
          <w:p w14:paraId="406FEE01" w14:textId="2815BF38" w:rsidR="0063257E" w:rsidRPr="005244BD" w:rsidRDefault="007E5EE0" w:rsidP="005D54AF">
            <w:pPr>
              <w:spacing w:after="0" w:line="240" w:lineRule="auto"/>
              <w:rPr>
                <w:rFonts w:asciiTheme="majorBidi" w:eastAsiaTheme="minorEastAsia" w:hAnsiTheme="majorBidi" w:cstheme="majorBidi"/>
                <w:iCs/>
                <w:sz w:val="20"/>
                <w:szCs w:val="16"/>
              </w:rPr>
            </w:pPr>
            <m:oMath>
              <m:sSub>
                <m:sSubPr>
                  <m:ctrlPr>
                    <w:rPr>
                      <w:rFonts w:ascii="Cambria Math" w:eastAsiaTheme="minorEastAsia" w:hAnsi="Cambria Math" w:cstheme="majorBidi"/>
                      <w:iCs/>
                      <w:sz w:val="20"/>
                      <w:szCs w:val="16"/>
                    </w:rPr>
                  </m:ctrlPr>
                </m:sSubPr>
                <m:e>
                  <m:r>
                    <w:rPr>
                      <w:rFonts w:ascii="Cambria Math" w:eastAsiaTheme="minorEastAsia" w:hAnsi="Cambria Math" w:cstheme="majorBidi"/>
                      <w:sz w:val="20"/>
                      <w:szCs w:val="16"/>
                    </w:rPr>
                    <m:t>K</m:t>
                  </m:r>
                </m:e>
                <m:sub>
                  <m:r>
                    <m:rPr>
                      <m:sty m:val="p"/>
                    </m:rPr>
                    <w:rPr>
                      <w:rFonts w:ascii="Cambria Math" w:eastAsiaTheme="minorEastAsia" w:hAnsi="Cambria Math" w:cstheme="majorBidi"/>
                      <w:sz w:val="20"/>
                      <w:szCs w:val="16"/>
                    </w:rPr>
                    <m:t>ext</m:t>
                  </m:r>
                </m:sub>
              </m:sSub>
            </m:oMath>
            <w:r w:rsidR="0063257E" w:rsidRPr="005244BD">
              <w:rPr>
                <w:rFonts w:asciiTheme="majorBidi" w:eastAsiaTheme="minorEastAsia" w:hAnsiTheme="majorBidi" w:cstheme="majorBidi"/>
                <w:iCs/>
                <w:sz w:val="20"/>
                <w:szCs w:val="16"/>
              </w:rPr>
              <w:t xml:space="preserve"> </w:t>
            </w:r>
          </w:p>
        </w:tc>
        <w:tc>
          <w:tcPr>
            <w:tcW w:w="3259" w:type="dxa"/>
          </w:tcPr>
          <w:p w14:paraId="610B7D89" w14:textId="1ADA05E2"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extinction coefficient (h</w:t>
            </w:r>
            <w:r w:rsidR="00065485" w:rsidRPr="005244BD">
              <w:rPr>
                <w:rFonts w:ascii="Arial" w:eastAsiaTheme="minorEastAsia" w:hAnsi="Arial" w:cs="Arial"/>
                <w:iCs/>
                <w:sz w:val="20"/>
                <w:szCs w:val="16"/>
                <w:vertAlign w:val="superscript"/>
              </w:rPr>
              <w:t>−</w:t>
            </w:r>
            <w:r w:rsidRPr="005244BD">
              <w:rPr>
                <w:rFonts w:asciiTheme="majorBidi" w:eastAsiaTheme="minorEastAsia" w:hAnsiTheme="majorBidi" w:cstheme="majorBidi"/>
                <w:iCs/>
                <w:sz w:val="20"/>
                <w:szCs w:val="16"/>
                <w:vertAlign w:val="superscript"/>
              </w:rPr>
              <w:t>1</w:t>
            </w:r>
            <w:r w:rsidRPr="005244BD">
              <w:rPr>
                <w:rFonts w:asciiTheme="majorBidi" w:eastAsiaTheme="minorEastAsia" w:hAnsiTheme="majorBidi" w:cstheme="majorBidi"/>
                <w:iCs/>
                <w:sz w:val="20"/>
                <w:szCs w:val="16"/>
              </w:rPr>
              <w:t>)</w:t>
            </w:r>
          </w:p>
        </w:tc>
        <w:tc>
          <w:tcPr>
            <w:tcW w:w="851" w:type="dxa"/>
          </w:tcPr>
          <w:p w14:paraId="210A75FB" w14:textId="7C135791"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0.0086</w:t>
            </w:r>
          </w:p>
        </w:tc>
        <w:tc>
          <w:tcPr>
            <w:tcW w:w="4149" w:type="dxa"/>
          </w:tcPr>
          <w:p w14:paraId="40FD1EE7" w14:textId="3F7EF810"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 xml:space="preserve">5% of the maximum specific growth rate </w:t>
            </w:r>
          </w:p>
        </w:tc>
      </w:tr>
      <w:tr w:rsidR="0063257E" w:rsidRPr="005244BD" w14:paraId="7C0B350A" w14:textId="49974D33" w:rsidTr="0063257E">
        <w:trPr>
          <w:trHeight w:val="382"/>
          <w:jc w:val="center"/>
        </w:trPr>
        <w:tc>
          <w:tcPr>
            <w:tcW w:w="937" w:type="dxa"/>
            <w:vAlign w:val="center"/>
          </w:tcPr>
          <w:p w14:paraId="6A488207" w14:textId="712470F6" w:rsidR="0063257E" w:rsidRPr="005244BD" w:rsidRDefault="007E5EE0" w:rsidP="005D54AF">
            <w:pPr>
              <w:spacing w:after="0" w:line="240" w:lineRule="auto"/>
              <w:rPr>
                <w:rFonts w:asciiTheme="majorBidi" w:eastAsiaTheme="minorEastAsia" w:hAnsiTheme="majorBidi" w:cstheme="majorBidi"/>
                <w:iCs/>
                <w:sz w:val="20"/>
                <w:szCs w:val="16"/>
              </w:rPr>
            </w:pPr>
            <m:oMath>
              <m:sSub>
                <m:sSubPr>
                  <m:ctrlPr>
                    <w:rPr>
                      <w:rFonts w:ascii="Cambria Math" w:eastAsiaTheme="minorEastAsia" w:hAnsi="Cambria Math" w:cs="Times New Roman"/>
                      <w:i/>
                      <w:sz w:val="20"/>
                      <w:szCs w:val="16"/>
                    </w:rPr>
                  </m:ctrlPr>
                </m:sSubPr>
                <m:e>
                  <m:r>
                    <w:rPr>
                      <w:rFonts w:ascii="Cambria Math" w:eastAsiaTheme="minorEastAsia" w:hAnsi="Cambria Math" w:cs="Times New Roman"/>
                      <w:sz w:val="20"/>
                      <w:szCs w:val="16"/>
                    </w:rPr>
                    <m:t>K</m:t>
                  </m:r>
                </m:e>
                <m:sub>
                  <m:r>
                    <m:rPr>
                      <m:sty m:val="p"/>
                    </m:rPr>
                    <w:rPr>
                      <w:rFonts w:ascii="Cambria Math" w:eastAsiaTheme="minorEastAsia" w:hAnsi="Cambria Math" w:cs="Times New Roman"/>
                      <w:sz w:val="20"/>
                      <w:szCs w:val="16"/>
                    </w:rPr>
                    <m:t>part</m:t>
                  </m:r>
                </m:sub>
              </m:sSub>
            </m:oMath>
            <w:r w:rsidR="0063257E" w:rsidRPr="005244BD">
              <w:rPr>
                <w:rFonts w:asciiTheme="majorBidi" w:eastAsiaTheme="minorEastAsia" w:hAnsiTheme="majorBidi" w:cstheme="majorBidi"/>
                <w:iCs/>
                <w:sz w:val="20"/>
                <w:szCs w:val="16"/>
              </w:rPr>
              <w:t xml:space="preserve"> </w:t>
            </w:r>
          </w:p>
        </w:tc>
        <w:tc>
          <w:tcPr>
            <w:tcW w:w="3259" w:type="dxa"/>
          </w:tcPr>
          <w:p w14:paraId="5EDE0777" w14:textId="3D2215A4"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partitioning coefficient</w:t>
            </w:r>
          </w:p>
        </w:tc>
        <w:tc>
          <w:tcPr>
            <w:tcW w:w="851" w:type="dxa"/>
          </w:tcPr>
          <w:p w14:paraId="7AB13A01" w14:textId="10DBE49D"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1.5</w:t>
            </w:r>
          </w:p>
        </w:tc>
        <w:tc>
          <w:tcPr>
            <w:tcW w:w="4149" w:type="dxa"/>
          </w:tcPr>
          <w:p w14:paraId="4C7969BB" w14:textId="39FF782F"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fldChar w:fldCharType="begin" w:fldLock="1"/>
            </w:r>
            <w:r w:rsidR="00BF6D87" w:rsidRPr="005244BD">
              <w:rPr>
                <w:rFonts w:asciiTheme="majorBidi" w:eastAsiaTheme="minorEastAsia" w:hAnsiTheme="majorBidi" w:cstheme="majorBidi"/>
                <w:iCs/>
                <w:sz w:val="20"/>
                <w:szCs w:val="16"/>
              </w:rPr>
              <w:instrText>ADDIN CSL_CITATION {"citationItems":[{"id":"ITEM-1","itemData":{"author":[{"dropping-particle":"","family":"McCray","given":"John E","non-dropping-particle":"","parse-names":false,"suffix":""},{"dropping-particle":"","family":"Bai","given":"Guiyun","non-dropping-particle":"","parse-names":false,"suffix":""},{"dropping-particle":"","family":"Maier","given":"Raina M","non-dropping-particle":"","parse-names":false,"suffix":""},{"dropping-particle":"","family":"Brusseau","given":"Mark L","non-dropping-particle":"","parse-names":false,"suffix":""}],"container-title":"Journal of Contaminant Hydrology","id":"ITEM-1","issue":"1-2","issued":{"date-parts":[["2001"]]},"page":"45-68","publisher":"Elsevier","title":"Biosurfactant-enhanced solubilization of NAPL mixtures","type":"article-journal","volume":"48"},"uris":["http://www.mendeley.com/documents/?uuid=75c329b1-fee8-4588-adf7-97531280f775","http://www.mendeley.com/documents/?uuid=697467d1-3391-45d6-b822-496ce0a7468c"]}],"mendeley":{"formattedCitation":"(McCray et al., 2001)","plainTextFormattedCitation":"(McCray et al., 2001)","previouslyFormattedCitation":"(McCray et al., 2001)"},"properties":{"noteIndex":0},"schema":"https://github.com/citation-style-language/schema/raw/master/csl-citation.json"}</w:instrText>
            </w:r>
            <w:r w:rsidRPr="005244BD">
              <w:rPr>
                <w:rFonts w:asciiTheme="majorBidi" w:eastAsiaTheme="minorEastAsia" w:hAnsiTheme="majorBidi" w:cstheme="majorBidi"/>
                <w:iCs/>
                <w:sz w:val="20"/>
                <w:szCs w:val="16"/>
              </w:rPr>
              <w:fldChar w:fldCharType="separate"/>
            </w:r>
            <w:r w:rsidRPr="005244BD">
              <w:rPr>
                <w:rFonts w:asciiTheme="majorBidi" w:eastAsiaTheme="minorEastAsia" w:hAnsiTheme="majorBidi" w:cstheme="majorBidi"/>
                <w:iCs/>
                <w:noProof/>
                <w:sz w:val="20"/>
                <w:szCs w:val="16"/>
              </w:rPr>
              <w:t>(McCray et al., 2001)</w:t>
            </w:r>
            <w:r w:rsidRPr="005244BD">
              <w:rPr>
                <w:rFonts w:asciiTheme="majorBidi" w:eastAsiaTheme="minorEastAsia" w:hAnsiTheme="majorBidi" w:cstheme="majorBidi"/>
                <w:iCs/>
                <w:sz w:val="20"/>
                <w:szCs w:val="16"/>
              </w:rPr>
              <w:fldChar w:fldCharType="end"/>
            </w:r>
          </w:p>
        </w:tc>
      </w:tr>
      <w:tr w:rsidR="0063257E" w:rsidRPr="005244BD" w14:paraId="7492ACB4" w14:textId="77777777" w:rsidTr="000C0BBA">
        <w:trPr>
          <w:trHeight w:val="382"/>
          <w:jc w:val="center"/>
        </w:trPr>
        <w:tc>
          <w:tcPr>
            <w:tcW w:w="937" w:type="dxa"/>
            <w:vAlign w:val="center"/>
          </w:tcPr>
          <w:p w14:paraId="166C9A99" w14:textId="4674EA81" w:rsidR="0063257E" w:rsidRPr="005244BD" w:rsidRDefault="007E5EE0" w:rsidP="005D54AF">
            <w:pPr>
              <w:spacing w:after="0" w:line="240" w:lineRule="auto"/>
              <w:rPr>
                <w:rFonts w:asciiTheme="majorBidi" w:eastAsiaTheme="minorEastAsia" w:hAnsiTheme="majorBidi" w:cstheme="majorBidi"/>
                <w:iCs/>
                <w:sz w:val="20"/>
                <w:szCs w:val="16"/>
              </w:rPr>
            </w:pPr>
            <m:oMath>
              <m:sSub>
                <m:sSubPr>
                  <m:ctrlPr>
                    <w:rPr>
                      <w:rFonts w:ascii="Cambria Math" w:eastAsiaTheme="minorEastAsia" w:hAnsi="Cambria Math" w:cstheme="majorBidi"/>
                      <w:iCs/>
                      <w:sz w:val="20"/>
                      <w:szCs w:val="16"/>
                    </w:rPr>
                  </m:ctrlPr>
                </m:sSubPr>
                <m:e>
                  <m:r>
                    <w:rPr>
                      <w:rFonts w:ascii="Cambria Math" w:eastAsiaTheme="minorEastAsia" w:hAnsi="Cambria Math" w:cstheme="majorBidi"/>
                      <w:sz w:val="20"/>
                      <w:szCs w:val="16"/>
                    </w:rPr>
                    <m:t>V</m:t>
                  </m:r>
                </m:e>
                <m:sub>
                  <m:r>
                    <m:rPr>
                      <m:sty m:val="p"/>
                    </m:rPr>
                    <w:rPr>
                      <w:rFonts w:ascii="Cambria Math" w:eastAsiaTheme="minorEastAsia" w:hAnsi="Cambria Math" w:cstheme="majorBidi"/>
                      <w:sz w:val="20"/>
                      <w:szCs w:val="16"/>
                    </w:rPr>
                    <m:t>colony</m:t>
                  </m:r>
                </m:sub>
              </m:sSub>
            </m:oMath>
            <w:r w:rsidR="0063257E" w:rsidRPr="005244BD">
              <w:rPr>
                <w:rFonts w:asciiTheme="majorBidi" w:eastAsiaTheme="minorEastAsia" w:hAnsiTheme="majorBidi" w:cstheme="majorBidi"/>
                <w:iCs/>
                <w:sz w:val="20"/>
                <w:szCs w:val="16"/>
              </w:rPr>
              <w:t xml:space="preserve"> </w:t>
            </w:r>
          </w:p>
        </w:tc>
        <w:tc>
          <w:tcPr>
            <w:tcW w:w="3259" w:type="dxa"/>
          </w:tcPr>
          <w:p w14:paraId="27C6C702" w14:textId="6A09900E"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 xml:space="preserve">volume of colony </w:t>
            </w:r>
            <m:oMath>
              <m:sSup>
                <m:sSupPr>
                  <m:ctrlPr>
                    <w:rPr>
                      <w:rFonts w:ascii="Cambria Math" w:eastAsiaTheme="minorEastAsia" w:hAnsi="Cambria Math" w:cstheme="majorBidi"/>
                      <w:iCs/>
                      <w:sz w:val="20"/>
                      <w:szCs w:val="16"/>
                    </w:rPr>
                  </m:ctrlPr>
                </m:sSupPr>
                <m:e>
                  <m:r>
                    <w:rPr>
                      <w:rFonts w:ascii="Cambria Math" w:eastAsiaTheme="minorEastAsia" w:hAnsi="Cambria Math" w:cstheme="majorBidi"/>
                      <w:sz w:val="20"/>
                      <w:szCs w:val="16"/>
                    </w:rPr>
                    <m:t>μ</m:t>
                  </m:r>
                  <m:r>
                    <m:rPr>
                      <m:sty m:val="p"/>
                    </m:rPr>
                    <w:rPr>
                      <w:rFonts w:ascii="Cambria Math" w:eastAsiaTheme="minorEastAsia" w:hAnsi="Cambria Math" w:cstheme="majorBidi"/>
                      <w:sz w:val="20"/>
                      <w:szCs w:val="16"/>
                    </w:rPr>
                    <m:t>m</m:t>
                  </m:r>
                </m:e>
                <m:sup>
                  <m:r>
                    <m:rPr>
                      <m:sty m:val="p"/>
                    </m:rPr>
                    <w:rPr>
                      <w:rFonts w:ascii="Cambria Math" w:eastAsiaTheme="minorEastAsia" w:hAnsi="Cambria Math" w:cstheme="majorBidi"/>
                      <w:sz w:val="20"/>
                      <w:szCs w:val="16"/>
                    </w:rPr>
                    <m:t>3</m:t>
                  </m:r>
                </m:sup>
              </m:sSup>
            </m:oMath>
          </w:p>
        </w:tc>
        <w:tc>
          <w:tcPr>
            <w:tcW w:w="851" w:type="dxa"/>
          </w:tcPr>
          <w:p w14:paraId="5F73A377" w14:textId="06D1556C"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1</w:t>
            </w:r>
          </w:p>
        </w:tc>
        <w:tc>
          <w:tcPr>
            <w:tcW w:w="4149" w:type="dxa"/>
          </w:tcPr>
          <w:p w14:paraId="7252FBCC" w14:textId="26A3942C" w:rsidR="0063257E" w:rsidRPr="005244BD" w:rsidRDefault="00234BF0"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E</w:t>
            </w:r>
            <w:r w:rsidR="0063257E" w:rsidRPr="005244BD">
              <w:rPr>
                <w:rFonts w:asciiTheme="majorBidi" w:eastAsiaTheme="minorEastAsia" w:hAnsiTheme="majorBidi" w:cstheme="majorBidi"/>
                <w:iCs/>
                <w:sz w:val="20"/>
                <w:szCs w:val="16"/>
              </w:rPr>
              <w:t>stimated</w:t>
            </w:r>
          </w:p>
        </w:tc>
      </w:tr>
      <w:tr w:rsidR="0063257E" w:rsidRPr="005244BD" w14:paraId="79D6C7C7" w14:textId="77777777" w:rsidTr="000C0BBA">
        <w:trPr>
          <w:trHeight w:val="382"/>
          <w:jc w:val="center"/>
        </w:trPr>
        <w:tc>
          <w:tcPr>
            <w:tcW w:w="937" w:type="dxa"/>
            <w:tcBorders>
              <w:bottom w:val="single" w:sz="4" w:space="0" w:color="auto"/>
            </w:tcBorders>
            <w:vAlign w:val="center"/>
          </w:tcPr>
          <w:p w14:paraId="5AEAB109" w14:textId="1C6B5F6B" w:rsidR="0063257E" w:rsidRPr="005244BD" w:rsidRDefault="007E5EE0" w:rsidP="005D54AF">
            <w:pPr>
              <w:spacing w:after="0" w:line="240" w:lineRule="auto"/>
              <w:rPr>
                <w:rFonts w:asciiTheme="majorBidi" w:eastAsiaTheme="minorEastAsia" w:hAnsiTheme="majorBidi" w:cstheme="majorBidi"/>
                <w:iCs/>
                <w:sz w:val="20"/>
                <w:szCs w:val="16"/>
              </w:rPr>
            </w:pPr>
            <m:oMath>
              <m:sSubSup>
                <m:sSubSupPr>
                  <m:ctrlPr>
                    <w:rPr>
                      <w:rFonts w:ascii="Cambria Math" w:eastAsiaTheme="minorEastAsia" w:hAnsi="Cambria Math" w:cstheme="majorBidi"/>
                      <w:iCs/>
                      <w:sz w:val="20"/>
                      <w:szCs w:val="16"/>
                    </w:rPr>
                  </m:ctrlPr>
                </m:sSubSupPr>
                <m:e>
                  <m:r>
                    <w:rPr>
                      <w:rFonts w:ascii="Cambria Math" w:eastAsiaTheme="minorEastAsia" w:hAnsi="Cambria Math" w:cstheme="majorBidi"/>
                      <w:sz w:val="20"/>
                      <w:szCs w:val="16"/>
                    </w:rPr>
                    <m:t>N</m:t>
                  </m:r>
                </m:e>
                <m:sub>
                  <m:r>
                    <m:rPr>
                      <m:sty m:val="p"/>
                    </m:rPr>
                    <w:rPr>
                      <w:rFonts w:ascii="Cambria Math" w:eastAsiaTheme="minorEastAsia" w:hAnsi="Cambria Math" w:cstheme="majorBidi"/>
                      <w:sz w:val="20"/>
                      <w:szCs w:val="16"/>
                    </w:rPr>
                    <m:t>colony,</m:t>
                  </m:r>
                  <m:r>
                    <w:rPr>
                      <w:rFonts w:ascii="Cambria Math" w:eastAsiaTheme="minorEastAsia" w:hAnsi="Cambria Math" w:cstheme="majorBidi"/>
                      <w:sz w:val="20"/>
                      <w:szCs w:val="16"/>
                    </w:rPr>
                    <m:t>i</m:t>
                  </m:r>
                </m:sub>
                <m:sup>
                  <m:r>
                    <w:rPr>
                      <w:rFonts w:ascii="Cambria Math" w:eastAsiaTheme="minorEastAsia" w:hAnsi="Cambria Math" w:cstheme="majorBidi"/>
                      <w:sz w:val="20"/>
                      <w:szCs w:val="16"/>
                    </w:rPr>
                    <m:t>t</m:t>
                  </m:r>
                  <m:r>
                    <m:rPr>
                      <m:sty m:val="p"/>
                    </m:rPr>
                    <w:rPr>
                      <w:rFonts w:ascii="Cambria Math" w:eastAsiaTheme="minorEastAsia" w:hAnsi="Cambria Math" w:cstheme="majorBidi"/>
                      <w:sz w:val="20"/>
                      <w:szCs w:val="16"/>
                    </w:rPr>
                    <m:t>=0</m:t>
                  </m:r>
                </m:sup>
              </m:sSubSup>
            </m:oMath>
            <w:r w:rsidR="0063257E" w:rsidRPr="005244BD">
              <w:rPr>
                <w:rFonts w:asciiTheme="majorBidi" w:eastAsiaTheme="minorEastAsia" w:hAnsiTheme="majorBidi" w:cstheme="majorBidi"/>
                <w:iCs/>
                <w:sz w:val="20"/>
                <w:szCs w:val="16"/>
              </w:rPr>
              <w:t xml:space="preserve"> </w:t>
            </w:r>
          </w:p>
        </w:tc>
        <w:tc>
          <w:tcPr>
            <w:tcW w:w="3259" w:type="dxa"/>
            <w:tcBorders>
              <w:bottom w:val="single" w:sz="4" w:space="0" w:color="auto"/>
            </w:tcBorders>
          </w:tcPr>
          <w:p w14:paraId="5645C7F6" w14:textId="0540A611"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initial number of colonies</w:t>
            </w:r>
          </w:p>
        </w:tc>
        <w:tc>
          <w:tcPr>
            <w:tcW w:w="851" w:type="dxa"/>
            <w:tcBorders>
              <w:bottom w:val="single" w:sz="4" w:space="0" w:color="auto"/>
            </w:tcBorders>
          </w:tcPr>
          <w:p w14:paraId="78969DA1" w14:textId="0FCD691A"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10</w:t>
            </w:r>
          </w:p>
        </w:tc>
        <w:tc>
          <w:tcPr>
            <w:tcW w:w="4149" w:type="dxa"/>
            <w:tcBorders>
              <w:bottom w:val="single" w:sz="4" w:space="0" w:color="auto"/>
            </w:tcBorders>
          </w:tcPr>
          <w:p w14:paraId="452A10E4" w14:textId="50F3A69E" w:rsidR="0063257E" w:rsidRPr="005244BD" w:rsidRDefault="0063257E" w:rsidP="005D54AF">
            <w:pPr>
              <w:spacing w:after="0" w:line="240" w:lineRule="auto"/>
              <w:rPr>
                <w:rFonts w:asciiTheme="majorBidi" w:eastAsiaTheme="minorEastAsia" w:hAnsiTheme="majorBidi" w:cstheme="majorBidi"/>
                <w:iCs/>
                <w:sz w:val="20"/>
                <w:szCs w:val="16"/>
              </w:rPr>
            </w:pPr>
            <w:r w:rsidRPr="005244BD">
              <w:rPr>
                <w:rFonts w:asciiTheme="majorBidi" w:eastAsiaTheme="minorEastAsia" w:hAnsiTheme="majorBidi" w:cstheme="majorBidi"/>
                <w:iCs/>
                <w:sz w:val="20"/>
                <w:szCs w:val="16"/>
              </w:rPr>
              <w:t>estimated</w:t>
            </w:r>
          </w:p>
        </w:tc>
      </w:tr>
    </w:tbl>
    <w:p w14:paraId="75012726" w14:textId="77777777" w:rsidR="00067F48" w:rsidRPr="005244BD" w:rsidRDefault="00067F48" w:rsidP="00067F48"/>
    <w:p w14:paraId="757997C0" w14:textId="0E91D39D" w:rsidR="00B73987" w:rsidRPr="005244BD" w:rsidRDefault="007049CE" w:rsidP="00F557CD">
      <w:pPr>
        <w:pStyle w:val="Heading1"/>
        <w:spacing w:line="480" w:lineRule="auto"/>
        <w:rPr>
          <w:rFonts w:asciiTheme="majorBidi" w:hAnsiTheme="majorBidi"/>
        </w:rPr>
      </w:pPr>
      <w:r w:rsidRPr="005244BD">
        <w:rPr>
          <w:rFonts w:asciiTheme="majorBidi" w:hAnsiTheme="majorBidi"/>
        </w:rPr>
        <w:t>3</w:t>
      </w:r>
      <w:r w:rsidR="00F557CD">
        <w:rPr>
          <w:rFonts w:asciiTheme="majorBidi" w:hAnsiTheme="majorBidi"/>
        </w:rPr>
        <w:t xml:space="preserve"> – Results</w:t>
      </w:r>
    </w:p>
    <w:p w14:paraId="742ADD5E" w14:textId="418BE54C" w:rsidR="00FC40E6" w:rsidRPr="005244BD" w:rsidRDefault="004D622B" w:rsidP="00065485">
      <w:pPr>
        <w:spacing w:after="0" w:line="480" w:lineRule="auto"/>
        <w:jc w:val="both"/>
        <w:rPr>
          <w:rFonts w:asciiTheme="majorBidi" w:hAnsiTheme="majorBidi" w:cstheme="majorBidi"/>
          <w:b/>
          <w:bCs/>
          <w:sz w:val="20"/>
          <w:szCs w:val="20"/>
        </w:rPr>
      </w:pPr>
      <w:r w:rsidRPr="005244BD">
        <w:rPr>
          <w:rFonts w:asciiTheme="majorBidi" w:hAnsiTheme="majorBidi"/>
        </w:rPr>
        <w:t xml:space="preserve">To investigate the effect of </w:t>
      </w:r>
      <w:r w:rsidR="00AD22E5" w:rsidRPr="005244BD">
        <w:rPr>
          <w:rFonts w:asciiTheme="majorBidi" w:hAnsiTheme="majorBidi"/>
        </w:rPr>
        <w:t xml:space="preserve">pore scale </w:t>
      </w:r>
      <w:r w:rsidRPr="005244BD">
        <w:rPr>
          <w:rFonts w:asciiTheme="majorBidi" w:hAnsiTheme="majorBidi"/>
        </w:rPr>
        <w:t>heterogeneities on NAPL dissolution and bio-degradation in the process of natural attenuation for different pore network structures listed in</w:t>
      </w:r>
      <w:r w:rsidR="00046C44" w:rsidRPr="005244BD">
        <w:rPr>
          <w:rFonts w:asciiTheme="majorBidi" w:hAnsiTheme="majorBidi"/>
        </w:rPr>
        <w:t xml:space="preserve"> </w:t>
      </w:r>
      <w:r w:rsidR="00046C44" w:rsidRPr="005244BD">
        <w:rPr>
          <w:rFonts w:asciiTheme="majorBidi" w:hAnsiTheme="majorBidi"/>
          <w:b/>
          <w:bCs/>
        </w:rPr>
        <w:t>Table 1</w:t>
      </w:r>
      <w:r w:rsidRPr="005244BD">
        <w:rPr>
          <w:rFonts w:asciiTheme="majorBidi" w:hAnsiTheme="majorBidi"/>
        </w:rPr>
        <w:t xml:space="preserve">, freshwater </w:t>
      </w:r>
      <w:r w:rsidR="00AD22E5" w:rsidRPr="005244BD">
        <w:rPr>
          <w:rFonts w:asciiTheme="majorBidi" w:hAnsiTheme="majorBidi"/>
        </w:rPr>
        <w:t>i</w:t>
      </w:r>
      <w:r w:rsidRPr="005244BD">
        <w:rPr>
          <w:rFonts w:asciiTheme="majorBidi" w:hAnsiTheme="majorBidi"/>
        </w:rPr>
        <w:t xml:space="preserve">s flushed from the left-hand side of pore network in the </w:t>
      </w:r>
      <w:r w:rsidRPr="005244BD">
        <w:rPr>
          <w:rFonts w:asciiTheme="majorBidi" w:hAnsiTheme="majorBidi"/>
          <w:i/>
          <w:iCs/>
        </w:rPr>
        <w:t>x</w:t>
      </w:r>
      <w:r w:rsidRPr="005244BD">
        <w:rPr>
          <w:rFonts w:asciiTheme="majorBidi" w:hAnsiTheme="majorBidi"/>
        </w:rPr>
        <w:t xml:space="preserve">-direction. </w:t>
      </w:r>
      <w:r w:rsidR="009D5DBD" w:rsidRPr="005244BD">
        <w:rPr>
          <w:rFonts w:asciiTheme="majorBidi" w:hAnsiTheme="majorBidi"/>
        </w:rPr>
        <w:t xml:space="preserve">At field and laboratory conditions, the aqueous flow rate for groundwater </w:t>
      </w:r>
      <w:r w:rsidR="004B1769" w:rsidRPr="005244BD">
        <w:rPr>
          <w:rFonts w:asciiTheme="majorBidi" w:hAnsiTheme="majorBidi"/>
        </w:rPr>
        <w:t>is</w:t>
      </w:r>
      <w:r w:rsidR="009D5DBD" w:rsidRPr="005244BD">
        <w:rPr>
          <w:rFonts w:asciiTheme="majorBidi" w:hAnsiTheme="majorBidi"/>
        </w:rPr>
        <w:t xml:space="preserve"> low </w:t>
      </w:r>
      <w:r w:rsidR="00E77059" w:rsidRPr="005244BD">
        <w:rPr>
          <w:rFonts w:asciiTheme="majorBidi" w:hAnsiTheme="majorBidi"/>
        </w:rPr>
        <w:fldChar w:fldCharType="begin" w:fldLock="1"/>
      </w:r>
      <w:r w:rsidR="00BF6D87" w:rsidRPr="005244BD">
        <w:rPr>
          <w:rFonts w:asciiTheme="majorBidi" w:hAnsiTheme="majorBidi"/>
        </w:rPr>
        <w:instrText>ADDIN CSL_CITATION {"citationItems":[{"id":"ITEM-1","itemData":{"author":[{"dropping-particle":"","family":"Imhoff","given":"Paul T","non-dropping-particle":"","parse-names":false,"suffix":""},{"dropping-particle":"","family":"Farthing","given":"Matthew W","non-dropping-particle":"","parse-names":false,"suffix":""},{"dropping-particle":"","family":"Gleyzer","given":"Simon N","non-dropping-particle":"","parse-names":false,"suffix":""},{"dropping-particle":"","family":"Miller","given":"Cass T","non-dropping-particle":"","parse-names":false,"suffix":""}],"container-title":"Water Resources Research","id":"ITEM-1","issue":"6","issued":{"date-parts":[["2002"]]},"page":"21-29","publisher":"Wiley Online Library","title":"Evolving interface between clean and nonaqueous phase liquid (NAPL)-contaminated regions in two-dimensional porous media","type":"article-journal","volume":"38"},"uris":["http://www.mendeley.com/documents/?uuid=4dcfd4fb-f396-4848-94e2-8315c51c3711","http://www.mendeley.com/documents/?uuid=c17fdbd7-e1e3-4890-8cf0-b3922c7693c1"]}],"mendeley":{"formattedCitation":"(Imhoff et al., 2002)","manualFormatting":"(Imhoff et al., 2002","plainTextFormattedCitation":"(Imhoff et al., 2002)","previouslyFormattedCitation":"(Imhoff et al., 2002)"},"properties":{"noteIndex":0},"schema":"https://github.com/citation-style-language/schema/raw/master/csl-citation.json"}</w:instrText>
      </w:r>
      <w:r w:rsidR="00E77059" w:rsidRPr="005244BD">
        <w:rPr>
          <w:rFonts w:asciiTheme="majorBidi" w:hAnsiTheme="majorBidi"/>
        </w:rPr>
        <w:fldChar w:fldCharType="separate"/>
      </w:r>
      <w:r w:rsidR="007E3CAF" w:rsidRPr="005244BD">
        <w:rPr>
          <w:rFonts w:asciiTheme="majorBidi" w:hAnsiTheme="majorBidi"/>
          <w:noProof/>
        </w:rPr>
        <w:t>(Imhoff et al., 2002</w:t>
      </w:r>
      <w:r w:rsidR="00E77059" w:rsidRPr="005244BD">
        <w:rPr>
          <w:rFonts w:asciiTheme="majorBidi" w:hAnsiTheme="majorBidi"/>
        </w:rPr>
        <w:fldChar w:fldCharType="end"/>
      </w:r>
      <w:r w:rsidR="004E651B" w:rsidRPr="005244BD">
        <w:rPr>
          <w:rFonts w:asciiTheme="majorBidi" w:hAnsiTheme="majorBidi"/>
        </w:rPr>
        <w:t xml:space="preserve">, </w:t>
      </w:r>
      <w:r w:rsidR="009D5DBD" w:rsidRPr="005244BD">
        <w:rPr>
          <w:rFonts w:asciiTheme="majorBidi" w:hAnsiTheme="majorBidi"/>
        </w:rPr>
        <w:fldChar w:fldCharType="begin" w:fldLock="1"/>
      </w:r>
      <w:r w:rsidR="00BF6D87" w:rsidRPr="005244BD">
        <w:rPr>
          <w:rFonts w:asciiTheme="majorBidi" w:hAnsiTheme="majorBidi"/>
        </w:rPr>
        <w:instrText>ADDIN CSL_CITATION {"citationItems":[{"id":"ITEM-1","itemData":{"author":[{"dropping-particle":"","family":"Soga","given":"K","non-dropping-particle":"","parse-names":false,"suffix":""},{"dropping-particle":"","family":"Page","given":"J W E","non-dropping-particle":"","parse-names":false,"suffix":""},{"dropping-particle":"","family":"Illangasekare","given":"T H","non-dropping-particle":"","parse-names":false,"suffix":""}],"container-title":"Journal of Hazardous Materials","id":"ITEM-1","issue":"1-3","issued":{"date-parts":[["2004"]]},"page":"13-27","publisher":"Elsevier","title":"A review of NAPL source zone remediation efficiency and the mass flux approach","type":"article-journal","volume":"110"},"uris":["http://www.mendeley.com/documents/?uuid=8eed845b-2f4c-4f50-be4e-b3bbfb18941d","http://www.mendeley.com/documents/?uuid=39a0e1f1-3786-4af9-989f-9ba1ded3f6c2"]}],"mendeley":{"formattedCitation":"(Soga et al., 2004)","manualFormatting":"Soga et al., 2004","plainTextFormattedCitation":"(Soga et al., 2004)","previouslyFormattedCitation":"(Soga et al., 2004)"},"properties":{"noteIndex":0},"schema":"https://github.com/citation-style-language/schema/raw/master/csl-citation.json"}</w:instrText>
      </w:r>
      <w:r w:rsidR="009D5DBD" w:rsidRPr="005244BD">
        <w:rPr>
          <w:rFonts w:asciiTheme="majorBidi" w:hAnsiTheme="majorBidi"/>
        </w:rPr>
        <w:fldChar w:fldCharType="separate"/>
      </w:r>
      <w:r w:rsidR="007E3CAF" w:rsidRPr="005244BD">
        <w:rPr>
          <w:rFonts w:asciiTheme="majorBidi" w:hAnsiTheme="majorBidi"/>
          <w:noProof/>
        </w:rPr>
        <w:t>Soga et al., 2004</w:t>
      </w:r>
      <w:r w:rsidR="009D5DBD" w:rsidRPr="005244BD">
        <w:rPr>
          <w:rFonts w:asciiTheme="majorBidi" w:hAnsiTheme="majorBidi"/>
        </w:rPr>
        <w:fldChar w:fldCharType="end"/>
      </w:r>
      <w:r w:rsidR="004E651B" w:rsidRPr="005244BD">
        <w:rPr>
          <w:rFonts w:asciiTheme="majorBidi" w:hAnsiTheme="majorBidi"/>
        </w:rPr>
        <w:t xml:space="preserve">, </w:t>
      </w:r>
      <w:r w:rsidR="00E77059" w:rsidRPr="005244BD">
        <w:rPr>
          <w:rFonts w:asciiTheme="majorBidi" w:hAnsiTheme="majorBidi"/>
        </w:rPr>
        <w:fldChar w:fldCharType="begin" w:fldLock="1"/>
      </w:r>
      <w:r w:rsidR="00BF6D87" w:rsidRPr="005244BD">
        <w:rPr>
          <w:rFonts w:asciiTheme="majorBidi" w:hAnsiTheme="majorBidi"/>
        </w:rPr>
        <w:instrText>ADDIN CSL_CITATION {"citationItems":[{"id":"ITEM-1","itemData":{"author":[{"dropping-particle":"","family":"Farthing","given":"M W","non-dropping-particle":"","parse-names":false,"suffix":""},{"dropping-particle":"","family":"Seyedabbasi","given":"M A","non-dropping-particle":"","parse-names":false,"suffix":""},{"dropping-particle":"","family":"Imhoff","given":"P T","non-dropping-particle":"","parse-names":false,"suffix":""},{"dropping-particle":"","family":"Miller","given":"C T","non-dropping-particle":"","parse-names":false,"suffix":""}],"container-title":"Water Resources Research","id":"ITEM-1","issue":"8","issued":{"date-parts":[["2012"]]},"publisher":"Wiley Online Library","title":"Influence of porous media heterogeneity on nonaqueous phase liquid dissolution fingering and upscaled mass transfer","type":"article-journal","volume":"48"},"uris":["http://www.mendeley.com/documents/?uuid=5d10c003-a50a-469a-b6e9-45942b27787f","http://www.mendeley.com/documents/?uuid=125b78be-cc44-49a0-9338-fbe93b70c2b8"]}],"mendeley":{"formattedCitation":"(Farthing et al., 2012)","manualFormatting":"Farthing et al., 2012","plainTextFormattedCitation":"(Farthing et al., 2012)","previouslyFormattedCitation":"(Farthing et al., 2012)"},"properties":{"noteIndex":0},"schema":"https://github.com/citation-style-language/schema/raw/master/csl-citation.json"}</w:instrText>
      </w:r>
      <w:r w:rsidR="00E77059" w:rsidRPr="005244BD">
        <w:rPr>
          <w:rFonts w:asciiTheme="majorBidi" w:hAnsiTheme="majorBidi"/>
        </w:rPr>
        <w:fldChar w:fldCharType="separate"/>
      </w:r>
      <w:r w:rsidR="007E3CAF" w:rsidRPr="005244BD">
        <w:rPr>
          <w:rFonts w:asciiTheme="majorBidi" w:hAnsiTheme="majorBidi"/>
          <w:noProof/>
        </w:rPr>
        <w:t>Farthing et al., 2012</w:t>
      </w:r>
      <w:r w:rsidR="00E77059" w:rsidRPr="005244BD">
        <w:rPr>
          <w:rFonts w:asciiTheme="majorBidi" w:hAnsiTheme="majorBidi"/>
        </w:rPr>
        <w:fldChar w:fldCharType="end"/>
      </w:r>
      <w:r w:rsidR="004E651B" w:rsidRPr="005244BD">
        <w:rPr>
          <w:rFonts w:asciiTheme="majorBidi" w:hAnsiTheme="majorBidi"/>
        </w:rPr>
        <w:t xml:space="preserve">, </w:t>
      </w:r>
      <w:r w:rsidR="00E77059" w:rsidRPr="005244BD">
        <w:rPr>
          <w:rFonts w:asciiTheme="majorBidi" w:hAnsiTheme="majorBidi"/>
        </w:rPr>
        <w:fldChar w:fldCharType="begin" w:fldLock="1"/>
      </w:r>
      <w:r w:rsidR="00BF6D87" w:rsidRPr="005244BD">
        <w:rPr>
          <w:rFonts w:asciiTheme="majorBidi" w:hAnsiTheme="majorBidi"/>
        </w:rPr>
        <w:instrText>ADDIN CSL_CITATION {"citationItems":[{"id":"ITEM-1","itemData":{"author":[{"dropping-particle":"","family":"Aminnaji","given":"Morteza","non-dropping-particle":"","parse-names":false,"suffix":""},{"dropping-particle":"","family":"Fazeli","given":"Hossein","non-dropping-particle":"","parse-names":false,"suffix":""},{"dropping-particle":"","family":"Bahramian","given":"Alireza","non-dropping-particle":"","parse-names":false,"suffix":""},{"dropping-particle":"","family":"Gerami","given":"Shahab","non-dropping-particle":"","parse-names":false,"suffix":""},{"dropping-particle":"","family":"Ghojavand","given":"Hossein","non-dropping-particle":"","parse-names":false,"suffix":""}],"container-title":"Transport in Porous Media","id":"ITEM-1","issue":"1","issued":{"date-parts":[["2015"]]},"page":"201-216","publisher":"Springer","title":"Wettability alteration of reservoir rocks from liquid wetting to gas wetting using nanofluid","type":"article-journal","volume":"109"},"uris":["http://www.mendeley.com/documents/?uuid=aa0c5c3d-9bb3-45fb-9095-51d69af93400","http://www.mendeley.com/documents/?uuid=8ed747b5-9218-45c3-aaf8-c3faf598d12b"]}],"mendeley":{"formattedCitation":"(Aminnaji et al., 2015)","manualFormatting":"Aminnaji et al., 2015)","plainTextFormattedCitation":"(Aminnaji et al., 2015)","previouslyFormattedCitation":"(Aminnaji et al., 2015)"},"properties":{"noteIndex":0},"schema":"https://github.com/citation-style-language/schema/raw/master/csl-citation.json"}</w:instrText>
      </w:r>
      <w:r w:rsidR="00E77059" w:rsidRPr="005244BD">
        <w:rPr>
          <w:rFonts w:asciiTheme="majorBidi" w:hAnsiTheme="majorBidi"/>
        </w:rPr>
        <w:fldChar w:fldCharType="separate"/>
      </w:r>
      <w:r w:rsidR="007E3CAF" w:rsidRPr="005244BD">
        <w:rPr>
          <w:rFonts w:asciiTheme="majorBidi" w:hAnsiTheme="majorBidi"/>
          <w:noProof/>
        </w:rPr>
        <w:t>Aminnaji et al., 2015)</w:t>
      </w:r>
      <w:r w:rsidR="00E77059" w:rsidRPr="005244BD">
        <w:rPr>
          <w:rFonts w:asciiTheme="majorBidi" w:hAnsiTheme="majorBidi"/>
        </w:rPr>
        <w:fldChar w:fldCharType="end"/>
      </w:r>
      <w:r w:rsidR="009D5DBD" w:rsidRPr="005244BD">
        <w:rPr>
          <w:rFonts w:asciiTheme="majorBidi" w:hAnsiTheme="majorBidi"/>
        </w:rPr>
        <w:t>. Therefore, a</w:t>
      </w:r>
      <w:r w:rsidR="00F43409" w:rsidRPr="005244BD">
        <w:rPr>
          <w:rFonts w:asciiTheme="majorBidi" w:hAnsiTheme="majorBidi"/>
        </w:rPr>
        <w:t xml:space="preserve"> constant differential pressure (5 </w:t>
      </w:r>
      <w:r w:rsidR="00645000" w:rsidRPr="005244BD">
        <w:rPr>
          <w:rFonts w:asciiTheme="majorBidi" w:hAnsiTheme="majorBidi"/>
        </w:rPr>
        <w:t>P</w:t>
      </w:r>
      <w:r w:rsidR="00F43409" w:rsidRPr="005244BD">
        <w:rPr>
          <w:rFonts w:asciiTheme="majorBidi" w:hAnsiTheme="majorBidi"/>
        </w:rPr>
        <w:t xml:space="preserve">a) was applied through the pore network in the </w:t>
      </w:r>
      <w:r w:rsidR="00F43409" w:rsidRPr="005244BD">
        <w:rPr>
          <w:rFonts w:asciiTheme="majorBidi" w:hAnsiTheme="majorBidi"/>
          <w:i/>
          <w:iCs/>
        </w:rPr>
        <w:t>x</w:t>
      </w:r>
      <w:r w:rsidRPr="005244BD">
        <w:rPr>
          <w:rFonts w:asciiTheme="majorBidi" w:hAnsiTheme="majorBidi"/>
        </w:rPr>
        <w:t>-</w:t>
      </w:r>
      <w:r w:rsidR="00F43409" w:rsidRPr="005244BD">
        <w:rPr>
          <w:rFonts w:asciiTheme="majorBidi" w:hAnsiTheme="majorBidi"/>
        </w:rPr>
        <w:t>direction</w:t>
      </w:r>
      <w:r w:rsidR="009D5DBD" w:rsidRPr="005244BD">
        <w:rPr>
          <w:rFonts w:asciiTheme="majorBidi" w:hAnsiTheme="majorBidi"/>
        </w:rPr>
        <w:t xml:space="preserve"> to achieve a low flow rate</w:t>
      </w:r>
      <w:r w:rsidR="002C353F" w:rsidRPr="005244BD">
        <w:rPr>
          <w:rFonts w:asciiTheme="majorBidi" w:hAnsiTheme="majorBidi"/>
        </w:rPr>
        <w:t xml:space="preserve"> of </w:t>
      </w:r>
      <w:r w:rsidR="00065485" w:rsidRPr="005244BD">
        <w:rPr>
          <w:rFonts w:asciiTheme="majorBidi" w:hAnsiTheme="majorBidi"/>
        </w:rPr>
        <w:t>~</w:t>
      </w:r>
      <w:r w:rsidR="00065485" w:rsidRPr="005244BD">
        <w:rPr>
          <w:rFonts w:asciiTheme="majorBidi" w:eastAsiaTheme="minorEastAsia" w:hAnsiTheme="majorBidi"/>
        </w:rPr>
        <w:t>1.3</w:t>
      </w:r>
      <w:r w:rsidR="00065485" w:rsidRPr="005244BD">
        <w:rPr>
          <w:rFonts w:asciiTheme="majorBidi" w:eastAsiaTheme="minorEastAsia" w:hAnsiTheme="majorBidi" w:cstheme="majorBidi"/>
        </w:rPr>
        <w:t>×</w:t>
      </w:r>
      <w:r w:rsidR="00065485" w:rsidRPr="005244BD">
        <w:rPr>
          <w:rFonts w:asciiTheme="majorBidi" w:eastAsiaTheme="minorEastAsia" w:hAnsiTheme="majorBidi"/>
        </w:rPr>
        <w:t>10</w:t>
      </w:r>
      <w:r w:rsidR="00065485" w:rsidRPr="005244BD">
        <w:rPr>
          <w:rFonts w:ascii="Arial" w:eastAsiaTheme="minorEastAsia" w:hAnsi="Arial" w:cs="Arial"/>
          <w:vertAlign w:val="superscript"/>
        </w:rPr>
        <w:t>−</w:t>
      </w:r>
      <w:r w:rsidR="00065485" w:rsidRPr="005244BD">
        <w:rPr>
          <w:rFonts w:asciiTheme="majorBidi" w:eastAsiaTheme="minorEastAsia" w:hAnsiTheme="majorBidi"/>
          <w:vertAlign w:val="superscript"/>
        </w:rPr>
        <w:t>5</w:t>
      </w:r>
      <w:r w:rsidR="00065485" w:rsidRPr="005244BD">
        <w:rPr>
          <w:rFonts w:asciiTheme="majorBidi" w:eastAsiaTheme="minorEastAsia" w:hAnsiTheme="majorBidi"/>
        </w:rPr>
        <w:t xml:space="preserve"> cm</w:t>
      </w:r>
      <w:r w:rsidR="00065485" w:rsidRPr="005244BD">
        <w:rPr>
          <w:rFonts w:asciiTheme="majorBidi" w:eastAsiaTheme="minorEastAsia" w:hAnsiTheme="majorBidi"/>
          <w:vertAlign w:val="superscript"/>
        </w:rPr>
        <w:t>3</w:t>
      </w:r>
      <w:r w:rsidR="00065485" w:rsidRPr="005244BD">
        <w:rPr>
          <w:rFonts w:asciiTheme="majorBidi" w:eastAsiaTheme="minorEastAsia" w:hAnsiTheme="majorBidi"/>
        </w:rPr>
        <w:t>.min</w:t>
      </w:r>
      <w:r w:rsidR="00065485" w:rsidRPr="005244BD">
        <w:rPr>
          <w:rFonts w:ascii="Arial" w:eastAsiaTheme="minorEastAsia" w:hAnsi="Arial" w:cs="Arial"/>
          <w:vertAlign w:val="superscript"/>
        </w:rPr>
        <w:t>−</w:t>
      </w:r>
      <w:r w:rsidR="00065485" w:rsidRPr="005244BD">
        <w:rPr>
          <w:rFonts w:asciiTheme="majorBidi" w:eastAsiaTheme="minorEastAsia" w:hAnsiTheme="majorBidi"/>
          <w:vertAlign w:val="superscript"/>
        </w:rPr>
        <w:t>1</w:t>
      </w:r>
      <w:r w:rsidR="00065485" w:rsidRPr="005244BD">
        <w:rPr>
          <w:rFonts w:asciiTheme="majorBidi" w:eastAsiaTheme="minorEastAsia" w:hAnsiTheme="majorBidi"/>
        </w:rPr>
        <w:t xml:space="preserve"> </w:t>
      </w:r>
      <w:r w:rsidR="00EB1D8F" w:rsidRPr="005244BD">
        <w:rPr>
          <w:rFonts w:asciiTheme="majorBidi" w:hAnsiTheme="majorBidi"/>
        </w:rPr>
        <w:t>at initial condition</w:t>
      </w:r>
      <w:r w:rsidR="00F43409" w:rsidRPr="005244BD">
        <w:rPr>
          <w:rFonts w:asciiTheme="majorBidi" w:hAnsiTheme="majorBidi"/>
        </w:rPr>
        <w:t xml:space="preserve">. </w:t>
      </w:r>
      <w:r w:rsidR="00AD22E5" w:rsidRPr="005244BD">
        <w:rPr>
          <w:rFonts w:asciiTheme="majorBidi" w:hAnsiTheme="majorBidi"/>
        </w:rPr>
        <w:t>Varying</w:t>
      </w:r>
      <w:r w:rsidR="00F43409" w:rsidRPr="005244BD">
        <w:rPr>
          <w:rFonts w:asciiTheme="majorBidi" w:hAnsiTheme="majorBidi"/>
        </w:rPr>
        <w:t xml:space="preserve"> </w:t>
      </w:r>
      <w:r w:rsidR="008D38FA" w:rsidRPr="005244BD">
        <w:rPr>
          <w:rFonts w:asciiTheme="majorBidi" w:hAnsiTheme="majorBidi"/>
        </w:rPr>
        <w:t>heterogeneities</w:t>
      </w:r>
      <w:r w:rsidRPr="005244BD">
        <w:rPr>
          <w:rFonts w:asciiTheme="majorBidi" w:hAnsiTheme="majorBidi"/>
        </w:rPr>
        <w:t xml:space="preserve"> and</w:t>
      </w:r>
      <w:r w:rsidR="008D38FA" w:rsidRPr="005244BD">
        <w:rPr>
          <w:rFonts w:asciiTheme="majorBidi" w:hAnsiTheme="majorBidi"/>
        </w:rPr>
        <w:t xml:space="preserve"> NAPL distribution</w:t>
      </w:r>
      <w:r w:rsidRPr="005244BD">
        <w:rPr>
          <w:rFonts w:asciiTheme="majorBidi" w:hAnsiTheme="majorBidi"/>
        </w:rPr>
        <w:t xml:space="preserve"> in the pore networks</w:t>
      </w:r>
      <w:r w:rsidR="008D38FA" w:rsidRPr="005244BD">
        <w:rPr>
          <w:rFonts w:asciiTheme="majorBidi" w:hAnsiTheme="majorBidi"/>
        </w:rPr>
        <w:t xml:space="preserve"> and </w:t>
      </w:r>
      <w:r w:rsidRPr="005244BD">
        <w:rPr>
          <w:rFonts w:asciiTheme="majorBidi" w:hAnsiTheme="majorBidi"/>
        </w:rPr>
        <w:t xml:space="preserve">also </w:t>
      </w:r>
      <w:r w:rsidR="008D38FA" w:rsidRPr="005244BD">
        <w:rPr>
          <w:rFonts w:asciiTheme="majorBidi" w:hAnsiTheme="majorBidi"/>
        </w:rPr>
        <w:t>NAPL dissolution</w:t>
      </w:r>
      <w:r w:rsidR="00FC40E6" w:rsidRPr="005244BD">
        <w:rPr>
          <w:rFonts w:asciiTheme="majorBidi" w:hAnsiTheme="majorBidi"/>
        </w:rPr>
        <w:t xml:space="preserve"> and biofilm growth</w:t>
      </w:r>
      <w:r w:rsidR="008D38FA" w:rsidRPr="005244BD">
        <w:rPr>
          <w:rFonts w:asciiTheme="majorBidi" w:hAnsiTheme="majorBidi"/>
        </w:rPr>
        <w:t xml:space="preserve"> over time</w:t>
      </w:r>
      <w:r w:rsidR="00645000" w:rsidRPr="005244BD">
        <w:rPr>
          <w:rFonts w:asciiTheme="majorBidi" w:hAnsiTheme="majorBidi"/>
        </w:rPr>
        <w:t xml:space="preserve"> result in different flow rates during the simulation (as they modify</w:t>
      </w:r>
      <w:r w:rsidR="00FC40E6" w:rsidRPr="005244BD">
        <w:rPr>
          <w:rFonts w:asciiTheme="majorBidi" w:hAnsiTheme="majorBidi"/>
        </w:rPr>
        <w:t xml:space="preserve"> available space for flow)</w:t>
      </w:r>
      <w:r w:rsidR="00645000" w:rsidRPr="005244BD">
        <w:rPr>
          <w:rFonts w:asciiTheme="majorBidi" w:hAnsiTheme="majorBidi"/>
        </w:rPr>
        <w:t>. T</w:t>
      </w:r>
      <w:r w:rsidR="00FC40E6" w:rsidRPr="005244BD">
        <w:rPr>
          <w:rFonts w:asciiTheme="majorBidi" w:hAnsiTheme="majorBidi"/>
        </w:rPr>
        <w:t>herefore, a dimensionless time</w:t>
      </w:r>
      <w:r w:rsidR="0054591E" w:rsidRPr="005244BD">
        <w:rPr>
          <w:rFonts w:asciiTheme="majorBidi" w:hAnsiTheme="majorBidi"/>
        </w:rPr>
        <w:t xml:space="preserve"> </w:t>
      </w:r>
      <w:r w:rsidR="009853D7" w:rsidRPr="005244BD">
        <w:rPr>
          <w:rFonts w:asciiTheme="majorBidi" w:hAnsiTheme="majorBidi"/>
        </w:rPr>
        <w:t>that represents the</w:t>
      </w:r>
      <w:r w:rsidR="0054591E" w:rsidRPr="005244BD">
        <w:rPr>
          <w:rFonts w:asciiTheme="majorBidi" w:hAnsiTheme="majorBidi"/>
        </w:rPr>
        <w:t xml:space="preserve"> pore volume injected</w:t>
      </w:r>
      <w:r w:rsidR="00FC40E6" w:rsidRPr="005244BD">
        <w:rPr>
          <w:rFonts w:asciiTheme="majorBidi" w:hAnsiTheme="majorBidi"/>
        </w:rPr>
        <w:t xml:space="preserve"> </w:t>
      </w:r>
      <m:oMath>
        <m:d>
          <m:dPr>
            <m:ctrlPr>
              <w:rPr>
                <w:rFonts w:ascii="Cambria Math" w:hAnsi="Cambria Math"/>
              </w:rPr>
            </m:ctrlPr>
          </m:dPr>
          <m:e>
            <m:f>
              <m:fPr>
                <m:type m:val="lin"/>
                <m:ctrlPr>
                  <w:rPr>
                    <w:rFonts w:ascii="Cambria Math" w:hAnsi="Cambria Math"/>
                    <w:iCs/>
                  </w:rPr>
                </m:ctrlPr>
              </m:fPr>
              <m:num>
                <m:r>
                  <m:rPr>
                    <m:sty m:val="p"/>
                  </m:rPr>
                  <w:rPr>
                    <w:rFonts w:ascii="Cambria Math" w:hAnsi="Cambria Math"/>
                  </w:rPr>
                  <m:t>flow rate×time</m:t>
                </m:r>
              </m:num>
              <m:den>
                <m:r>
                  <m:rPr>
                    <m:sty m:val="p"/>
                  </m:rPr>
                  <w:rPr>
                    <w:rFonts w:ascii="Cambria Math" w:hAnsi="Cambria Math"/>
                  </w:rPr>
                  <m:t>pore volume</m:t>
                </m:r>
              </m:den>
            </m:f>
          </m:e>
        </m:d>
      </m:oMath>
      <w:r w:rsidR="00AD22E5" w:rsidRPr="005244BD">
        <w:rPr>
          <w:rFonts w:asciiTheme="majorBidi" w:hAnsiTheme="majorBidi"/>
        </w:rPr>
        <w:t xml:space="preserve"> i</w:t>
      </w:r>
      <w:r w:rsidR="00FC40E6" w:rsidRPr="005244BD">
        <w:rPr>
          <w:rFonts w:asciiTheme="majorBidi" w:hAnsiTheme="majorBidi"/>
        </w:rPr>
        <w:t>s used to compare the results</w:t>
      </w:r>
      <w:r w:rsidR="002A3682" w:rsidRPr="005244BD">
        <w:rPr>
          <w:rFonts w:asciiTheme="majorBidi" w:hAnsiTheme="majorBidi"/>
        </w:rPr>
        <w:t xml:space="preserve"> and hereafter is referred to as PVI</w:t>
      </w:r>
      <w:r w:rsidR="00FC40E6" w:rsidRPr="005244BD">
        <w:rPr>
          <w:rFonts w:asciiTheme="majorBidi" w:hAnsiTheme="majorBidi"/>
        </w:rPr>
        <w:t xml:space="preserve">. </w:t>
      </w:r>
    </w:p>
    <w:p w14:paraId="28B45A55" w14:textId="73A0505C" w:rsidR="007C7934" w:rsidRPr="005244BD" w:rsidRDefault="00073376">
      <w:pPr>
        <w:spacing w:line="480" w:lineRule="auto"/>
        <w:jc w:val="both"/>
        <w:rPr>
          <w:rFonts w:asciiTheme="majorBidi" w:hAnsiTheme="majorBidi"/>
        </w:rPr>
      </w:pPr>
      <w:r w:rsidRPr="005244BD">
        <w:rPr>
          <w:rFonts w:asciiTheme="majorBidi" w:hAnsiTheme="majorBidi"/>
        </w:rPr>
        <w:t xml:space="preserve">NAPL recovery (due to both NAPL dissolution and bio-degradation) as a function of dimensionless time is presented in </w:t>
      </w:r>
      <w:r w:rsidRPr="005244BD">
        <w:rPr>
          <w:rFonts w:asciiTheme="majorBidi" w:hAnsiTheme="majorBidi"/>
          <w:b/>
          <w:bCs/>
        </w:rPr>
        <w:fldChar w:fldCharType="begin"/>
      </w:r>
      <w:r w:rsidRPr="005244BD">
        <w:rPr>
          <w:rFonts w:asciiTheme="majorBidi" w:hAnsiTheme="majorBidi"/>
          <w:b/>
          <w:bCs/>
        </w:rPr>
        <w:instrText xml:space="preserve"> REF _Ref14958239 \h </w:instrText>
      </w:r>
      <w:r w:rsidR="00FC40E6" w:rsidRPr="005244BD">
        <w:rPr>
          <w:rFonts w:asciiTheme="majorBidi" w:hAnsiTheme="majorBidi"/>
          <w:b/>
          <w:bCs/>
        </w:rPr>
        <w:instrText xml:space="preserve"> \* MERGEFORMAT </w:instrText>
      </w:r>
      <w:r w:rsidRPr="005244BD">
        <w:rPr>
          <w:rFonts w:asciiTheme="majorBidi" w:hAnsiTheme="majorBidi"/>
          <w:b/>
          <w:bCs/>
        </w:rPr>
      </w:r>
      <w:r w:rsidRPr="005244BD">
        <w:rPr>
          <w:rFonts w:asciiTheme="majorBidi" w:hAnsiTheme="majorBidi"/>
          <w:b/>
          <w:bCs/>
        </w:rPr>
        <w:fldChar w:fldCharType="separate"/>
      </w:r>
      <w:r w:rsidR="00EE0F85" w:rsidRPr="00EE0F85">
        <w:rPr>
          <w:rFonts w:asciiTheme="majorBidi" w:hAnsiTheme="majorBidi"/>
          <w:b/>
          <w:bCs/>
        </w:rPr>
        <w:t>Figure 3</w:t>
      </w:r>
      <w:r w:rsidRPr="005244BD">
        <w:rPr>
          <w:rFonts w:asciiTheme="majorBidi" w:hAnsiTheme="majorBidi"/>
          <w:b/>
          <w:bCs/>
        </w:rPr>
        <w:fldChar w:fldCharType="end"/>
      </w:r>
      <w:r w:rsidRPr="005244BD">
        <w:rPr>
          <w:rFonts w:asciiTheme="majorBidi" w:hAnsiTheme="majorBidi"/>
        </w:rPr>
        <w:t xml:space="preserve"> for </w:t>
      </w:r>
      <w:r w:rsidR="00F43409" w:rsidRPr="005244BD">
        <w:rPr>
          <w:rFonts w:asciiTheme="majorBidi" w:hAnsiTheme="majorBidi"/>
        </w:rPr>
        <w:t>different pore network structures with an initial NAPL saturation of 40%.</w:t>
      </w:r>
      <w:r w:rsidR="00F9133B" w:rsidRPr="005244BD">
        <w:rPr>
          <w:rFonts w:asciiTheme="majorBidi" w:hAnsiTheme="majorBidi"/>
        </w:rPr>
        <w:t xml:space="preserve"> The NAPL recovery due to only NAPL dissolution is also presented in </w:t>
      </w:r>
      <w:r w:rsidR="00193997" w:rsidRPr="005244BD">
        <w:rPr>
          <w:rFonts w:asciiTheme="majorBidi" w:hAnsiTheme="majorBidi"/>
        </w:rPr>
        <w:t xml:space="preserve">the inset of </w:t>
      </w:r>
      <w:r w:rsidR="00F9133B" w:rsidRPr="005244BD">
        <w:rPr>
          <w:rFonts w:asciiTheme="majorBidi" w:hAnsiTheme="majorBidi"/>
          <w:b/>
          <w:bCs/>
        </w:rPr>
        <w:fldChar w:fldCharType="begin"/>
      </w:r>
      <w:r w:rsidR="00F9133B" w:rsidRPr="005244BD">
        <w:rPr>
          <w:rFonts w:asciiTheme="majorBidi" w:hAnsiTheme="majorBidi"/>
          <w:b/>
          <w:bCs/>
        </w:rPr>
        <w:instrText xml:space="preserve"> REF _Ref14958239 \h  \* MERGEFORMAT </w:instrText>
      </w:r>
      <w:r w:rsidR="00F9133B" w:rsidRPr="005244BD">
        <w:rPr>
          <w:rFonts w:asciiTheme="majorBidi" w:hAnsiTheme="majorBidi"/>
          <w:b/>
          <w:bCs/>
        </w:rPr>
      </w:r>
      <w:r w:rsidR="00F9133B" w:rsidRPr="005244BD">
        <w:rPr>
          <w:rFonts w:asciiTheme="majorBidi" w:hAnsiTheme="majorBidi"/>
          <w:b/>
          <w:bCs/>
        </w:rPr>
        <w:fldChar w:fldCharType="separate"/>
      </w:r>
      <w:r w:rsidR="00EE0F85" w:rsidRPr="00EE0F85">
        <w:rPr>
          <w:rFonts w:asciiTheme="majorBidi" w:hAnsiTheme="majorBidi"/>
          <w:b/>
          <w:bCs/>
        </w:rPr>
        <w:t>Figure 3</w:t>
      </w:r>
      <w:r w:rsidR="00F9133B" w:rsidRPr="005244BD">
        <w:rPr>
          <w:rFonts w:asciiTheme="majorBidi" w:hAnsiTheme="majorBidi"/>
          <w:b/>
          <w:bCs/>
        </w:rPr>
        <w:fldChar w:fldCharType="end"/>
      </w:r>
      <w:r w:rsidR="00067F48" w:rsidRPr="005244BD">
        <w:rPr>
          <w:rFonts w:asciiTheme="majorBidi" w:hAnsiTheme="majorBidi"/>
          <w:b/>
          <w:bCs/>
        </w:rPr>
        <w:t xml:space="preserve"> </w:t>
      </w:r>
      <w:r w:rsidR="00067F48" w:rsidRPr="005244BD">
        <w:rPr>
          <w:rFonts w:asciiTheme="majorBidi" w:hAnsiTheme="majorBidi"/>
        </w:rPr>
        <w:t>(it is assumed that there are not any bacteria for NAPL biodegradation)</w:t>
      </w:r>
      <w:r w:rsidR="00F9133B" w:rsidRPr="005244BD">
        <w:rPr>
          <w:rFonts w:asciiTheme="majorBidi" w:hAnsiTheme="majorBidi"/>
        </w:rPr>
        <w:t>.</w:t>
      </w:r>
      <w:r w:rsidR="00902B7D" w:rsidRPr="005244BD">
        <w:rPr>
          <w:rFonts w:asciiTheme="majorBidi" w:hAnsiTheme="majorBidi"/>
        </w:rPr>
        <w:t xml:space="preserve"> </w:t>
      </w:r>
      <w:r w:rsidR="00D35DE6" w:rsidRPr="005244BD">
        <w:rPr>
          <w:rFonts w:asciiTheme="majorBidi" w:hAnsiTheme="majorBidi"/>
        </w:rPr>
        <w:t xml:space="preserve">The results point out the </w:t>
      </w:r>
      <w:r w:rsidR="00731AE9" w:rsidRPr="005244BD">
        <w:rPr>
          <w:rFonts w:asciiTheme="majorBidi" w:hAnsiTheme="majorBidi"/>
        </w:rPr>
        <w:t>significance</w:t>
      </w:r>
      <w:r w:rsidR="00D35DE6" w:rsidRPr="005244BD">
        <w:rPr>
          <w:rFonts w:asciiTheme="majorBidi" w:hAnsiTheme="majorBidi"/>
        </w:rPr>
        <w:t xml:space="preserve"> of NAPL biodegradation when there is biofilm in the porous media.</w:t>
      </w:r>
      <w:r w:rsidR="00731AE9" w:rsidRPr="005244BD">
        <w:rPr>
          <w:rFonts w:asciiTheme="majorBidi" w:hAnsiTheme="majorBidi"/>
        </w:rPr>
        <w:t xml:space="preserve"> Firstly until 100 PVI, all non-bio cases (shown in blue) overlap each other showing that biofilm growth is more susceptible to the pore structure than non-bio only-dissolution cases. Secondly, a large discrepancy appears between the non-bio cases. </w:t>
      </w:r>
      <w:r w:rsidR="00B96E8B" w:rsidRPr="005244BD">
        <w:rPr>
          <w:rFonts w:asciiTheme="majorBidi" w:hAnsiTheme="majorBidi"/>
        </w:rPr>
        <w:t xml:space="preserve">This implies that, </w:t>
      </w:r>
      <w:r w:rsidR="00731AE9" w:rsidRPr="005244BD">
        <w:rPr>
          <w:rFonts w:asciiTheme="majorBidi" w:hAnsiTheme="majorBidi"/>
        </w:rPr>
        <w:t>although</w:t>
      </w:r>
      <w:r w:rsidR="00B96E8B" w:rsidRPr="005244BD">
        <w:rPr>
          <w:rFonts w:asciiTheme="majorBidi" w:hAnsiTheme="majorBidi"/>
        </w:rPr>
        <w:t xml:space="preserve"> </w:t>
      </w:r>
      <w:r w:rsidR="00640BB7" w:rsidRPr="005244BD">
        <w:rPr>
          <w:rFonts w:asciiTheme="majorBidi" w:hAnsiTheme="majorBidi"/>
        </w:rPr>
        <w:t xml:space="preserve">the </w:t>
      </w:r>
      <w:r w:rsidR="00B96E8B" w:rsidRPr="005244BD">
        <w:rPr>
          <w:rFonts w:asciiTheme="majorBidi" w:hAnsiTheme="majorBidi"/>
        </w:rPr>
        <w:t>natural biodegradation process could be very slow, it has a significant effect compared to the only natural dissolution process.</w:t>
      </w:r>
      <w:r w:rsidR="00234BF0">
        <w:rPr>
          <w:rFonts w:asciiTheme="majorBidi" w:hAnsiTheme="majorBidi"/>
        </w:rPr>
        <w:t xml:space="preserve"> </w:t>
      </w:r>
      <w:r w:rsidR="009F4290">
        <w:rPr>
          <w:rFonts w:asciiTheme="majorBidi" w:hAnsiTheme="majorBidi"/>
        </w:rPr>
        <w:fldChar w:fldCharType="begin" w:fldLock="1"/>
      </w:r>
      <w:r w:rsidR="00520B13">
        <w:rPr>
          <w:rFonts w:asciiTheme="majorBidi" w:hAnsiTheme="majorBidi"/>
        </w:rPr>
        <w:instrText>ADDIN CSL_CITATION {"citationItems":[{"id":"ITEM-1","itemData":{"author":[{"dropping-particle":"","family":"Chu","given":"M","non-dropping-particle":"","parse-names":false,"suffix":""},{"dropping-particle":"","family":"Kitanidis","given":"P K","non-dropping-particle":"","parse-names":false,"suffix":""},{"dropping-particle":"","family":"McCarty","given":"P L","non-dropping-particle":"","parse-names":false,"suffix":""}],"container-title":"Journal of Contaminant Hydrology","id":"ITEM-1","issue":"1-2","issued":{"date-parts":[["2003"]]},"page":"79-100","publisher":"Elsevier","title":"Effects of biomass accumulation on microbially enhanced dissolution of a PCE pool: a numerical simulation","type":"article-journal","volume":"65"},"uris":["http://www.mendeley.com/documents/?uuid=6ed3dd00-d1b0-4084-a24f-dad7eb422072"]}],"mendeley":{"formattedCitation":"(Chu et al., 2003)","manualFormatting":"Chu et al., 2003,","plainTextFormattedCitation":"(Chu et al., 2003)","previouslyFormattedCitation":"(Chu et al., 2003)"},"properties":{"noteIndex":0},"schema":"https://github.com/citation-style-language/schema/raw/master/csl-citation.json"}</w:instrText>
      </w:r>
      <w:r w:rsidR="009F4290">
        <w:rPr>
          <w:rFonts w:asciiTheme="majorBidi" w:hAnsiTheme="majorBidi"/>
        </w:rPr>
        <w:fldChar w:fldCharType="separate"/>
      </w:r>
      <w:r w:rsidR="009F4290" w:rsidRPr="00234BF0">
        <w:rPr>
          <w:rFonts w:asciiTheme="majorBidi" w:hAnsiTheme="majorBidi"/>
          <w:noProof/>
        </w:rPr>
        <w:t>Chu et al., 2003</w:t>
      </w:r>
      <w:r w:rsidR="009F4290">
        <w:rPr>
          <w:rFonts w:asciiTheme="majorBidi" w:hAnsiTheme="majorBidi"/>
          <w:noProof/>
        </w:rPr>
        <w:t>,</w:t>
      </w:r>
      <w:r w:rsidR="009F4290">
        <w:rPr>
          <w:rFonts w:asciiTheme="majorBidi" w:hAnsiTheme="majorBidi"/>
        </w:rPr>
        <w:fldChar w:fldCharType="end"/>
      </w:r>
      <w:r w:rsidR="009F4290">
        <w:rPr>
          <w:rFonts w:asciiTheme="majorBidi" w:hAnsiTheme="majorBidi"/>
        </w:rPr>
        <w:t xml:space="preserve"> showed that there is a significant enhancement in the NAPL pool dissolution in the presence of biomass near to the water-NAPL interface when there is unlimited electron donor.</w:t>
      </w:r>
    </w:p>
    <w:p w14:paraId="2894C8A9" w14:textId="402D68CA" w:rsidR="00BB1B18" w:rsidRPr="005244BD" w:rsidRDefault="00902B7D" w:rsidP="007C7934">
      <w:pPr>
        <w:spacing w:line="480" w:lineRule="auto"/>
        <w:jc w:val="both"/>
        <w:rPr>
          <w:rFonts w:asciiTheme="majorBidi" w:hAnsiTheme="majorBidi"/>
        </w:rPr>
      </w:pPr>
      <w:r w:rsidRPr="005244BD">
        <w:rPr>
          <w:rFonts w:asciiTheme="majorBidi" w:hAnsiTheme="majorBidi"/>
        </w:rPr>
        <w:lastRenderedPageBreak/>
        <w:t xml:space="preserve">The results </w:t>
      </w:r>
      <w:r w:rsidR="00731AE9" w:rsidRPr="005244BD">
        <w:rPr>
          <w:rFonts w:asciiTheme="majorBidi" w:hAnsiTheme="majorBidi"/>
        </w:rPr>
        <w:t xml:space="preserve">for bioremediation </w:t>
      </w:r>
      <w:r w:rsidRPr="005244BD">
        <w:rPr>
          <w:rFonts w:asciiTheme="majorBidi" w:hAnsiTheme="majorBidi"/>
        </w:rPr>
        <w:t>indicate that as NAPL is</w:t>
      </w:r>
      <w:r w:rsidR="00747A8B" w:rsidRPr="005244BD">
        <w:rPr>
          <w:rFonts w:asciiTheme="majorBidi" w:hAnsiTheme="majorBidi"/>
        </w:rPr>
        <w:t xml:space="preserve"> more</w:t>
      </w:r>
      <w:r w:rsidRPr="005244BD">
        <w:rPr>
          <w:rFonts w:asciiTheme="majorBidi" w:hAnsiTheme="majorBidi"/>
        </w:rPr>
        <w:t xml:space="preserve"> distributed through the pore network</w:t>
      </w:r>
      <w:r w:rsidR="00731AE9" w:rsidRPr="005244BD">
        <w:rPr>
          <w:rFonts w:asciiTheme="majorBidi" w:hAnsiTheme="majorBidi"/>
        </w:rPr>
        <w:t xml:space="preserve"> (uncorrelated cases shown in green)</w:t>
      </w:r>
      <w:r w:rsidR="009D38E6" w:rsidRPr="005244BD">
        <w:rPr>
          <w:rFonts w:asciiTheme="majorBidi" w:hAnsiTheme="majorBidi"/>
        </w:rPr>
        <w:t>,</w:t>
      </w:r>
      <w:r w:rsidRPr="005244BD">
        <w:rPr>
          <w:rFonts w:asciiTheme="majorBidi" w:hAnsiTheme="majorBidi"/>
        </w:rPr>
        <w:t xml:space="preserve"> the process of natural attenuation enhances NAPL removal. Two reasons are suggested as being the </w:t>
      </w:r>
      <w:r w:rsidR="00586D2C" w:rsidRPr="005244BD">
        <w:rPr>
          <w:rFonts w:asciiTheme="majorBidi" w:hAnsiTheme="majorBidi"/>
        </w:rPr>
        <w:t>causes</w:t>
      </w:r>
      <w:r w:rsidRPr="005244BD">
        <w:rPr>
          <w:rFonts w:asciiTheme="majorBidi" w:hAnsiTheme="majorBidi"/>
        </w:rPr>
        <w:t xml:space="preserve"> of the enhanced process of natural attenuation in the uncorrelated pore networks: (1) </w:t>
      </w:r>
      <w:r w:rsidR="004408E7" w:rsidRPr="005244BD">
        <w:rPr>
          <w:rFonts w:asciiTheme="majorBidi" w:hAnsiTheme="majorBidi"/>
        </w:rPr>
        <w:t>enhanced NAPL dissolution and (2) enhanced biodegra</w:t>
      </w:r>
      <w:r w:rsidR="00BE6C33" w:rsidRPr="005244BD">
        <w:rPr>
          <w:rFonts w:asciiTheme="majorBidi" w:hAnsiTheme="majorBidi"/>
        </w:rPr>
        <w:t xml:space="preserve">dation. </w:t>
      </w:r>
      <w:r w:rsidR="00BB1B18" w:rsidRPr="005244BD">
        <w:rPr>
          <w:rFonts w:asciiTheme="majorBidi" w:hAnsiTheme="majorBidi"/>
        </w:rPr>
        <w:t xml:space="preserve">The NAPL concentration profiles shown in the inset of </w:t>
      </w:r>
      <w:r w:rsidR="00977860" w:rsidRPr="005244BD">
        <w:rPr>
          <w:rFonts w:asciiTheme="majorBidi" w:hAnsiTheme="majorBidi"/>
          <w:b/>
          <w:bCs/>
        </w:rPr>
        <w:fldChar w:fldCharType="begin"/>
      </w:r>
      <w:r w:rsidR="00977860" w:rsidRPr="005244BD">
        <w:rPr>
          <w:rFonts w:asciiTheme="majorBidi" w:hAnsiTheme="majorBidi"/>
          <w:b/>
          <w:bCs/>
        </w:rPr>
        <w:instrText xml:space="preserve"> REF _Ref14958239 \h  \* MERGEFORMAT </w:instrText>
      </w:r>
      <w:r w:rsidR="00977860" w:rsidRPr="005244BD">
        <w:rPr>
          <w:rFonts w:asciiTheme="majorBidi" w:hAnsiTheme="majorBidi"/>
          <w:b/>
          <w:bCs/>
        </w:rPr>
      </w:r>
      <w:r w:rsidR="00977860" w:rsidRPr="005244BD">
        <w:rPr>
          <w:rFonts w:asciiTheme="majorBidi" w:hAnsiTheme="majorBidi"/>
          <w:b/>
          <w:bCs/>
        </w:rPr>
        <w:fldChar w:fldCharType="separate"/>
      </w:r>
      <w:r w:rsidR="00EE0F85" w:rsidRPr="00EE0F85">
        <w:rPr>
          <w:rFonts w:asciiTheme="majorBidi" w:hAnsiTheme="majorBidi"/>
          <w:b/>
          <w:bCs/>
        </w:rPr>
        <w:t>Figure 3</w:t>
      </w:r>
      <w:r w:rsidR="00977860" w:rsidRPr="005244BD">
        <w:rPr>
          <w:rFonts w:asciiTheme="majorBidi" w:hAnsiTheme="majorBidi"/>
          <w:b/>
          <w:bCs/>
        </w:rPr>
        <w:fldChar w:fldCharType="end"/>
      </w:r>
      <w:r w:rsidR="00BB1B18" w:rsidRPr="005244BD">
        <w:rPr>
          <w:rFonts w:asciiTheme="majorBidi" w:hAnsiTheme="majorBidi"/>
          <w:b/>
          <w:bCs/>
        </w:rPr>
        <w:t xml:space="preserve"> </w:t>
      </w:r>
      <w:r w:rsidR="00BB1B18" w:rsidRPr="005244BD">
        <w:rPr>
          <w:rFonts w:asciiTheme="majorBidi" w:hAnsiTheme="majorBidi"/>
        </w:rPr>
        <w:t>indicate that while the dissolved NAPL in the aqueous phase is distributed through the entire uncorrelated pore networks, the</w:t>
      </w:r>
      <w:r w:rsidR="0028142F" w:rsidRPr="005244BD">
        <w:rPr>
          <w:rFonts w:asciiTheme="majorBidi" w:hAnsiTheme="majorBidi"/>
        </w:rPr>
        <w:t xml:space="preserve"> high concentration of </w:t>
      </w:r>
      <w:r w:rsidR="00BB1B18" w:rsidRPr="005244BD">
        <w:rPr>
          <w:rFonts w:asciiTheme="majorBidi" w:hAnsiTheme="majorBidi"/>
        </w:rPr>
        <w:t>NAPL is</w:t>
      </w:r>
      <w:r w:rsidR="0028142F" w:rsidRPr="005244BD">
        <w:rPr>
          <w:rFonts w:asciiTheme="majorBidi" w:hAnsiTheme="majorBidi"/>
        </w:rPr>
        <w:t xml:space="preserve"> only</w:t>
      </w:r>
      <w:r w:rsidR="00BB1B18" w:rsidRPr="005244BD">
        <w:rPr>
          <w:rFonts w:asciiTheme="majorBidi" w:hAnsiTheme="majorBidi"/>
        </w:rPr>
        <w:t xml:space="preserve"> observed in some area</w:t>
      </w:r>
      <w:r w:rsidR="0028142F" w:rsidRPr="005244BD">
        <w:rPr>
          <w:rFonts w:asciiTheme="majorBidi" w:hAnsiTheme="majorBidi"/>
        </w:rPr>
        <w:t>s</w:t>
      </w:r>
      <w:r w:rsidR="00BB1B18" w:rsidRPr="005244BD">
        <w:rPr>
          <w:rFonts w:asciiTheme="majorBidi" w:hAnsiTheme="majorBidi"/>
        </w:rPr>
        <w:t xml:space="preserve"> in the </w:t>
      </w:r>
      <w:r w:rsidR="00A51939" w:rsidRPr="005244BD">
        <w:rPr>
          <w:rFonts w:asciiTheme="majorBidi" w:hAnsiTheme="majorBidi"/>
        </w:rPr>
        <w:t>correlated</w:t>
      </w:r>
      <w:r w:rsidR="00BB1B18" w:rsidRPr="005244BD">
        <w:rPr>
          <w:rFonts w:asciiTheme="majorBidi" w:hAnsiTheme="majorBidi"/>
        </w:rPr>
        <w:t xml:space="preserve"> pore networks</w:t>
      </w:r>
      <w:r w:rsidR="0028142F" w:rsidRPr="005244BD">
        <w:rPr>
          <w:rFonts w:asciiTheme="majorBidi" w:hAnsiTheme="majorBidi"/>
        </w:rPr>
        <w:t xml:space="preserve"> (</w:t>
      </w:r>
      <w:r w:rsidR="0028142F" w:rsidRPr="005244BD">
        <w:rPr>
          <w:rFonts w:asciiTheme="majorBidi" w:hAnsiTheme="majorBidi"/>
          <w:i/>
          <w:iCs/>
        </w:rPr>
        <w:t>i.e.</w:t>
      </w:r>
      <w:r w:rsidR="0028142F" w:rsidRPr="005244BD">
        <w:rPr>
          <w:rFonts w:asciiTheme="majorBidi" w:hAnsiTheme="majorBidi"/>
        </w:rPr>
        <w:t>, NAPL is trapped as clusters in these areas). As NAPL is more distributed through the pore network, it provides more NAPL-water interface surface area which result</w:t>
      </w:r>
      <w:r w:rsidR="00776848" w:rsidRPr="005244BD">
        <w:rPr>
          <w:rFonts w:asciiTheme="majorBidi" w:hAnsiTheme="majorBidi"/>
        </w:rPr>
        <w:t>s</w:t>
      </w:r>
      <w:r w:rsidR="0028142F" w:rsidRPr="005244BD">
        <w:rPr>
          <w:rFonts w:asciiTheme="majorBidi" w:hAnsiTheme="majorBidi"/>
        </w:rPr>
        <w:t xml:space="preserve"> in enhancement of dissolution.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4"/>
        <w:gridCol w:w="2222"/>
      </w:tblGrid>
      <w:tr w:rsidR="00731AE9" w:rsidRPr="005244BD" w14:paraId="31CA6C64" w14:textId="77777777" w:rsidTr="00A302E9">
        <w:tc>
          <w:tcPr>
            <w:tcW w:w="6804" w:type="dxa"/>
          </w:tcPr>
          <w:p w14:paraId="04567BC2" w14:textId="77777777" w:rsidR="00731AE9" w:rsidRPr="005244BD" w:rsidRDefault="00731AE9" w:rsidP="00F35A27">
            <w:pPr>
              <w:spacing w:line="480" w:lineRule="auto"/>
              <w:jc w:val="both"/>
              <w:rPr>
                <w:rFonts w:asciiTheme="majorBidi" w:hAnsiTheme="majorBidi"/>
              </w:rPr>
            </w:pPr>
            <w:r w:rsidRPr="005244BD">
              <w:rPr>
                <w:rFonts w:asciiTheme="majorBidi" w:hAnsiTheme="majorBidi"/>
                <w:noProof/>
                <w:lang w:eastAsia="en-GB"/>
              </w:rPr>
              <w:drawing>
                <wp:inline distT="0" distB="0" distL="0" distR="0" wp14:anchorId="3DAD1397" wp14:editId="1D9B376E">
                  <wp:extent cx="4260854" cy="4320000"/>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0854" cy="4320000"/>
                          </a:xfrm>
                          <a:prstGeom prst="rect">
                            <a:avLst/>
                          </a:prstGeom>
                          <a:noFill/>
                        </pic:spPr>
                      </pic:pic>
                    </a:graphicData>
                  </a:graphic>
                </wp:inline>
              </w:drawing>
            </w:r>
          </w:p>
        </w:tc>
        <w:tc>
          <w:tcPr>
            <w:tcW w:w="2222" w:type="dxa"/>
          </w:tcPr>
          <w:p w14:paraId="04D6716F" w14:textId="232A62C0" w:rsidR="00731AE9" w:rsidRPr="005244BD" w:rsidRDefault="00731AE9" w:rsidP="00A302E9">
            <w:pPr>
              <w:spacing w:line="480" w:lineRule="auto"/>
              <w:jc w:val="both"/>
              <w:rPr>
                <w:rFonts w:asciiTheme="majorBidi" w:hAnsiTheme="majorBidi"/>
              </w:rPr>
            </w:pPr>
            <w:bookmarkStart w:id="11" w:name="_Ref14958239"/>
            <w:r w:rsidRPr="005244BD">
              <w:rPr>
                <w:rFonts w:asciiTheme="majorBidi" w:eastAsiaTheme="minorEastAsia" w:hAnsiTheme="majorBidi" w:cstheme="majorBidi"/>
                <w:b/>
                <w:bCs/>
                <w:iCs/>
                <w:sz w:val="20"/>
                <w:szCs w:val="20"/>
              </w:rPr>
              <w:t xml:space="preserve">Figure </w:t>
            </w:r>
            <w:r w:rsidRPr="005244BD">
              <w:rPr>
                <w:rFonts w:asciiTheme="majorBidi" w:eastAsiaTheme="minorEastAsia" w:hAnsiTheme="majorBidi" w:cstheme="majorBidi"/>
                <w:b/>
                <w:bCs/>
                <w:iCs/>
                <w:sz w:val="20"/>
                <w:szCs w:val="20"/>
              </w:rPr>
              <w:fldChar w:fldCharType="begin"/>
            </w:r>
            <w:r w:rsidRPr="005244BD">
              <w:rPr>
                <w:rFonts w:asciiTheme="majorBidi" w:eastAsiaTheme="minorEastAsia" w:hAnsiTheme="majorBidi" w:cstheme="majorBidi"/>
                <w:b/>
                <w:bCs/>
                <w:iCs/>
                <w:sz w:val="20"/>
                <w:szCs w:val="20"/>
              </w:rPr>
              <w:instrText xml:space="preserve"> SEQ Figure \* ARABIC </w:instrText>
            </w:r>
            <w:r w:rsidRPr="005244BD">
              <w:rPr>
                <w:rFonts w:asciiTheme="majorBidi" w:eastAsiaTheme="minorEastAsia" w:hAnsiTheme="majorBidi" w:cstheme="majorBidi"/>
                <w:b/>
                <w:bCs/>
                <w:iCs/>
                <w:sz w:val="20"/>
                <w:szCs w:val="20"/>
              </w:rPr>
              <w:fldChar w:fldCharType="separate"/>
            </w:r>
            <w:r w:rsidR="00EE0F85">
              <w:rPr>
                <w:rFonts w:asciiTheme="majorBidi" w:eastAsiaTheme="minorEastAsia" w:hAnsiTheme="majorBidi" w:cstheme="majorBidi"/>
                <w:b/>
                <w:bCs/>
                <w:iCs/>
                <w:noProof/>
                <w:sz w:val="20"/>
                <w:szCs w:val="20"/>
              </w:rPr>
              <w:t>3</w:t>
            </w:r>
            <w:r w:rsidRPr="005244BD">
              <w:rPr>
                <w:rFonts w:asciiTheme="majorBidi" w:eastAsiaTheme="minorEastAsia" w:hAnsiTheme="majorBidi" w:cstheme="majorBidi"/>
                <w:b/>
                <w:bCs/>
                <w:iCs/>
                <w:sz w:val="20"/>
                <w:szCs w:val="20"/>
              </w:rPr>
              <w:fldChar w:fldCharType="end"/>
            </w:r>
            <w:bookmarkEnd w:id="11"/>
            <w:r w:rsidRPr="005244BD">
              <w:rPr>
                <w:rFonts w:asciiTheme="majorBidi" w:eastAsiaTheme="minorEastAsia" w:hAnsiTheme="majorBidi" w:cstheme="majorBidi"/>
                <w:b/>
                <w:bCs/>
                <w:iCs/>
                <w:sz w:val="20"/>
                <w:szCs w:val="20"/>
              </w:rPr>
              <w:t>.</w:t>
            </w:r>
            <w:r w:rsidRPr="005244BD">
              <w:rPr>
                <w:rFonts w:asciiTheme="majorBidi" w:eastAsiaTheme="minorEastAsia" w:hAnsiTheme="majorBidi" w:cstheme="majorBidi"/>
                <w:iCs/>
                <w:sz w:val="20"/>
                <w:szCs w:val="20"/>
              </w:rPr>
              <w:t xml:space="preserve"> NAPL recovery as a function of PVI for </w:t>
            </w:r>
            <w:r w:rsidR="00366199" w:rsidRPr="005244BD">
              <w:rPr>
                <w:rFonts w:asciiTheme="majorBidi" w:eastAsiaTheme="minorEastAsia" w:hAnsiTheme="majorBidi" w:cstheme="majorBidi"/>
                <w:iCs/>
                <w:sz w:val="20"/>
                <w:szCs w:val="20"/>
              </w:rPr>
              <w:t xml:space="preserve">various </w:t>
            </w:r>
            <w:r w:rsidRPr="005244BD">
              <w:rPr>
                <w:rFonts w:asciiTheme="majorBidi" w:eastAsiaTheme="minorEastAsia" w:hAnsiTheme="majorBidi" w:cstheme="majorBidi"/>
                <w:iCs/>
                <w:sz w:val="20"/>
                <w:szCs w:val="20"/>
              </w:rPr>
              <w:t xml:space="preserve">pore network structures with and without bio implementation. Initial NAPL saturation is 40%. Insets: bio mass distribution through the networks at 60% NAPL recovery and </w:t>
            </w:r>
            <w:r w:rsidR="00491D0E" w:rsidRPr="005244BD">
              <w:rPr>
                <w:rFonts w:asciiTheme="majorBidi" w:eastAsiaTheme="minorEastAsia" w:hAnsiTheme="majorBidi" w:cstheme="majorBidi"/>
                <w:iCs/>
                <w:sz w:val="20"/>
                <w:szCs w:val="20"/>
              </w:rPr>
              <w:t xml:space="preserve">dissolved NAPL concentration in the water phase </w:t>
            </w:r>
            <w:r w:rsidRPr="005244BD">
              <w:rPr>
                <w:rFonts w:asciiTheme="majorBidi" w:eastAsiaTheme="minorEastAsia" w:hAnsiTheme="majorBidi" w:cstheme="majorBidi"/>
                <w:iCs/>
                <w:sz w:val="20"/>
                <w:szCs w:val="20"/>
              </w:rPr>
              <w:t>at 50% NAPL recovery.</w:t>
            </w:r>
          </w:p>
        </w:tc>
      </w:tr>
    </w:tbl>
    <w:p w14:paraId="62B7ED11" w14:textId="786B08B2" w:rsidR="00011C2E" w:rsidRPr="005244BD" w:rsidRDefault="001E68C9" w:rsidP="001E68C9">
      <w:pPr>
        <w:spacing w:after="0" w:line="480" w:lineRule="auto"/>
        <w:jc w:val="both"/>
        <w:rPr>
          <w:rFonts w:asciiTheme="majorBidi" w:hAnsiTheme="majorBidi"/>
        </w:rPr>
      </w:pPr>
      <w:r w:rsidRPr="005244BD">
        <w:rPr>
          <w:rFonts w:asciiTheme="majorBidi" w:hAnsiTheme="majorBidi"/>
          <w:b/>
          <w:bCs/>
        </w:rPr>
        <w:fldChar w:fldCharType="begin"/>
      </w:r>
      <w:r w:rsidRPr="005244BD">
        <w:rPr>
          <w:rFonts w:asciiTheme="majorBidi" w:hAnsiTheme="majorBidi"/>
          <w:b/>
          <w:bCs/>
        </w:rPr>
        <w:instrText xml:space="preserve"> REF _Ref38730547 \h  \* MERGEFORMAT </w:instrText>
      </w:r>
      <w:r w:rsidRPr="005244BD">
        <w:rPr>
          <w:rFonts w:asciiTheme="majorBidi" w:hAnsiTheme="majorBidi"/>
          <w:b/>
          <w:bCs/>
        </w:rPr>
      </w:r>
      <w:r w:rsidRPr="005244BD">
        <w:rPr>
          <w:rFonts w:asciiTheme="majorBidi" w:hAnsiTheme="majorBidi"/>
          <w:b/>
          <w:bCs/>
        </w:rPr>
        <w:fldChar w:fldCharType="separate"/>
      </w:r>
      <w:r w:rsidR="00EE0F85" w:rsidRPr="00EE0F85">
        <w:rPr>
          <w:rFonts w:asciiTheme="majorBidi" w:hAnsiTheme="majorBidi"/>
          <w:b/>
          <w:bCs/>
        </w:rPr>
        <w:t>Figure 4</w:t>
      </w:r>
      <w:r w:rsidRPr="005244BD">
        <w:rPr>
          <w:rFonts w:asciiTheme="majorBidi" w:hAnsiTheme="majorBidi"/>
          <w:b/>
          <w:bCs/>
        </w:rPr>
        <w:fldChar w:fldCharType="end"/>
      </w:r>
      <w:r w:rsidRPr="005244BD">
        <w:rPr>
          <w:rFonts w:asciiTheme="majorBidi" w:hAnsiTheme="majorBidi"/>
          <w:b/>
          <w:bCs/>
        </w:rPr>
        <w:t xml:space="preserve"> </w:t>
      </w:r>
      <w:r w:rsidRPr="005244BD">
        <w:rPr>
          <w:rFonts w:asciiTheme="majorBidi" w:hAnsiTheme="majorBidi"/>
        </w:rPr>
        <w:t>shows the contribution of biodegradation (includ</w:t>
      </w:r>
      <w:r>
        <w:rPr>
          <w:rFonts w:asciiTheme="majorBidi" w:hAnsiTheme="majorBidi"/>
        </w:rPr>
        <w:t>ing</w:t>
      </w:r>
      <w:r w:rsidRPr="005244BD">
        <w:rPr>
          <w:rFonts w:asciiTheme="majorBidi" w:hAnsiTheme="majorBidi"/>
        </w:rPr>
        <w:t xml:space="preserve"> biodegradation of dissolved NAPL and NAPL phase) and dissolved NAPL production in the NAPL recovery (remediation) as a function of time and pore volume injection for the correlated and uncorrelated pore networks. The results indicate the significant influence of biodegradation compared to the natural dissolution in NAPL remediation, </w:t>
      </w:r>
      <w:r w:rsidRPr="001E68C9">
        <w:rPr>
          <w:rFonts w:asciiTheme="majorBidi" w:hAnsiTheme="majorBidi"/>
        </w:rPr>
        <w:lastRenderedPageBreak/>
        <w:t>as</w:t>
      </w:r>
      <w:r w:rsidRPr="005244BD">
        <w:rPr>
          <w:rFonts w:asciiTheme="majorBidi" w:hAnsiTheme="majorBidi"/>
        </w:rPr>
        <w:t xml:space="preserve"> natural dissolution of NAPL into the water could be a very low process due to its low solubility and mass transfer coefficient. However, the contribution of NAPL biodegradation very much depends on the amount of biomass and its growth rate (</w:t>
      </w:r>
      <w:r>
        <w:rPr>
          <w:rFonts w:asciiTheme="majorBidi" w:hAnsiTheme="majorBidi"/>
        </w:rPr>
        <w:t>through</w:t>
      </w:r>
      <w:r w:rsidRPr="005244BD">
        <w:rPr>
          <w:rFonts w:asciiTheme="majorBidi" w:hAnsiTheme="majorBidi"/>
        </w:rPr>
        <w:t xml:space="preserve"> the parameter</w:t>
      </w:r>
      <w:r>
        <w:rPr>
          <w:rFonts w:asciiTheme="majorBidi" w:hAnsiTheme="majorBidi"/>
        </w:rPr>
        <w:t>s</w:t>
      </w:r>
      <w:r w:rsidRPr="005244BD">
        <w:rPr>
          <w:rFonts w:asciiTheme="majorBidi" w:hAnsiTheme="majorBidi"/>
        </w:rPr>
        <w:t xml:space="preserve"> listed in </w:t>
      </w:r>
      <w:r w:rsidRPr="005244BD">
        <w:rPr>
          <w:rFonts w:asciiTheme="majorBidi" w:hAnsiTheme="majorBidi"/>
          <w:b/>
          <w:bCs/>
        </w:rPr>
        <w:fldChar w:fldCharType="begin"/>
      </w:r>
      <w:r w:rsidRPr="005244BD">
        <w:rPr>
          <w:rFonts w:asciiTheme="majorBidi" w:hAnsiTheme="majorBidi"/>
          <w:b/>
          <w:bCs/>
        </w:rPr>
        <w:instrText xml:space="preserve"> REF _Ref15029240 \h  \* MERGEFORMAT </w:instrText>
      </w:r>
      <w:r w:rsidRPr="005244BD">
        <w:rPr>
          <w:rFonts w:asciiTheme="majorBidi" w:hAnsiTheme="majorBidi"/>
          <w:b/>
          <w:bCs/>
        </w:rPr>
      </w:r>
      <w:r w:rsidRPr="005244BD">
        <w:rPr>
          <w:rFonts w:asciiTheme="majorBidi" w:hAnsiTheme="majorBidi"/>
          <w:b/>
          <w:bCs/>
        </w:rPr>
        <w:fldChar w:fldCharType="separate"/>
      </w:r>
      <w:r w:rsidR="00EE0F85" w:rsidRPr="00EE0F85">
        <w:rPr>
          <w:rFonts w:asciiTheme="majorBidi" w:hAnsiTheme="majorBidi"/>
          <w:b/>
          <w:bCs/>
        </w:rPr>
        <w:t>Table 2</w:t>
      </w:r>
      <w:r w:rsidRPr="005244BD">
        <w:rPr>
          <w:rFonts w:asciiTheme="majorBidi" w:hAnsiTheme="majorBidi"/>
          <w:b/>
          <w:bCs/>
        </w:rPr>
        <w:fldChar w:fldCharType="end"/>
      </w:r>
      <w:r w:rsidRPr="005244BD">
        <w:rPr>
          <w:rFonts w:asciiTheme="majorBidi" w:hAnsi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634"/>
      </w:tblGrid>
      <w:tr w:rsidR="008A40D3" w:rsidRPr="005244BD" w14:paraId="6F66C04A" w14:textId="77777777" w:rsidTr="008A40D3">
        <w:tc>
          <w:tcPr>
            <w:tcW w:w="4609" w:type="dxa"/>
          </w:tcPr>
          <w:p w14:paraId="7230FD28" w14:textId="77777777" w:rsidR="008A40D3" w:rsidRPr="005244BD" w:rsidRDefault="008A40D3" w:rsidP="00065485">
            <w:pPr>
              <w:spacing w:after="0" w:line="240" w:lineRule="auto"/>
              <w:jc w:val="both"/>
              <w:rPr>
                <w:rFonts w:asciiTheme="majorBidi" w:hAnsiTheme="majorBidi"/>
              </w:rPr>
            </w:pPr>
            <w:r w:rsidRPr="005244BD">
              <w:rPr>
                <w:rFonts w:asciiTheme="majorBidi" w:hAnsiTheme="majorBidi"/>
                <w:noProof/>
                <w:lang w:eastAsia="en-GB"/>
              </w:rPr>
              <w:drawing>
                <wp:inline distT="0" distB="0" distL="0" distR="0" wp14:anchorId="53EBD1D7" wp14:editId="74ECF86B">
                  <wp:extent cx="2879546" cy="172800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26"/>
                          <a:stretch/>
                        </pic:blipFill>
                        <pic:spPr bwMode="auto">
                          <a:xfrm>
                            <a:off x="0" y="0"/>
                            <a:ext cx="2879546"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5C6CE9D5" w14:textId="77777777" w:rsidR="008A40D3" w:rsidRPr="005244BD" w:rsidRDefault="008A40D3" w:rsidP="00065485">
            <w:pPr>
              <w:spacing w:after="0" w:line="240" w:lineRule="auto"/>
              <w:jc w:val="center"/>
              <w:rPr>
                <w:rFonts w:asciiTheme="majorBidi" w:eastAsiaTheme="minorEastAsia" w:hAnsiTheme="majorBidi" w:cstheme="majorBidi"/>
                <w:iCs/>
                <w:sz w:val="20"/>
                <w:szCs w:val="20"/>
              </w:rPr>
            </w:pPr>
          </w:p>
        </w:tc>
        <w:tc>
          <w:tcPr>
            <w:tcW w:w="4633" w:type="dxa"/>
          </w:tcPr>
          <w:p w14:paraId="5953656C" w14:textId="77777777" w:rsidR="008A40D3" w:rsidRPr="005244BD" w:rsidRDefault="008A40D3" w:rsidP="00065485">
            <w:pPr>
              <w:spacing w:after="0" w:line="240" w:lineRule="auto"/>
              <w:jc w:val="center"/>
              <w:rPr>
                <w:rFonts w:asciiTheme="majorBidi" w:eastAsiaTheme="minorEastAsia" w:hAnsiTheme="majorBidi" w:cstheme="majorBidi"/>
                <w:iCs/>
                <w:sz w:val="20"/>
                <w:szCs w:val="20"/>
              </w:rPr>
            </w:pPr>
            <w:r w:rsidRPr="005244BD">
              <w:rPr>
                <w:rFonts w:asciiTheme="majorBidi" w:eastAsiaTheme="minorEastAsia" w:hAnsiTheme="majorBidi" w:cstheme="majorBidi"/>
                <w:iCs/>
                <w:noProof/>
                <w:sz w:val="20"/>
                <w:szCs w:val="20"/>
                <w:lang w:eastAsia="en-GB"/>
              </w:rPr>
              <w:drawing>
                <wp:inline distT="0" distB="0" distL="0" distR="0" wp14:anchorId="17F796AD" wp14:editId="2DC563CD">
                  <wp:extent cx="2894386" cy="1728000"/>
                  <wp:effectExtent l="0" t="0" r="127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29"/>
                          <a:stretch/>
                        </pic:blipFill>
                        <pic:spPr bwMode="auto">
                          <a:xfrm>
                            <a:off x="0" y="0"/>
                            <a:ext cx="2894386"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1C2E" w:rsidRPr="005244BD" w14:paraId="126887EC" w14:textId="77777777" w:rsidTr="008A40D3">
        <w:tc>
          <w:tcPr>
            <w:tcW w:w="4609" w:type="dxa"/>
          </w:tcPr>
          <w:p w14:paraId="04C38A1F" w14:textId="77777777" w:rsidR="00011C2E" w:rsidRPr="005244BD" w:rsidRDefault="00011C2E" w:rsidP="00067F48">
            <w:pPr>
              <w:spacing w:after="0" w:line="240" w:lineRule="auto"/>
              <w:jc w:val="center"/>
              <w:rPr>
                <w:rFonts w:asciiTheme="majorBidi" w:eastAsiaTheme="minorEastAsia" w:hAnsiTheme="majorBidi" w:cstheme="majorBidi"/>
                <w:b/>
                <w:iCs/>
                <w:sz w:val="20"/>
                <w:szCs w:val="20"/>
              </w:rPr>
            </w:pPr>
            <w:r w:rsidRPr="005244BD">
              <w:rPr>
                <w:rFonts w:asciiTheme="majorBidi" w:eastAsiaTheme="minorEastAsia" w:hAnsiTheme="majorBidi" w:cstheme="majorBidi"/>
                <w:b/>
                <w:iCs/>
                <w:sz w:val="20"/>
                <w:szCs w:val="20"/>
              </w:rPr>
              <w:t>(a)</w:t>
            </w:r>
          </w:p>
        </w:tc>
        <w:tc>
          <w:tcPr>
            <w:tcW w:w="4633" w:type="dxa"/>
          </w:tcPr>
          <w:p w14:paraId="5C96708C" w14:textId="77777777" w:rsidR="00011C2E" w:rsidRPr="005244BD" w:rsidRDefault="00011C2E" w:rsidP="00067F48">
            <w:pPr>
              <w:spacing w:after="0" w:line="240" w:lineRule="auto"/>
              <w:jc w:val="center"/>
              <w:rPr>
                <w:rFonts w:asciiTheme="majorBidi" w:eastAsiaTheme="minorEastAsia" w:hAnsiTheme="majorBidi" w:cstheme="majorBidi"/>
                <w:b/>
                <w:iCs/>
                <w:sz w:val="20"/>
                <w:szCs w:val="20"/>
              </w:rPr>
            </w:pPr>
            <w:r w:rsidRPr="005244BD">
              <w:rPr>
                <w:rFonts w:asciiTheme="majorBidi" w:eastAsiaTheme="minorEastAsia" w:hAnsiTheme="majorBidi" w:cstheme="majorBidi"/>
                <w:b/>
                <w:iCs/>
                <w:sz w:val="20"/>
                <w:szCs w:val="20"/>
              </w:rPr>
              <w:t>(b)</w:t>
            </w:r>
          </w:p>
        </w:tc>
      </w:tr>
    </w:tbl>
    <w:p w14:paraId="4A1533CF" w14:textId="65CD0F81" w:rsidR="00011C2E" w:rsidRPr="005244BD" w:rsidRDefault="00011C2E" w:rsidP="008A40D3">
      <w:pPr>
        <w:spacing w:line="480" w:lineRule="auto"/>
        <w:jc w:val="both"/>
        <w:rPr>
          <w:rFonts w:asciiTheme="majorBidi" w:hAnsiTheme="majorBidi"/>
        </w:rPr>
      </w:pPr>
      <w:bookmarkStart w:id="12" w:name="_Ref38730547"/>
      <w:r w:rsidRPr="005244BD">
        <w:rPr>
          <w:rFonts w:asciiTheme="majorBidi" w:eastAsiaTheme="minorEastAsia" w:hAnsiTheme="majorBidi" w:cstheme="majorBidi"/>
          <w:b/>
          <w:bCs/>
          <w:iCs/>
          <w:sz w:val="20"/>
          <w:szCs w:val="20"/>
        </w:rPr>
        <w:t xml:space="preserve">Figure </w:t>
      </w:r>
      <w:r w:rsidRPr="005244BD">
        <w:rPr>
          <w:rFonts w:asciiTheme="majorBidi" w:eastAsiaTheme="minorEastAsia" w:hAnsiTheme="majorBidi" w:cstheme="majorBidi"/>
          <w:b/>
          <w:bCs/>
          <w:iCs/>
          <w:sz w:val="20"/>
          <w:szCs w:val="20"/>
        </w:rPr>
        <w:fldChar w:fldCharType="begin"/>
      </w:r>
      <w:r w:rsidRPr="005244BD">
        <w:rPr>
          <w:rFonts w:asciiTheme="majorBidi" w:eastAsiaTheme="minorEastAsia" w:hAnsiTheme="majorBidi" w:cstheme="majorBidi"/>
          <w:b/>
          <w:bCs/>
          <w:iCs/>
          <w:sz w:val="20"/>
          <w:szCs w:val="20"/>
        </w:rPr>
        <w:instrText xml:space="preserve"> SEQ Figure \* ARABIC </w:instrText>
      </w:r>
      <w:r w:rsidRPr="005244BD">
        <w:rPr>
          <w:rFonts w:asciiTheme="majorBidi" w:eastAsiaTheme="minorEastAsia" w:hAnsiTheme="majorBidi" w:cstheme="majorBidi"/>
          <w:b/>
          <w:bCs/>
          <w:iCs/>
          <w:sz w:val="20"/>
          <w:szCs w:val="20"/>
        </w:rPr>
        <w:fldChar w:fldCharType="separate"/>
      </w:r>
      <w:r w:rsidR="00EE0F85">
        <w:rPr>
          <w:rFonts w:asciiTheme="majorBidi" w:eastAsiaTheme="minorEastAsia" w:hAnsiTheme="majorBidi" w:cstheme="majorBidi"/>
          <w:b/>
          <w:bCs/>
          <w:iCs/>
          <w:noProof/>
          <w:sz w:val="20"/>
          <w:szCs w:val="20"/>
        </w:rPr>
        <w:t>4</w:t>
      </w:r>
      <w:r w:rsidRPr="005244BD">
        <w:rPr>
          <w:rFonts w:asciiTheme="majorBidi" w:eastAsiaTheme="minorEastAsia" w:hAnsiTheme="majorBidi" w:cstheme="majorBidi"/>
          <w:b/>
          <w:bCs/>
          <w:iCs/>
          <w:sz w:val="20"/>
          <w:szCs w:val="20"/>
        </w:rPr>
        <w:fldChar w:fldCharType="end"/>
      </w:r>
      <w:bookmarkEnd w:id="12"/>
      <w:r w:rsidRPr="005244BD">
        <w:rPr>
          <w:rFonts w:asciiTheme="majorBidi" w:eastAsiaTheme="minorEastAsia" w:hAnsiTheme="majorBidi" w:cstheme="majorBidi"/>
          <w:b/>
          <w:bCs/>
          <w:iCs/>
          <w:sz w:val="20"/>
          <w:szCs w:val="20"/>
        </w:rPr>
        <w:t>.</w:t>
      </w:r>
      <w:r w:rsidRPr="005244BD">
        <w:rPr>
          <w:rFonts w:asciiTheme="majorBidi" w:eastAsiaTheme="minorEastAsia" w:hAnsiTheme="majorBidi" w:cstheme="majorBidi"/>
          <w:iCs/>
          <w:sz w:val="20"/>
          <w:szCs w:val="20"/>
        </w:rPr>
        <w:t xml:space="preserve"> NAPL recovery due to total biodegradation and production (NAPL which was flushed out from the system) as a function of time and PVI for </w:t>
      </w:r>
      <w:r w:rsidR="00294E2B" w:rsidRPr="005244BD">
        <w:rPr>
          <w:rFonts w:asciiTheme="majorBidi" w:eastAsiaTheme="minorEastAsia" w:hAnsiTheme="majorBidi" w:cstheme="majorBidi"/>
          <w:iCs/>
          <w:sz w:val="20"/>
          <w:szCs w:val="20"/>
        </w:rPr>
        <w:t>(a) uncorrelated</w:t>
      </w:r>
      <w:r w:rsidRPr="005244BD">
        <w:rPr>
          <w:rFonts w:asciiTheme="majorBidi" w:eastAsiaTheme="minorEastAsia" w:hAnsiTheme="majorBidi" w:cstheme="majorBidi"/>
          <w:iCs/>
          <w:sz w:val="20"/>
          <w:szCs w:val="20"/>
        </w:rPr>
        <w:t xml:space="preserve"> pore network</w:t>
      </w:r>
      <w:r w:rsidR="002C434F">
        <w:rPr>
          <w:rFonts w:asciiTheme="majorBidi" w:eastAsiaTheme="minorEastAsia" w:hAnsiTheme="majorBidi" w:cstheme="majorBidi"/>
          <w:iCs/>
          <w:sz w:val="20"/>
          <w:szCs w:val="20"/>
        </w:rPr>
        <w:t>,</w:t>
      </w:r>
      <w:r w:rsidRPr="005244BD">
        <w:rPr>
          <w:rFonts w:asciiTheme="majorBidi" w:eastAsiaTheme="minorEastAsia" w:hAnsiTheme="majorBidi" w:cstheme="majorBidi"/>
          <w:iCs/>
          <w:sz w:val="20"/>
          <w:szCs w:val="20"/>
        </w:rPr>
        <w:t xml:space="preserve"> </w:t>
      </w:r>
      <w:r w:rsidR="00294E2B" w:rsidRPr="005244BD">
        <w:rPr>
          <w:rFonts w:asciiTheme="majorBidi" w:eastAsiaTheme="minorEastAsia" w:hAnsiTheme="majorBidi" w:cstheme="majorBidi"/>
          <w:iCs/>
          <w:sz w:val="20"/>
          <w:szCs w:val="20"/>
        </w:rPr>
        <w:t>and (b) correlated pore network</w:t>
      </w:r>
      <w:r w:rsidRPr="005244BD">
        <w:rPr>
          <w:rFonts w:asciiTheme="majorBidi" w:eastAsiaTheme="minorEastAsia" w:hAnsiTheme="majorBidi" w:cstheme="majorBidi"/>
          <w:iCs/>
          <w:sz w:val="20"/>
          <w:szCs w:val="20"/>
        </w:rPr>
        <w:t xml:space="preserve">. </w:t>
      </w:r>
    </w:p>
    <w:p w14:paraId="66993660" w14:textId="77A178A6" w:rsidR="00BB1B18" w:rsidRPr="005244BD" w:rsidRDefault="00366199" w:rsidP="00BE2484">
      <w:pPr>
        <w:spacing w:line="480" w:lineRule="auto"/>
        <w:jc w:val="both"/>
        <w:rPr>
          <w:rFonts w:asciiTheme="majorBidi" w:hAnsiTheme="majorBidi"/>
        </w:rPr>
      </w:pPr>
      <w:r w:rsidRPr="005244BD">
        <w:rPr>
          <w:rFonts w:asciiTheme="majorBidi" w:hAnsiTheme="majorBidi"/>
        </w:rPr>
        <w:t>R</w:t>
      </w:r>
      <w:r w:rsidR="006B76E2" w:rsidRPr="005244BD">
        <w:rPr>
          <w:rFonts w:asciiTheme="majorBidi" w:hAnsiTheme="majorBidi"/>
        </w:rPr>
        <w:t>esults</w:t>
      </w:r>
      <w:r w:rsidRPr="005244BD">
        <w:rPr>
          <w:rFonts w:asciiTheme="majorBidi" w:hAnsiTheme="majorBidi"/>
        </w:rPr>
        <w:t xml:space="preserve"> </w:t>
      </w:r>
      <w:r w:rsidR="004B1769" w:rsidRPr="005244BD">
        <w:rPr>
          <w:rFonts w:asciiTheme="majorBidi" w:hAnsiTheme="majorBidi"/>
        </w:rPr>
        <w:t xml:space="preserve">are </w:t>
      </w:r>
      <w:r w:rsidRPr="005244BD">
        <w:rPr>
          <w:rFonts w:asciiTheme="majorBidi" w:hAnsiTheme="majorBidi"/>
        </w:rPr>
        <w:t xml:space="preserve">shown in </w:t>
      </w:r>
      <w:r w:rsidRPr="005244BD">
        <w:rPr>
          <w:rFonts w:asciiTheme="majorBidi" w:hAnsiTheme="majorBidi"/>
          <w:b/>
          <w:bCs/>
        </w:rPr>
        <w:fldChar w:fldCharType="begin"/>
      </w:r>
      <w:r w:rsidRPr="005244BD">
        <w:rPr>
          <w:rFonts w:asciiTheme="majorBidi" w:hAnsiTheme="majorBidi"/>
          <w:b/>
          <w:bCs/>
        </w:rPr>
        <w:instrText xml:space="preserve"> REF _Ref15026069 \h  \* MERGEFORMAT </w:instrText>
      </w:r>
      <w:r w:rsidRPr="005244BD">
        <w:rPr>
          <w:rFonts w:asciiTheme="majorBidi" w:hAnsiTheme="majorBidi"/>
          <w:b/>
          <w:bCs/>
        </w:rPr>
      </w:r>
      <w:r w:rsidRPr="005244BD">
        <w:rPr>
          <w:rFonts w:asciiTheme="majorBidi" w:hAnsiTheme="majorBidi"/>
          <w:b/>
          <w:bCs/>
        </w:rPr>
        <w:fldChar w:fldCharType="separate"/>
      </w:r>
      <w:r w:rsidR="00EE0F85" w:rsidRPr="00EE0F85">
        <w:rPr>
          <w:rFonts w:asciiTheme="majorBidi" w:hAnsiTheme="majorBidi"/>
          <w:b/>
          <w:bCs/>
        </w:rPr>
        <w:t>Figure 5</w:t>
      </w:r>
      <w:r w:rsidRPr="005244BD">
        <w:rPr>
          <w:rFonts w:asciiTheme="majorBidi" w:hAnsiTheme="majorBidi"/>
          <w:b/>
          <w:bCs/>
        </w:rPr>
        <w:fldChar w:fldCharType="end"/>
      </w:r>
      <w:r w:rsidR="006B76E2" w:rsidRPr="005244BD">
        <w:rPr>
          <w:rFonts w:asciiTheme="majorBidi" w:hAnsiTheme="majorBidi"/>
        </w:rPr>
        <w:t xml:space="preserve"> </w:t>
      </w:r>
      <w:r w:rsidRPr="005244BD">
        <w:rPr>
          <w:rFonts w:asciiTheme="majorBidi" w:hAnsiTheme="majorBidi"/>
        </w:rPr>
        <w:t xml:space="preserve">point out </w:t>
      </w:r>
      <w:r w:rsidR="006B76E2" w:rsidRPr="005244BD">
        <w:rPr>
          <w:rFonts w:asciiTheme="majorBidi" w:hAnsiTheme="majorBidi"/>
        </w:rPr>
        <w:t xml:space="preserve">that the bio-growth in the uncorrelated pore networks was higher than in the </w:t>
      </w:r>
      <w:r w:rsidR="00A51939" w:rsidRPr="005244BD">
        <w:rPr>
          <w:rFonts w:asciiTheme="majorBidi" w:hAnsiTheme="majorBidi"/>
        </w:rPr>
        <w:t>correlated</w:t>
      </w:r>
      <w:r w:rsidR="006B76E2" w:rsidRPr="005244BD">
        <w:rPr>
          <w:rFonts w:asciiTheme="majorBidi" w:hAnsiTheme="majorBidi"/>
        </w:rPr>
        <w:t xml:space="preserve"> pore networks. The reason for this behaviour is that the dissolved NAPL is more distributed in the uncorrelated pore networks, providing the nutrition of bacteria for growth through the entire uncorrelated pore networks. For example, as shown in the inset of </w:t>
      </w:r>
      <w:r w:rsidR="006B76E2" w:rsidRPr="005244BD">
        <w:rPr>
          <w:rFonts w:asciiTheme="majorBidi" w:hAnsiTheme="majorBidi"/>
          <w:b/>
          <w:bCs/>
        </w:rPr>
        <w:fldChar w:fldCharType="begin"/>
      </w:r>
      <w:r w:rsidR="006B76E2" w:rsidRPr="005244BD">
        <w:rPr>
          <w:rFonts w:asciiTheme="majorBidi" w:hAnsiTheme="majorBidi"/>
          <w:b/>
          <w:bCs/>
        </w:rPr>
        <w:instrText xml:space="preserve"> REF _Ref14958239 \h  \* MERGEFORMAT </w:instrText>
      </w:r>
      <w:r w:rsidR="006B76E2" w:rsidRPr="005244BD">
        <w:rPr>
          <w:rFonts w:asciiTheme="majorBidi" w:hAnsiTheme="majorBidi"/>
          <w:b/>
          <w:bCs/>
        </w:rPr>
      </w:r>
      <w:r w:rsidR="006B76E2" w:rsidRPr="005244BD">
        <w:rPr>
          <w:rFonts w:asciiTheme="majorBidi" w:hAnsiTheme="majorBidi"/>
          <w:b/>
          <w:bCs/>
        </w:rPr>
        <w:fldChar w:fldCharType="separate"/>
      </w:r>
      <w:r w:rsidR="00EE0F85" w:rsidRPr="00EE0F85">
        <w:rPr>
          <w:rFonts w:asciiTheme="majorBidi" w:hAnsiTheme="majorBidi"/>
          <w:b/>
          <w:bCs/>
        </w:rPr>
        <w:t>Figure 3</w:t>
      </w:r>
      <w:r w:rsidR="006B76E2" w:rsidRPr="005244BD">
        <w:rPr>
          <w:rFonts w:asciiTheme="majorBidi" w:hAnsiTheme="majorBidi"/>
          <w:b/>
          <w:bCs/>
        </w:rPr>
        <w:fldChar w:fldCharType="end"/>
      </w:r>
      <w:r w:rsidR="006B76E2" w:rsidRPr="005244BD">
        <w:rPr>
          <w:rFonts w:asciiTheme="majorBidi" w:hAnsiTheme="majorBidi"/>
          <w:b/>
          <w:bCs/>
        </w:rPr>
        <w:t xml:space="preserve"> </w:t>
      </w:r>
      <w:r w:rsidR="006B76E2" w:rsidRPr="005244BD">
        <w:rPr>
          <w:rFonts w:asciiTheme="majorBidi" w:hAnsiTheme="majorBidi"/>
        </w:rPr>
        <w:t>for biomass distribution, while the map shows</w:t>
      </w:r>
      <w:r w:rsidR="00AD22E5" w:rsidRPr="005244BD">
        <w:rPr>
          <w:rFonts w:asciiTheme="majorBidi" w:hAnsiTheme="majorBidi"/>
        </w:rPr>
        <w:t xml:space="preserve"> high biomass in some areas of correlated</w:t>
      </w:r>
      <w:r w:rsidR="006B76E2" w:rsidRPr="005244BD">
        <w:rPr>
          <w:rFonts w:asciiTheme="majorBidi" w:hAnsiTheme="majorBidi"/>
        </w:rPr>
        <w:t xml:space="preserve"> pore networks, it </w:t>
      </w:r>
      <w:r w:rsidR="00AD22E5" w:rsidRPr="005244BD">
        <w:rPr>
          <w:rFonts w:asciiTheme="majorBidi" w:hAnsiTheme="majorBidi"/>
        </w:rPr>
        <w:t>h</w:t>
      </w:r>
      <w:r w:rsidR="006B76E2" w:rsidRPr="005244BD">
        <w:rPr>
          <w:rFonts w:asciiTheme="majorBidi" w:hAnsiTheme="majorBidi"/>
        </w:rPr>
        <w:t>as grown through the en</w:t>
      </w:r>
      <w:r w:rsidR="005858BE" w:rsidRPr="005244BD">
        <w:rPr>
          <w:rFonts w:asciiTheme="majorBidi" w:hAnsiTheme="majorBidi"/>
        </w:rPr>
        <w:t xml:space="preserve">tire uncorrelated pore networks. </w:t>
      </w:r>
      <w:r w:rsidR="00D62160" w:rsidRPr="005244BD">
        <w:rPr>
          <w:rFonts w:asciiTheme="majorBidi" w:hAnsiTheme="majorBidi"/>
        </w:rPr>
        <w:t>The biomass distribution</w:t>
      </w:r>
      <w:r w:rsidR="006B76E2" w:rsidRPr="005244BD">
        <w:rPr>
          <w:rFonts w:asciiTheme="majorBidi" w:hAnsiTheme="majorBidi"/>
        </w:rPr>
        <w:t xml:space="preserve"> </w:t>
      </w:r>
      <w:r w:rsidR="00FA32AB" w:rsidRPr="005244BD">
        <w:rPr>
          <w:rFonts w:asciiTheme="majorBidi" w:hAnsiTheme="majorBidi"/>
        </w:rPr>
        <w:t>agrees</w:t>
      </w:r>
      <w:r w:rsidR="006B76E2" w:rsidRPr="005244BD">
        <w:rPr>
          <w:rFonts w:asciiTheme="majorBidi" w:hAnsiTheme="majorBidi"/>
        </w:rPr>
        <w:t xml:space="preserve"> with dissolved NAPL distribution through the pore networks.</w:t>
      </w:r>
      <w:r w:rsidR="00BD2AA1">
        <w:rPr>
          <w:rFonts w:asciiTheme="majorBidi" w:hAnsiTheme="majorBidi"/>
        </w:rPr>
        <w:t xml:space="preserve"> </w:t>
      </w:r>
      <w:r w:rsidR="00772167">
        <w:rPr>
          <w:rFonts w:asciiTheme="majorBidi" w:hAnsiTheme="majorBidi"/>
        </w:rPr>
        <w:t xml:space="preserve">The results of bio mass distribution agree with the Darcy numerical simulation for PCE biodegradation </w:t>
      </w:r>
      <w:r w:rsidR="00BE2484">
        <w:rPr>
          <w:rFonts w:asciiTheme="majorBidi" w:hAnsiTheme="majorBidi"/>
        </w:rPr>
        <w:t>conducted</w:t>
      </w:r>
      <w:r w:rsidR="00772167">
        <w:rPr>
          <w:rFonts w:asciiTheme="majorBidi" w:hAnsiTheme="majorBidi"/>
        </w:rPr>
        <w:t xml:space="preserve"> by </w:t>
      </w:r>
      <w:r w:rsidR="00772167">
        <w:rPr>
          <w:rFonts w:asciiTheme="majorBidi" w:hAnsiTheme="majorBidi"/>
        </w:rPr>
        <w:fldChar w:fldCharType="begin" w:fldLock="1"/>
      </w:r>
      <w:r w:rsidR="00772167">
        <w:rPr>
          <w:rFonts w:asciiTheme="majorBidi" w:hAnsiTheme="majorBidi"/>
        </w:rPr>
        <w:instrText>ADDIN CSL_CITATION {"citationItems":[{"id":"ITEM-1","itemData":{"author":[{"dropping-particle":"","family":"Chu","given":"M","non-dropping-particle":"","parse-names":false,"suffix":""},{"dropping-particle":"","family":"Kitanidis","given":"P K","non-dropping-particle":"","parse-names":false,"suffix":""},{"dropping-particle":"","family":"McCarty","given":"P L","non-dropping-particle":"","parse-names":false,"suffix":""}],"container-title":"Journal of Contaminant Hydrology","id":"ITEM-1","issue":"1-2","issued":{"date-parts":[["2003"]]},"page":"79-100","publisher":"Elsevier","title":"Effects of biomass accumulation on microbially enhanced dissolution of a PCE pool: a numerical simulation","type":"article-journal","volume":"65"},"uris":["http://www.mendeley.com/documents/?uuid=6ed3dd00-d1b0-4084-a24f-dad7eb422072"]}],"mendeley":{"formattedCitation":"(Chu et al., 2003)","manualFormatting":"Chu et al., 2003","plainTextFormattedCitation":"(Chu et al., 2003)","previouslyFormattedCitation":"(Chu et al., 2003)"},"properties":{"noteIndex":0},"schema":"https://github.com/citation-style-language/schema/raw/master/csl-citation.json"}</w:instrText>
      </w:r>
      <w:r w:rsidR="00772167">
        <w:rPr>
          <w:rFonts w:asciiTheme="majorBidi" w:hAnsiTheme="majorBidi"/>
        </w:rPr>
        <w:fldChar w:fldCharType="separate"/>
      </w:r>
      <w:r w:rsidR="00772167" w:rsidRPr="00234BF0">
        <w:rPr>
          <w:rFonts w:asciiTheme="majorBidi" w:hAnsiTheme="majorBidi"/>
          <w:noProof/>
        </w:rPr>
        <w:t>Chu et al., 2003</w:t>
      </w:r>
      <w:r w:rsidR="00772167">
        <w:rPr>
          <w:rFonts w:asciiTheme="majorBidi" w:hAnsiTheme="majorBidi"/>
        </w:rPr>
        <w:fldChar w:fldCharType="end"/>
      </w:r>
      <w:r w:rsidR="00772167">
        <w:rPr>
          <w:rFonts w:asciiTheme="majorBidi" w:hAnsiTheme="majorBidi"/>
        </w:rPr>
        <w:t>, i.e., more biomass is expected to be produced in the vicinity of NAPL area.</w:t>
      </w:r>
      <w:r w:rsidR="00772167" w:rsidRPr="005244BD">
        <w:rPr>
          <w:rFonts w:asciiTheme="majorBidi" w:hAnsiTheme="majorBidi"/>
        </w:rPr>
        <w:t xml:space="preserve"> </w:t>
      </w:r>
      <w:r w:rsidR="006B76E2" w:rsidRPr="005244BD">
        <w:rPr>
          <w:rFonts w:asciiTheme="majorBidi" w:hAnsiTheme="majorBidi"/>
        </w:rPr>
        <w:t xml:space="preserve">A higher biomass growth suggests more NAPL remediation by biodegradation. </w:t>
      </w:r>
      <w:r w:rsidR="00D62160" w:rsidRPr="005244BD">
        <w:rPr>
          <w:rFonts w:asciiTheme="majorBidi" w:hAnsiTheme="majorBidi"/>
        </w:rPr>
        <w:t>A</w:t>
      </w:r>
      <w:r w:rsidR="006B76E2" w:rsidRPr="005244BD">
        <w:rPr>
          <w:rFonts w:asciiTheme="majorBidi" w:hAnsiTheme="majorBidi"/>
        </w:rPr>
        <w:t xml:space="preserve">s shown in </w:t>
      </w:r>
      <w:r w:rsidR="006B76E2" w:rsidRPr="005244BD">
        <w:rPr>
          <w:rFonts w:asciiTheme="majorBidi" w:hAnsiTheme="majorBidi"/>
          <w:b/>
          <w:bCs/>
        </w:rPr>
        <w:fldChar w:fldCharType="begin"/>
      </w:r>
      <w:r w:rsidR="006B76E2" w:rsidRPr="005244BD">
        <w:rPr>
          <w:rFonts w:asciiTheme="majorBidi" w:hAnsiTheme="majorBidi"/>
          <w:b/>
          <w:bCs/>
        </w:rPr>
        <w:instrText xml:space="preserve"> REF _Ref15026069 \h  \* MERGEFORMAT </w:instrText>
      </w:r>
      <w:r w:rsidR="006B76E2" w:rsidRPr="005244BD">
        <w:rPr>
          <w:rFonts w:asciiTheme="majorBidi" w:hAnsiTheme="majorBidi"/>
          <w:b/>
          <w:bCs/>
        </w:rPr>
      </w:r>
      <w:r w:rsidR="006B76E2" w:rsidRPr="005244BD">
        <w:rPr>
          <w:rFonts w:asciiTheme="majorBidi" w:hAnsiTheme="majorBidi"/>
          <w:b/>
          <w:bCs/>
        </w:rPr>
        <w:fldChar w:fldCharType="separate"/>
      </w:r>
      <w:r w:rsidR="00EE0F85" w:rsidRPr="00EE0F85">
        <w:rPr>
          <w:rFonts w:asciiTheme="majorBidi" w:hAnsiTheme="majorBidi"/>
          <w:b/>
          <w:bCs/>
        </w:rPr>
        <w:t>Figure 5</w:t>
      </w:r>
      <w:r w:rsidR="006B76E2" w:rsidRPr="005244BD">
        <w:rPr>
          <w:rFonts w:asciiTheme="majorBidi" w:hAnsiTheme="majorBidi"/>
          <w:b/>
          <w:bCs/>
        </w:rPr>
        <w:fldChar w:fldCharType="end"/>
      </w:r>
      <w:r w:rsidR="006B76E2" w:rsidRPr="005244BD">
        <w:rPr>
          <w:rFonts w:asciiTheme="majorBidi" w:hAnsiTheme="majorBidi"/>
        </w:rPr>
        <w:t xml:space="preserve">, the mass of bio and the number of colonies for uncorrelated pore networks were higher than </w:t>
      </w:r>
      <w:r w:rsidR="00A51939" w:rsidRPr="005244BD">
        <w:rPr>
          <w:rFonts w:asciiTheme="majorBidi" w:hAnsiTheme="majorBidi"/>
        </w:rPr>
        <w:t>correlated</w:t>
      </w:r>
      <w:r w:rsidR="006B76E2" w:rsidRPr="005244BD">
        <w:rPr>
          <w:rFonts w:asciiTheme="majorBidi" w:hAnsiTheme="majorBidi"/>
        </w:rPr>
        <w:t xml:space="preserve"> pore networks at a specific </w:t>
      </w:r>
      <w:r w:rsidR="00700CF9" w:rsidRPr="005244BD">
        <w:rPr>
          <w:rFonts w:asciiTheme="majorBidi" w:hAnsiTheme="majorBidi"/>
        </w:rPr>
        <w:t>PVI. T</w:t>
      </w:r>
      <w:r w:rsidR="006B76E2" w:rsidRPr="005244BD">
        <w:rPr>
          <w:rFonts w:asciiTheme="majorBidi" w:hAnsiTheme="majorBidi"/>
        </w:rPr>
        <w:t>herefore, the NAPL biodegradation rate in the uncorrelated pore n</w:t>
      </w:r>
      <w:r w:rsidR="00DE146A" w:rsidRPr="005244BD">
        <w:rPr>
          <w:rFonts w:asciiTheme="majorBidi" w:hAnsiTheme="majorBidi"/>
        </w:rPr>
        <w:t xml:space="preserve">etworks was higher </w:t>
      </w:r>
      <w:r w:rsidR="00C80D21" w:rsidRPr="005244BD">
        <w:rPr>
          <w:rFonts w:asciiTheme="majorBidi" w:hAnsiTheme="majorBidi"/>
        </w:rPr>
        <w:t xml:space="preserve">than that of </w:t>
      </w:r>
      <w:r w:rsidR="00DE146A" w:rsidRPr="005244BD">
        <w:rPr>
          <w:rFonts w:asciiTheme="majorBidi" w:hAnsiTheme="majorBidi"/>
        </w:rPr>
        <w:t>the correlated</w:t>
      </w:r>
      <w:r w:rsidR="006B76E2" w:rsidRPr="005244BD">
        <w:rPr>
          <w:rFonts w:asciiTheme="majorBidi" w:hAnsiTheme="majorBidi"/>
        </w:rPr>
        <w:t xml:space="preserve"> pore networks.</w:t>
      </w:r>
      <w:r w:rsidR="00334EFA" w:rsidRPr="005244BD">
        <w:rPr>
          <w:rFonts w:asciiTheme="majorBidi" w:hAnsiTheme="majorBidi"/>
        </w:rPr>
        <w:t xml:space="preserve"> </w:t>
      </w:r>
      <w:r w:rsidR="00334EFA" w:rsidRPr="005244BD">
        <w:rPr>
          <w:rFonts w:asciiTheme="majorBidi" w:hAnsiTheme="majorBidi"/>
          <w:b/>
          <w:bCs/>
        </w:rPr>
        <w:fldChar w:fldCharType="begin"/>
      </w:r>
      <w:r w:rsidR="00334EFA" w:rsidRPr="005244BD">
        <w:rPr>
          <w:rFonts w:asciiTheme="majorBidi" w:hAnsiTheme="majorBidi"/>
          <w:b/>
          <w:bCs/>
        </w:rPr>
        <w:instrText xml:space="preserve"> REF _Ref15026069 \h  \* MERGEFORMAT </w:instrText>
      </w:r>
      <w:r w:rsidR="00334EFA" w:rsidRPr="005244BD">
        <w:rPr>
          <w:rFonts w:asciiTheme="majorBidi" w:hAnsiTheme="majorBidi"/>
          <w:b/>
          <w:bCs/>
        </w:rPr>
      </w:r>
      <w:r w:rsidR="00334EFA" w:rsidRPr="005244BD">
        <w:rPr>
          <w:rFonts w:asciiTheme="majorBidi" w:hAnsiTheme="majorBidi"/>
          <w:b/>
          <w:bCs/>
        </w:rPr>
        <w:fldChar w:fldCharType="separate"/>
      </w:r>
      <w:r w:rsidR="00EE0F85" w:rsidRPr="00EE0F85">
        <w:rPr>
          <w:rFonts w:asciiTheme="majorBidi" w:hAnsiTheme="majorBidi"/>
          <w:b/>
          <w:bCs/>
        </w:rPr>
        <w:t>Figure 5</w:t>
      </w:r>
      <w:r w:rsidR="00334EFA" w:rsidRPr="005244BD">
        <w:rPr>
          <w:rFonts w:asciiTheme="majorBidi" w:hAnsiTheme="majorBidi"/>
          <w:b/>
          <w:bCs/>
        </w:rPr>
        <w:fldChar w:fldCharType="end"/>
      </w:r>
      <w:r w:rsidR="00334EFA" w:rsidRPr="005244BD">
        <w:rPr>
          <w:rFonts w:asciiTheme="majorBidi" w:hAnsiTheme="majorBidi"/>
        </w:rPr>
        <w:t xml:space="preserve"> also shows that</w:t>
      </w:r>
      <w:r w:rsidR="00334EFA" w:rsidRPr="005244BD">
        <w:rPr>
          <w:rFonts w:asciiTheme="majorBidi" w:hAnsiTheme="majorBidi"/>
          <w:b/>
          <w:bCs/>
        </w:rPr>
        <w:t xml:space="preserve"> </w:t>
      </w:r>
      <w:r w:rsidR="00334EFA" w:rsidRPr="005244BD">
        <w:rPr>
          <w:rFonts w:asciiTheme="majorBidi" w:hAnsiTheme="majorBidi"/>
        </w:rPr>
        <w:t xml:space="preserve">the rate of increase of biomass was high at the initial time of simulation and gradually decreased and finally the mass of bio started to decrease. This is because of the fact that as NAPL was </w:t>
      </w:r>
      <w:r w:rsidR="00B438D0" w:rsidRPr="005244BD">
        <w:rPr>
          <w:rFonts w:asciiTheme="majorBidi" w:hAnsiTheme="majorBidi"/>
        </w:rPr>
        <w:t>rem</w:t>
      </w:r>
      <w:r w:rsidR="00B438D0">
        <w:rPr>
          <w:rFonts w:asciiTheme="majorBidi" w:hAnsiTheme="majorBidi"/>
        </w:rPr>
        <w:t>oved</w:t>
      </w:r>
      <w:r w:rsidR="00B438D0" w:rsidRPr="005244BD">
        <w:rPr>
          <w:rFonts w:asciiTheme="majorBidi" w:hAnsiTheme="majorBidi"/>
        </w:rPr>
        <w:t xml:space="preserve"> </w:t>
      </w:r>
      <w:r w:rsidR="00334EFA" w:rsidRPr="005244BD">
        <w:rPr>
          <w:rFonts w:asciiTheme="majorBidi" w:hAnsiTheme="majorBidi"/>
        </w:rPr>
        <w:t>over time, the amount of dissolved NAPL available for bio-growth (as the nutrient for bacteria) decreased.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81936" w:rsidRPr="005244BD" w14:paraId="06562F76" w14:textId="77777777" w:rsidTr="00F81936">
        <w:tc>
          <w:tcPr>
            <w:tcW w:w="4621" w:type="dxa"/>
          </w:tcPr>
          <w:p w14:paraId="1B10264B" w14:textId="39C3E5CA" w:rsidR="00F81936" w:rsidRPr="005244BD" w:rsidRDefault="0093161B" w:rsidP="00F81936">
            <w:pPr>
              <w:spacing w:after="0" w:line="240" w:lineRule="auto"/>
              <w:jc w:val="center"/>
              <w:rPr>
                <w:rFonts w:asciiTheme="majorBidi" w:eastAsiaTheme="minorEastAsia" w:hAnsiTheme="majorBidi" w:cstheme="majorBidi"/>
                <w:iCs/>
                <w:sz w:val="20"/>
                <w:szCs w:val="20"/>
              </w:rPr>
            </w:pPr>
            <w:r w:rsidRPr="005244BD">
              <w:rPr>
                <w:rFonts w:asciiTheme="majorBidi" w:eastAsiaTheme="minorEastAsia" w:hAnsiTheme="majorBidi" w:cstheme="majorBidi"/>
                <w:iCs/>
                <w:noProof/>
                <w:sz w:val="20"/>
                <w:szCs w:val="20"/>
                <w:lang w:eastAsia="en-GB"/>
              </w:rPr>
              <w:lastRenderedPageBreak/>
              <w:drawing>
                <wp:inline distT="0" distB="0" distL="0" distR="0" wp14:anchorId="219CF470" wp14:editId="0A9E3715">
                  <wp:extent cx="2862000" cy="166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2000" cy="1663200"/>
                          </a:xfrm>
                          <a:prstGeom prst="rect">
                            <a:avLst/>
                          </a:prstGeom>
                          <a:noFill/>
                        </pic:spPr>
                      </pic:pic>
                    </a:graphicData>
                  </a:graphic>
                </wp:inline>
              </w:drawing>
            </w:r>
          </w:p>
        </w:tc>
        <w:tc>
          <w:tcPr>
            <w:tcW w:w="4621" w:type="dxa"/>
          </w:tcPr>
          <w:p w14:paraId="5599BF8C" w14:textId="51B21114" w:rsidR="00F81936" w:rsidRPr="005244BD" w:rsidRDefault="0093161B" w:rsidP="00F81936">
            <w:pPr>
              <w:spacing w:after="0" w:line="240" w:lineRule="auto"/>
              <w:jc w:val="center"/>
              <w:rPr>
                <w:rFonts w:asciiTheme="majorBidi" w:eastAsiaTheme="minorEastAsia" w:hAnsiTheme="majorBidi" w:cstheme="majorBidi"/>
                <w:iCs/>
                <w:sz w:val="20"/>
                <w:szCs w:val="20"/>
              </w:rPr>
            </w:pPr>
            <w:r w:rsidRPr="005244BD">
              <w:rPr>
                <w:rFonts w:asciiTheme="majorBidi" w:eastAsiaTheme="minorEastAsia" w:hAnsiTheme="majorBidi" w:cstheme="majorBidi"/>
                <w:iCs/>
                <w:noProof/>
                <w:sz w:val="20"/>
                <w:szCs w:val="20"/>
                <w:lang w:eastAsia="en-GB"/>
              </w:rPr>
              <w:drawing>
                <wp:inline distT="0" distB="0" distL="0" distR="0" wp14:anchorId="59AE572D" wp14:editId="7B080714">
                  <wp:extent cx="2862000" cy="166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2000" cy="1663200"/>
                          </a:xfrm>
                          <a:prstGeom prst="rect">
                            <a:avLst/>
                          </a:prstGeom>
                          <a:noFill/>
                        </pic:spPr>
                      </pic:pic>
                    </a:graphicData>
                  </a:graphic>
                </wp:inline>
              </w:drawing>
            </w:r>
          </w:p>
        </w:tc>
      </w:tr>
      <w:tr w:rsidR="00F81936" w:rsidRPr="005244BD" w14:paraId="331EB3CB" w14:textId="77777777" w:rsidTr="00F81936">
        <w:tc>
          <w:tcPr>
            <w:tcW w:w="4621" w:type="dxa"/>
          </w:tcPr>
          <w:p w14:paraId="33676DED" w14:textId="40FB1B9C" w:rsidR="00F81936" w:rsidRPr="005244BD" w:rsidRDefault="00F81936" w:rsidP="00F81936">
            <w:pPr>
              <w:spacing w:after="0" w:line="240" w:lineRule="auto"/>
              <w:jc w:val="center"/>
              <w:rPr>
                <w:rFonts w:asciiTheme="majorBidi" w:eastAsiaTheme="minorEastAsia" w:hAnsiTheme="majorBidi" w:cstheme="majorBidi"/>
                <w:b/>
                <w:iCs/>
                <w:sz w:val="20"/>
                <w:szCs w:val="20"/>
              </w:rPr>
            </w:pPr>
            <w:r w:rsidRPr="005244BD">
              <w:rPr>
                <w:rFonts w:asciiTheme="majorBidi" w:eastAsiaTheme="minorEastAsia" w:hAnsiTheme="majorBidi" w:cstheme="majorBidi"/>
                <w:b/>
                <w:iCs/>
                <w:sz w:val="20"/>
                <w:szCs w:val="20"/>
              </w:rPr>
              <w:t>(a)</w:t>
            </w:r>
          </w:p>
        </w:tc>
        <w:tc>
          <w:tcPr>
            <w:tcW w:w="4621" w:type="dxa"/>
          </w:tcPr>
          <w:p w14:paraId="21F0EF72" w14:textId="0B8DD45C" w:rsidR="00F81936" w:rsidRPr="005244BD" w:rsidRDefault="00F81936" w:rsidP="00F81936">
            <w:pPr>
              <w:spacing w:after="0" w:line="240" w:lineRule="auto"/>
              <w:jc w:val="center"/>
              <w:rPr>
                <w:rFonts w:asciiTheme="majorBidi" w:eastAsiaTheme="minorEastAsia" w:hAnsiTheme="majorBidi" w:cstheme="majorBidi"/>
                <w:b/>
                <w:iCs/>
                <w:sz w:val="20"/>
                <w:szCs w:val="20"/>
              </w:rPr>
            </w:pPr>
            <w:r w:rsidRPr="005244BD">
              <w:rPr>
                <w:rFonts w:asciiTheme="majorBidi" w:eastAsiaTheme="minorEastAsia" w:hAnsiTheme="majorBidi" w:cstheme="majorBidi"/>
                <w:b/>
                <w:iCs/>
                <w:sz w:val="20"/>
                <w:szCs w:val="20"/>
              </w:rPr>
              <w:t>(b)</w:t>
            </w:r>
          </w:p>
        </w:tc>
      </w:tr>
    </w:tbl>
    <w:p w14:paraId="104ACB43" w14:textId="1CC54273" w:rsidR="006B76E2" w:rsidRPr="005244BD" w:rsidRDefault="006B76E2" w:rsidP="00B438D0">
      <w:pPr>
        <w:spacing w:line="480" w:lineRule="auto"/>
        <w:jc w:val="both"/>
        <w:rPr>
          <w:rFonts w:asciiTheme="majorBidi" w:eastAsiaTheme="minorEastAsia" w:hAnsiTheme="majorBidi" w:cstheme="majorBidi"/>
          <w:iCs/>
          <w:sz w:val="20"/>
          <w:szCs w:val="20"/>
        </w:rPr>
      </w:pPr>
      <w:bookmarkStart w:id="13" w:name="_Ref15026069"/>
      <w:r w:rsidRPr="005244BD">
        <w:rPr>
          <w:rFonts w:asciiTheme="majorBidi" w:eastAsiaTheme="minorEastAsia" w:hAnsiTheme="majorBidi" w:cstheme="majorBidi"/>
          <w:b/>
          <w:bCs/>
          <w:iCs/>
          <w:sz w:val="20"/>
          <w:szCs w:val="20"/>
        </w:rPr>
        <w:t xml:space="preserve">Figure </w:t>
      </w:r>
      <w:r w:rsidRPr="005244BD">
        <w:rPr>
          <w:rFonts w:asciiTheme="majorBidi" w:eastAsiaTheme="minorEastAsia" w:hAnsiTheme="majorBidi" w:cstheme="majorBidi"/>
          <w:b/>
          <w:bCs/>
          <w:iCs/>
          <w:sz w:val="20"/>
          <w:szCs w:val="20"/>
        </w:rPr>
        <w:fldChar w:fldCharType="begin"/>
      </w:r>
      <w:r w:rsidRPr="005244BD">
        <w:rPr>
          <w:rFonts w:asciiTheme="majorBidi" w:eastAsiaTheme="minorEastAsia" w:hAnsiTheme="majorBidi" w:cstheme="majorBidi"/>
          <w:b/>
          <w:bCs/>
          <w:iCs/>
          <w:sz w:val="20"/>
          <w:szCs w:val="20"/>
        </w:rPr>
        <w:instrText xml:space="preserve"> SEQ Figure \* ARABIC </w:instrText>
      </w:r>
      <w:r w:rsidRPr="005244BD">
        <w:rPr>
          <w:rFonts w:asciiTheme="majorBidi" w:eastAsiaTheme="minorEastAsia" w:hAnsiTheme="majorBidi" w:cstheme="majorBidi"/>
          <w:b/>
          <w:bCs/>
          <w:iCs/>
          <w:sz w:val="20"/>
          <w:szCs w:val="20"/>
        </w:rPr>
        <w:fldChar w:fldCharType="separate"/>
      </w:r>
      <w:r w:rsidR="00EE0F85">
        <w:rPr>
          <w:rFonts w:asciiTheme="majorBidi" w:eastAsiaTheme="minorEastAsia" w:hAnsiTheme="majorBidi" w:cstheme="majorBidi"/>
          <w:b/>
          <w:bCs/>
          <w:iCs/>
          <w:noProof/>
          <w:sz w:val="20"/>
          <w:szCs w:val="20"/>
        </w:rPr>
        <w:t>5</w:t>
      </w:r>
      <w:r w:rsidRPr="005244BD">
        <w:rPr>
          <w:rFonts w:asciiTheme="majorBidi" w:eastAsiaTheme="minorEastAsia" w:hAnsiTheme="majorBidi" w:cstheme="majorBidi"/>
          <w:b/>
          <w:bCs/>
          <w:iCs/>
          <w:sz w:val="20"/>
          <w:szCs w:val="20"/>
        </w:rPr>
        <w:fldChar w:fldCharType="end"/>
      </w:r>
      <w:bookmarkEnd w:id="13"/>
      <w:r w:rsidRPr="005244BD">
        <w:rPr>
          <w:rFonts w:asciiTheme="majorBidi" w:eastAsiaTheme="minorEastAsia" w:hAnsiTheme="majorBidi" w:cstheme="majorBidi"/>
          <w:b/>
          <w:bCs/>
          <w:iCs/>
          <w:sz w:val="20"/>
          <w:szCs w:val="20"/>
        </w:rPr>
        <w:t>.</w:t>
      </w:r>
      <w:r w:rsidRPr="005244BD">
        <w:rPr>
          <w:rFonts w:asciiTheme="majorBidi" w:eastAsiaTheme="minorEastAsia" w:hAnsiTheme="majorBidi" w:cstheme="majorBidi"/>
          <w:iCs/>
          <w:sz w:val="20"/>
          <w:szCs w:val="20"/>
        </w:rPr>
        <w:t xml:space="preserve"> Bio</w:t>
      </w:r>
      <w:r w:rsidR="00D821DD" w:rsidRPr="005244BD">
        <w:rPr>
          <w:rFonts w:asciiTheme="majorBidi" w:eastAsiaTheme="minorEastAsia" w:hAnsiTheme="majorBidi" w:cstheme="majorBidi"/>
          <w:iCs/>
          <w:sz w:val="20"/>
          <w:szCs w:val="20"/>
        </w:rPr>
        <w:t>-</w:t>
      </w:r>
      <w:r w:rsidRPr="005244BD">
        <w:rPr>
          <w:rFonts w:asciiTheme="majorBidi" w:eastAsiaTheme="minorEastAsia" w:hAnsiTheme="majorBidi" w:cstheme="majorBidi"/>
          <w:iCs/>
          <w:sz w:val="20"/>
          <w:szCs w:val="20"/>
        </w:rPr>
        <w:t xml:space="preserve">growth: (a) mass of </w:t>
      </w:r>
      <w:r w:rsidR="00D821DD" w:rsidRPr="005244BD">
        <w:rPr>
          <w:rFonts w:asciiTheme="majorBidi" w:eastAsiaTheme="minorEastAsia" w:hAnsiTheme="majorBidi" w:cstheme="majorBidi"/>
          <w:iCs/>
          <w:sz w:val="20"/>
          <w:szCs w:val="20"/>
        </w:rPr>
        <w:t>b</w:t>
      </w:r>
      <w:r w:rsidRPr="005244BD">
        <w:rPr>
          <w:rFonts w:asciiTheme="majorBidi" w:eastAsiaTheme="minorEastAsia" w:hAnsiTheme="majorBidi" w:cstheme="majorBidi"/>
          <w:iCs/>
          <w:sz w:val="20"/>
          <w:szCs w:val="20"/>
        </w:rPr>
        <w:t>io</w:t>
      </w:r>
      <w:r w:rsidR="005858BE" w:rsidRPr="005244BD">
        <w:rPr>
          <w:rFonts w:asciiTheme="majorBidi" w:eastAsiaTheme="minorEastAsia" w:hAnsiTheme="majorBidi" w:cstheme="majorBidi"/>
          <w:iCs/>
          <w:sz w:val="20"/>
          <w:szCs w:val="20"/>
        </w:rPr>
        <w:t>fi</w:t>
      </w:r>
      <w:r w:rsidR="00334EFA" w:rsidRPr="005244BD">
        <w:rPr>
          <w:rFonts w:asciiTheme="majorBidi" w:eastAsiaTheme="minorEastAsia" w:hAnsiTheme="majorBidi" w:cstheme="majorBidi"/>
          <w:iCs/>
          <w:sz w:val="20"/>
          <w:szCs w:val="20"/>
        </w:rPr>
        <w:t>l</w:t>
      </w:r>
      <w:r w:rsidR="005858BE" w:rsidRPr="005244BD">
        <w:rPr>
          <w:rFonts w:asciiTheme="majorBidi" w:eastAsiaTheme="minorEastAsia" w:hAnsiTheme="majorBidi" w:cstheme="majorBidi"/>
          <w:iCs/>
          <w:sz w:val="20"/>
          <w:szCs w:val="20"/>
        </w:rPr>
        <w:t>m</w:t>
      </w:r>
      <w:r w:rsidRPr="005244BD">
        <w:rPr>
          <w:rFonts w:asciiTheme="majorBidi" w:eastAsiaTheme="minorEastAsia" w:hAnsiTheme="majorBidi" w:cstheme="majorBidi"/>
          <w:iCs/>
          <w:sz w:val="20"/>
          <w:szCs w:val="20"/>
        </w:rPr>
        <w:t xml:space="preserve"> relative to its initial mass (b) number of colonies relative to its initial number as a function of </w:t>
      </w:r>
      <w:r w:rsidR="00700CF9" w:rsidRPr="005244BD">
        <w:rPr>
          <w:rFonts w:asciiTheme="majorBidi" w:eastAsiaTheme="minorEastAsia" w:hAnsiTheme="majorBidi" w:cstheme="majorBidi"/>
          <w:iCs/>
          <w:sz w:val="20"/>
          <w:szCs w:val="20"/>
        </w:rPr>
        <w:t>PVI</w:t>
      </w:r>
      <w:r w:rsidRPr="005244BD">
        <w:rPr>
          <w:rFonts w:asciiTheme="majorBidi" w:eastAsiaTheme="minorEastAsia" w:hAnsiTheme="majorBidi" w:cstheme="majorBidi"/>
          <w:iCs/>
          <w:sz w:val="20"/>
          <w:szCs w:val="20"/>
        </w:rPr>
        <w:t xml:space="preserve"> for different pore network structures with an initial NAPL saturation of 40%.</w:t>
      </w:r>
      <w:r w:rsidR="007A6F22" w:rsidRPr="005244BD">
        <w:rPr>
          <w:rFonts w:asciiTheme="majorBidi" w:eastAsiaTheme="minorEastAsia" w:hAnsiTheme="majorBidi" w:cstheme="majorBidi"/>
          <w:iCs/>
          <w:sz w:val="20"/>
          <w:szCs w:val="20"/>
        </w:rPr>
        <w:t xml:space="preserve"> </w:t>
      </w:r>
      <w:r w:rsidR="00CC3052" w:rsidRPr="005244BD">
        <w:rPr>
          <w:rFonts w:asciiTheme="majorBidi" w:eastAsiaTheme="minorEastAsia" w:hAnsiTheme="majorBidi" w:cstheme="majorBidi"/>
          <w:iCs/>
          <w:sz w:val="20"/>
          <w:szCs w:val="20"/>
        </w:rPr>
        <w:t>The initial biomass and colonies refer to the amount of biomass and number of col</w:t>
      </w:r>
      <w:r w:rsidR="00B438D0">
        <w:rPr>
          <w:rFonts w:asciiTheme="majorBidi" w:eastAsiaTheme="minorEastAsia" w:hAnsiTheme="majorBidi" w:cstheme="majorBidi"/>
          <w:iCs/>
          <w:sz w:val="20"/>
          <w:szCs w:val="20"/>
        </w:rPr>
        <w:t xml:space="preserve">onies respectively at the time </w:t>
      </w:r>
      <w:r w:rsidR="00CC3052" w:rsidRPr="005244BD">
        <w:rPr>
          <w:rFonts w:asciiTheme="majorBidi" w:eastAsiaTheme="minorEastAsia" w:hAnsiTheme="majorBidi" w:cstheme="majorBidi"/>
          <w:iCs/>
          <w:sz w:val="20"/>
          <w:szCs w:val="20"/>
        </w:rPr>
        <w:t>PVI</w:t>
      </w:r>
      <w:r w:rsidR="00FA32AB" w:rsidRPr="005244BD">
        <w:rPr>
          <w:rFonts w:asciiTheme="majorBidi" w:eastAsiaTheme="minorEastAsia" w:hAnsiTheme="majorBidi" w:cstheme="majorBidi"/>
          <w:iCs/>
          <w:sz w:val="20"/>
          <w:szCs w:val="20"/>
        </w:rPr>
        <w:t xml:space="preserve"> </w:t>
      </w:r>
      <w:r w:rsidR="00CC3052" w:rsidRPr="005244BD">
        <w:rPr>
          <w:rFonts w:asciiTheme="majorBidi" w:eastAsiaTheme="minorEastAsia" w:hAnsiTheme="majorBidi" w:cstheme="majorBidi"/>
          <w:iCs/>
          <w:sz w:val="20"/>
          <w:szCs w:val="20"/>
        </w:rPr>
        <w:t>=</w:t>
      </w:r>
      <w:r w:rsidR="00FA32AB" w:rsidRPr="005244BD">
        <w:rPr>
          <w:rFonts w:asciiTheme="majorBidi" w:eastAsiaTheme="minorEastAsia" w:hAnsiTheme="majorBidi" w:cstheme="majorBidi"/>
          <w:iCs/>
          <w:sz w:val="20"/>
          <w:szCs w:val="20"/>
        </w:rPr>
        <w:t xml:space="preserve"> </w:t>
      </w:r>
      <w:r w:rsidR="00CC3052" w:rsidRPr="005244BD">
        <w:rPr>
          <w:rFonts w:asciiTheme="majorBidi" w:eastAsiaTheme="minorEastAsia" w:hAnsiTheme="majorBidi" w:cstheme="majorBidi"/>
          <w:iCs/>
          <w:sz w:val="20"/>
          <w:szCs w:val="20"/>
        </w:rPr>
        <w:t xml:space="preserve">0 when the flow is started to inject. </w:t>
      </w:r>
    </w:p>
    <w:p w14:paraId="779D8DB0" w14:textId="516B7BEC" w:rsidR="00100F99" w:rsidRPr="005244BD" w:rsidRDefault="00B14486">
      <w:pPr>
        <w:spacing w:line="480" w:lineRule="auto"/>
        <w:jc w:val="both"/>
        <w:rPr>
          <w:rFonts w:asciiTheme="majorBidi" w:hAnsiTheme="majorBidi"/>
        </w:rPr>
      </w:pPr>
      <w:r w:rsidRPr="005244BD">
        <w:rPr>
          <w:rFonts w:asciiTheme="majorBidi" w:hAnsiTheme="majorBidi"/>
        </w:rPr>
        <w:t xml:space="preserve">Additional insight can be gained from these pore-scale simulations by </w:t>
      </w:r>
      <w:r w:rsidR="00394F9A" w:rsidRPr="005244BD">
        <w:rPr>
          <w:rFonts w:asciiTheme="majorBidi" w:hAnsiTheme="majorBidi"/>
        </w:rPr>
        <w:t>upscaling</w:t>
      </w:r>
      <w:r w:rsidRPr="005244BD">
        <w:rPr>
          <w:rFonts w:asciiTheme="majorBidi" w:hAnsiTheme="majorBidi"/>
        </w:rPr>
        <w:t xml:space="preserve"> </w:t>
      </w:r>
      <w:r w:rsidR="00394F9A" w:rsidRPr="005244BD">
        <w:rPr>
          <w:rFonts w:asciiTheme="majorBidi" w:hAnsiTheme="majorBidi"/>
        </w:rPr>
        <w:t>the averaged properties and identifying the heterogeneities effect on these properties.</w:t>
      </w:r>
      <w:r w:rsidRPr="005244BD">
        <w:rPr>
          <w:rFonts w:asciiTheme="majorBidi" w:hAnsiTheme="majorBidi"/>
        </w:rPr>
        <w:t xml:space="preserve"> </w:t>
      </w:r>
      <w:r w:rsidR="003F79E4" w:rsidRPr="005244BD">
        <w:rPr>
          <w:rFonts w:asciiTheme="majorBidi" w:hAnsiTheme="majorBidi"/>
        </w:rPr>
        <w:fldChar w:fldCharType="begin"/>
      </w:r>
      <w:r w:rsidR="003F79E4" w:rsidRPr="005244BD">
        <w:rPr>
          <w:rFonts w:asciiTheme="majorBidi" w:hAnsiTheme="majorBidi"/>
        </w:rPr>
        <w:instrText xml:space="preserve"> REF _Ref15028787 \h </w:instrText>
      </w:r>
      <w:r w:rsidR="003F79E4" w:rsidRPr="005244BD">
        <w:rPr>
          <w:rFonts w:asciiTheme="majorBidi" w:hAnsiTheme="majorBidi"/>
        </w:rPr>
      </w:r>
      <w:r w:rsidR="003F79E4" w:rsidRPr="005244BD">
        <w:rPr>
          <w:rFonts w:asciiTheme="majorBidi" w:hAnsiTheme="majorBidi"/>
        </w:rPr>
        <w:fldChar w:fldCharType="separate"/>
      </w:r>
      <w:r w:rsidR="00EE0F85" w:rsidRPr="005244BD">
        <w:rPr>
          <w:rFonts w:asciiTheme="majorBidi" w:eastAsiaTheme="minorEastAsia" w:hAnsiTheme="majorBidi" w:cstheme="majorBidi"/>
          <w:b/>
          <w:bCs/>
          <w:iCs/>
          <w:sz w:val="20"/>
          <w:szCs w:val="20"/>
        </w:rPr>
        <w:t xml:space="preserve">Figure </w:t>
      </w:r>
      <w:r w:rsidR="00EE0F85">
        <w:rPr>
          <w:rFonts w:asciiTheme="majorBidi" w:eastAsiaTheme="minorEastAsia" w:hAnsiTheme="majorBidi" w:cstheme="majorBidi"/>
          <w:b/>
          <w:bCs/>
          <w:iCs/>
          <w:noProof/>
          <w:sz w:val="20"/>
          <w:szCs w:val="20"/>
        </w:rPr>
        <w:t>6</w:t>
      </w:r>
      <w:r w:rsidR="003F79E4" w:rsidRPr="005244BD">
        <w:rPr>
          <w:rFonts w:asciiTheme="majorBidi" w:hAnsiTheme="majorBidi"/>
        </w:rPr>
        <w:fldChar w:fldCharType="end"/>
      </w:r>
      <w:r w:rsidR="00B438D0">
        <w:rPr>
          <w:rFonts w:asciiTheme="majorBidi" w:hAnsiTheme="majorBidi"/>
        </w:rPr>
        <w:t xml:space="preserve"> </w:t>
      </w:r>
      <w:r w:rsidR="003F79E4" w:rsidRPr="005244BD">
        <w:rPr>
          <w:rFonts w:asciiTheme="majorBidi" w:hAnsiTheme="majorBidi"/>
        </w:rPr>
        <w:t>(a) and</w:t>
      </w:r>
      <w:r w:rsidR="00D62160" w:rsidRPr="005244BD">
        <w:rPr>
          <w:rFonts w:asciiTheme="majorBidi" w:hAnsiTheme="majorBidi"/>
        </w:rPr>
        <w:t xml:space="preserve"> </w:t>
      </w:r>
      <w:r w:rsidR="00D62160" w:rsidRPr="005244BD">
        <w:rPr>
          <w:rFonts w:asciiTheme="majorBidi" w:hAnsiTheme="majorBidi"/>
        </w:rPr>
        <w:fldChar w:fldCharType="begin"/>
      </w:r>
      <w:r w:rsidR="00D62160" w:rsidRPr="005244BD">
        <w:rPr>
          <w:rFonts w:asciiTheme="majorBidi" w:hAnsiTheme="majorBidi"/>
        </w:rPr>
        <w:instrText xml:space="preserve"> REF _Ref15028787 \h </w:instrText>
      </w:r>
      <w:r w:rsidR="00D62160" w:rsidRPr="005244BD">
        <w:rPr>
          <w:rFonts w:asciiTheme="majorBidi" w:hAnsiTheme="majorBidi"/>
        </w:rPr>
      </w:r>
      <w:r w:rsidR="00D62160" w:rsidRPr="005244BD">
        <w:rPr>
          <w:rFonts w:asciiTheme="majorBidi" w:hAnsiTheme="majorBidi"/>
        </w:rPr>
        <w:fldChar w:fldCharType="separate"/>
      </w:r>
      <w:r w:rsidR="00EE0F85" w:rsidRPr="005244BD">
        <w:rPr>
          <w:rFonts w:asciiTheme="majorBidi" w:eastAsiaTheme="minorEastAsia" w:hAnsiTheme="majorBidi" w:cstheme="majorBidi"/>
          <w:b/>
          <w:bCs/>
          <w:iCs/>
          <w:sz w:val="20"/>
          <w:szCs w:val="20"/>
        </w:rPr>
        <w:t xml:space="preserve">Figure </w:t>
      </w:r>
      <w:r w:rsidR="00EE0F85">
        <w:rPr>
          <w:rFonts w:asciiTheme="majorBidi" w:eastAsiaTheme="minorEastAsia" w:hAnsiTheme="majorBidi" w:cstheme="majorBidi"/>
          <w:b/>
          <w:bCs/>
          <w:iCs/>
          <w:noProof/>
          <w:sz w:val="20"/>
          <w:szCs w:val="20"/>
        </w:rPr>
        <w:t>6</w:t>
      </w:r>
      <w:r w:rsidR="00D62160" w:rsidRPr="005244BD">
        <w:rPr>
          <w:rFonts w:asciiTheme="majorBidi" w:hAnsiTheme="majorBidi"/>
        </w:rPr>
        <w:fldChar w:fldCharType="end"/>
      </w:r>
      <w:r w:rsidR="00B438D0">
        <w:rPr>
          <w:rFonts w:asciiTheme="majorBidi" w:hAnsiTheme="majorBidi"/>
        </w:rPr>
        <w:t xml:space="preserve"> </w:t>
      </w:r>
      <w:r w:rsidR="003F79E4" w:rsidRPr="005244BD">
        <w:rPr>
          <w:rFonts w:asciiTheme="majorBidi" w:hAnsiTheme="majorBidi"/>
        </w:rPr>
        <w:t>(b) show the average</w:t>
      </w:r>
      <w:r w:rsidR="00E347AC" w:rsidRPr="005244BD">
        <w:rPr>
          <w:rFonts w:asciiTheme="majorBidi" w:hAnsiTheme="majorBidi"/>
        </w:rPr>
        <w:t xml:space="preserve"> specific growth rate</w:t>
      </w:r>
      <w:r w:rsidR="003F79E4" w:rsidRPr="005244BD">
        <w:rPr>
          <w:rFonts w:asciiTheme="majorBidi" w:hAnsiTheme="majorBidi"/>
        </w:rPr>
        <w:t xml:space="preserve"> as a function of </w:t>
      </w:r>
      <w:r w:rsidR="00700CF9" w:rsidRPr="005244BD">
        <w:rPr>
          <w:rFonts w:asciiTheme="majorBidi" w:hAnsiTheme="majorBidi"/>
        </w:rPr>
        <w:t>PVI</w:t>
      </w:r>
      <w:r w:rsidR="003F79E4" w:rsidRPr="005244BD">
        <w:rPr>
          <w:rFonts w:asciiTheme="majorBidi" w:hAnsiTheme="majorBidi"/>
        </w:rPr>
        <w:t xml:space="preserve"> and average resident concentration of NAPL</w:t>
      </w:r>
      <w:r w:rsidR="003F79E4" w:rsidRPr="005244BD">
        <w:t xml:space="preserve"> </w:t>
      </w:r>
      <w:r w:rsidR="003F79E4" w:rsidRPr="005244BD">
        <w:rPr>
          <w:rFonts w:asciiTheme="majorBidi" w:hAnsiTheme="majorBidi"/>
        </w:rPr>
        <w:t>in the aqueous phase</w:t>
      </w:r>
      <w:r w:rsidR="00753198" w:rsidRPr="005244BD">
        <w:rPr>
          <w:rFonts w:asciiTheme="majorBidi" w:hAnsiTheme="majorBidi"/>
        </w:rPr>
        <w:t xml:space="preserve"> respectively</w:t>
      </w:r>
      <w:r w:rsidR="009F46B6" w:rsidRPr="005244BD">
        <w:rPr>
          <w:rFonts w:asciiTheme="majorBidi" w:hAnsiTheme="majorBidi"/>
        </w:rPr>
        <w:t xml:space="preserve">. This growth rate includes biodegradation in </w:t>
      </w:r>
      <w:r w:rsidR="00F43C4B" w:rsidRPr="005244BD">
        <w:rPr>
          <w:rFonts w:asciiTheme="majorBidi" w:hAnsiTheme="majorBidi"/>
        </w:rPr>
        <w:t xml:space="preserve">both </w:t>
      </w:r>
      <w:r w:rsidR="009F46B6" w:rsidRPr="005244BD">
        <w:rPr>
          <w:rFonts w:asciiTheme="majorBidi" w:hAnsiTheme="majorBidi"/>
        </w:rPr>
        <w:t>aqueous phase (dissolved NAPL) and NAPL phase</w:t>
      </w:r>
      <w:r w:rsidR="003F79E4" w:rsidRPr="005244BD">
        <w:rPr>
          <w:rFonts w:asciiTheme="majorBidi" w:hAnsiTheme="majorBidi"/>
        </w:rPr>
        <w:t xml:space="preserve">. It clearly indicates that the </w:t>
      </w:r>
      <w:r w:rsidR="00D515B9" w:rsidRPr="005244BD">
        <w:rPr>
          <w:rFonts w:asciiTheme="majorBidi" w:hAnsiTheme="majorBidi"/>
        </w:rPr>
        <w:t xml:space="preserve">average specific growth rate </w:t>
      </w:r>
      <w:r w:rsidR="008D1787" w:rsidRPr="005244BD">
        <w:rPr>
          <w:rFonts w:asciiTheme="majorBidi" w:hAnsiTheme="majorBidi"/>
        </w:rPr>
        <w:t>for</w:t>
      </w:r>
      <w:r w:rsidR="003F79E4" w:rsidRPr="005244BD">
        <w:rPr>
          <w:rFonts w:asciiTheme="majorBidi" w:hAnsiTheme="majorBidi"/>
        </w:rPr>
        <w:t xml:space="preserve"> a specific average resident concentration of NAPL for uncorrelated pore network is higher than </w:t>
      </w:r>
      <w:r w:rsidR="00D62160" w:rsidRPr="005244BD">
        <w:rPr>
          <w:rFonts w:asciiTheme="majorBidi" w:hAnsiTheme="majorBidi"/>
        </w:rPr>
        <w:t xml:space="preserve">the </w:t>
      </w:r>
      <w:r w:rsidR="00C80D21" w:rsidRPr="005244BD">
        <w:rPr>
          <w:rFonts w:asciiTheme="majorBidi" w:hAnsiTheme="majorBidi"/>
        </w:rPr>
        <w:t>correlated</w:t>
      </w:r>
      <w:r w:rsidR="003F79E4" w:rsidRPr="005244BD">
        <w:rPr>
          <w:rFonts w:asciiTheme="majorBidi" w:hAnsiTheme="majorBidi"/>
        </w:rPr>
        <w:t xml:space="preserve"> pore networks, albeit they are both lower than intrinsic </w:t>
      </w:r>
      <w:r w:rsidR="00D515B9" w:rsidRPr="005244BD">
        <w:rPr>
          <w:rFonts w:asciiTheme="majorBidi" w:hAnsiTheme="majorBidi"/>
        </w:rPr>
        <w:t xml:space="preserve">specific growth rate </w:t>
      </w:r>
      <w:r w:rsidR="003F79E4" w:rsidRPr="005244BD">
        <w:rPr>
          <w:rFonts w:asciiTheme="majorBidi" w:hAnsiTheme="majorBidi"/>
        </w:rPr>
        <w:t xml:space="preserve">which is defined by Eq. 5 </w:t>
      </w:r>
      <w:r w:rsidR="006956EC" w:rsidRPr="005244BD">
        <w:rPr>
          <w:rFonts w:asciiTheme="majorBidi" w:hAnsiTheme="majorBidi"/>
        </w:rPr>
        <w:t>with the value of parameters listed in</w:t>
      </w:r>
      <w:r w:rsidR="00327510" w:rsidRPr="005244BD">
        <w:rPr>
          <w:rFonts w:asciiTheme="majorBidi" w:hAnsiTheme="majorBidi"/>
        </w:rPr>
        <w:t xml:space="preserve"> </w:t>
      </w:r>
      <w:r w:rsidR="00327510" w:rsidRPr="005244BD">
        <w:rPr>
          <w:rFonts w:asciiTheme="majorBidi" w:hAnsiTheme="majorBidi"/>
        </w:rPr>
        <w:fldChar w:fldCharType="begin"/>
      </w:r>
      <w:r w:rsidR="00327510" w:rsidRPr="005244BD">
        <w:rPr>
          <w:rFonts w:asciiTheme="majorBidi" w:hAnsiTheme="majorBidi"/>
        </w:rPr>
        <w:instrText xml:space="preserve"> REF _Ref15029240 \h  \* MERGEFORMAT </w:instrText>
      </w:r>
      <w:r w:rsidR="00327510" w:rsidRPr="005244BD">
        <w:rPr>
          <w:rFonts w:asciiTheme="majorBidi" w:hAnsiTheme="majorBidi"/>
        </w:rPr>
      </w:r>
      <w:r w:rsidR="00327510" w:rsidRPr="005244BD">
        <w:rPr>
          <w:rFonts w:asciiTheme="majorBidi" w:hAnsiTheme="majorBidi"/>
        </w:rPr>
        <w:fldChar w:fldCharType="separate"/>
      </w:r>
      <w:r w:rsidR="00EE0F85" w:rsidRPr="00EE0F85">
        <w:rPr>
          <w:rFonts w:asciiTheme="majorBidi" w:hAnsiTheme="majorBidi" w:cstheme="majorBidi"/>
          <w:b/>
          <w:bCs/>
        </w:rPr>
        <w:t>Table</w:t>
      </w:r>
      <w:r w:rsidR="00EE0F85" w:rsidRPr="005244BD">
        <w:rPr>
          <w:rFonts w:asciiTheme="majorBidi" w:hAnsiTheme="majorBidi" w:cstheme="majorBidi"/>
          <w:b/>
          <w:bCs/>
          <w:sz w:val="20"/>
          <w:szCs w:val="20"/>
        </w:rPr>
        <w:t xml:space="preserve"> </w:t>
      </w:r>
      <w:r w:rsidR="00EE0F85">
        <w:rPr>
          <w:rFonts w:asciiTheme="majorBidi" w:hAnsiTheme="majorBidi" w:cstheme="majorBidi"/>
          <w:b/>
          <w:bCs/>
          <w:noProof/>
          <w:sz w:val="20"/>
          <w:szCs w:val="20"/>
        </w:rPr>
        <w:t>2</w:t>
      </w:r>
      <w:r w:rsidR="00327510" w:rsidRPr="005244BD">
        <w:rPr>
          <w:rFonts w:asciiTheme="majorBidi" w:hAnsiTheme="majorBidi"/>
        </w:rPr>
        <w:fldChar w:fldCharType="end"/>
      </w:r>
      <w:r w:rsidR="006956EC" w:rsidRPr="005244BD">
        <w:rPr>
          <w:rFonts w:asciiTheme="majorBidi" w:hAnsiTheme="majorBidi"/>
        </w:rPr>
        <w:t>.</w:t>
      </w:r>
      <w:r w:rsidR="00375DE5" w:rsidRPr="005244BD">
        <w:rPr>
          <w:rFonts w:asciiTheme="majorBidi" w:hAnsiTheme="majorBidi"/>
        </w:rPr>
        <w:t xml:space="preserve"> The reason for </w:t>
      </w:r>
      <w:r w:rsidR="00F36376" w:rsidRPr="005244BD">
        <w:rPr>
          <w:rFonts w:asciiTheme="majorBidi" w:hAnsiTheme="majorBidi"/>
        </w:rPr>
        <w:t>the</w:t>
      </w:r>
      <w:r w:rsidR="00375DE5" w:rsidRPr="005244BD">
        <w:rPr>
          <w:rFonts w:asciiTheme="majorBidi" w:hAnsiTheme="majorBidi"/>
        </w:rPr>
        <w:t xml:space="preserve"> </w:t>
      </w:r>
      <w:r w:rsidR="00F36376" w:rsidRPr="005244BD">
        <w:rPr>
          <w:rFonts w:asciiTheme="majorBidi" w:hAnsiTheme="majorBidi"/>
        </w:rPr>
        <w:t xml:space="preserve">deviation of average </w:t>
      </w:r>
      <w:r w:rsidR="00D515B9" w:rsidRPr="005244BD">
        <w:rPr>
          <w:rFonts w:asciiTheme="majorBidi" w:hAnsiTheme="majorBidi"/>
        </w:rPr>
        <w:t xml:space="preserve">specific growth rate </w:t>
      </w:r>
      <w:r w:rsidR="00F36376" w:rsidRPr="005244BD">
        <w:rPr>
          <w:rFonts w:asciiTheme="majorBidi" w:hAnsiTheme="majorBidi"/>
        </w:rPr>
        <w:t xml:space="preserve">from intrinsic </w:t>
      </w:r>
      <w:r w:rsidR="00D515B9" w:rsidRPr="005244BD">
        <w:rPr>
          <w:rFonts w:asciiTheme="majorBidi" w:hAnsiTheme="majorBidi"/>
        </w:rPr>
        <w:t xml:space="preserve">growth rate </w:t>
      </w:r>
      <w:r w:rsidR="00F36376" w:rsidRPr="005244BD">
        <w:rPr>
          <w:rFonts w:asciiTheme="majorBidi" w:hAnsiTheme="majorBidi"/>
        </w:rPr>
        <w:t xml:space="preserve">is the difference of NAPL concentration of the pore bodies and pore throats in the network. </w:t>
      </w:r>
      <w:r w:rsidR="009C3176" w:rsidRPr="005244BD">
        <w:rPr>
          <w:rFonts w:asciiTheme="majorBidi" w:hAnsiTheme="majorBidi"/>
        </w:rPr>
        <w:t xml:space="preserve">As NAPL is more distributed in the uncorrelated pore networks, the dissolved NAPL is dispersed in the aqueous phase through the entire network which results in </w:t>
      </w:r>
      <w:r w:rsidR="0072389B" w:rsidRPr="005244BD">
        <w:rPr>
          <w:rFonts w:asciiTheme="majorBidi" w:hAnsiTheme="majorBidi"/>
        </w:rPr>
        <w:t xml:space="preserve">a </w:t>
      </w:r>
      <w:r w:rsidR="009C3176" w:rsidRPr="005244BD">
        <w:rPr>
          <w:rFonts w:asciiTheme="majorBidi" w:hAnsiTheme="majorBidi"/>
        </w:rPr>
        <w:t>reduction in the variation of dispersion of concentration</w:t>
      </w:r>
      <w:r w:rsidR="002D2943" w:rsidRPr="005244BD">
        <w:rPr>
          <w:rFonts w:asciiTheme="majorBidi" w:hAnsiTheme="majorBidi"/>
        </w:rPr>
        <w:t xml:space="preserve"> (the concentrations tend to be close to the mean)</w:t>
      </w:r>
      <w:r w:rsidR="009C3176" w:rsidRPr="005244BD">
        <w:rPr>
          <w:rFonts w:asciiTheme="majorBidi" w:hAnsiTheme="majorBidi"/>
        </w:rPr>
        <w:t>. In contrast to the uncorrelated pore network</w:t>
      </w:r>
      <w:r w:rsidR="002D2943" w:rsidRPr="005244BD">
        <w:rPr>
          <w:rFonts w:asciiTheme="majorBidi" w:hAnsiTheme="majorBidi"/>
        </w:rPr>
        <w:t xml:space="preserve">s, the dispersivity of concentration in the </w:t>
      </w:r>
      <w:r w:rsidR="00C80D21" w:rsidRPr="005244BD">
        <w:rPr>
          <w:rFonts w:asciiTheme="majorBidi" w:hAnsiTheme="majorBidi"/>
        </w:rPr>
        <w:t>correlated</w:t>
      </w:r>
      <w:r w:rsidR="002D2943" w:rsidRPr="005244BD">
        <w:rPr>
          <w:rFonts w:asciiTheme="majorBidi" w:hAnsiTheme="majorBidi"/>
        </w:rPr>
        <w:t xml:space="preserve"> pore network is high (as shown in the inset of </w:t>
      </w:r>
      <w:r w:rsidR="002D2943" w:rsidRPr="005244BD">
        <w:rPr>
          <w:rFonts w:asciiTheme="majorBidi" w:hAnsiTheme="majorBidi"/>
          <w:b/>
          <w:bCs/>
        </w:rPr>
        <w:fldChar w:fldCharType="begin"/>
      </w:r>
      <w:r w:rsidR="002D2943" w:rsidRPr="005244BD">
        <w:rPr>
          <w:rFonts w:asciiTheme="majorBidi" w:hAnsiTheme="majorBidi"/>
          <w:b/>
          <w:bCs/>
        </w:rPr>
        <w:instrText xml:space="preserve"> REF _Ref14958239 \h  \* MERGEFORMAT </w:instrText>
      </w:r>
      <w:r w:rsidR="002D2943" w:rsidRPr="005244BD">
        <w:rPr>
          <w:rFonts w:asciiTheme="majorBidi" w:hAnsiTheme="majorBidi"/>
          <w:b/>
          <w:bCs/>
        </w:rPr>
      </w:r>
      <w:r w:rsidR="002D2943" w:rsidRPr="005244BD">
        <w:rPr>
          <w:rFonts w:asciiTheme="majorBidi" w:hAnsiTheme="majorBidi"/>
          <w:b/>
          <w:bCs/>
        </w:rPr>
        <w:fldChar w:fldCharType="separate"/>
      </w:r>
      <w:r w:rsidR="00EE0F85" w:rsidRPr="00EE0F85">
        <w:rPr>
          <w:rFonts w:asciiTheme="majorBidi" w:hAnsiTheme="majorBidi"/>
          <w:b/>
          <w:bCs/>
        </w:rPr>
        <w:t>Figure 3</w:t>
      </w:r>
      <w:r w:rsidR="002D2943" w:rsidRPr="005244BD">
        <w:rPr>
          <w:rFonts w:asciiTheme="majorBidi" w:hAnsiTheme="majorBidi"/>
          <w:b/>
          <w:bCs/>
        </w:rPr>
        <w:fldChar w:fldCharType="end"/>
      </w:r>
      <w:r w:rsidR="002D2943" w:rsidRPr="005244BD">
        <w:rPr>
          <w:rFonts w:asciiTheme="majorBidi" w:hAnsiTheme="majorBidi"/>
        </w:rPr>
        <w:t xml:space="preserve">) which results in more deviation of average </w:t>
      </w:r>
      <w:r w:rsidR="00D515B9" w:rsidRPr="005244BD">
        <w:rPr>
          <w:rFonts w:asciiTheme="majorBidi" w:hAnsiTheme="majorBidi"/>
        </w:rPr>
        <w:t xml:space="preserve">specific growth rate </w:t>
      </w:r>
      <w:r w:rsidR="002D2943" w:rsidRPr="005244BD">
        <w:rPr>
          <w:rFonts w:asciiTheme="majorBidi" w:hAnsiTheme="majorBidi"/>
        </w:rPr>
        <w:t xml:space="preserve">from intrinsic biodegradation rate. </w:t>
      </w:r>
    </w:p>
    <w:p w14:paraId="292035E0" w14:textId="402A2CA3" w:rsidR="0028142F" w:rsidRPr="005244BD" w:rsidRDefault="009C3176" w:rsidP="00FA32AB">
      <w:pPr>
        <w:spacing w:line="480" w:lineRule="auto"/>
        <w:jc w:val="both"/>
        <w:rPr>
          <w:rFonts w:asciiTheme="majorBidi" w:hAnsiTheme="majorBidi"/>
        </w:rPr>
      </w:pPr>
      <w:r w:rsidRPr="005244BD">
        <w:rPr>
          <w:rFonts w:asciiTheme="majorBidi" w:hAnsiTheme="majorBidi"/>
        </w:rPr>
        <w:t xml:space="preserve">To put </w:t>
      </w:r>
      <w:r w:rsidR="00100F99" w:rsidRPr="005244BD">
        <w:rPr>
          <w:rFonts w:asciiTheme="majorBidi" w:hAnsiTheme="majorBidi"/>
        </w:rPr>
        <w:t>the above observation</w:t>
      </w:r>
      <w:r w:rsidRPr="005244BD">
        <w:rPr>
          <w:rFonts w:asciiTheme="majorBidi" w:hAnsiTheme="majorBidi"/>
        </w:rPr>
        <w:t xml:space="preserve"> </w:t>
      </w:r>
      <w:r w:rsidR="002D2943" w:rsidRPr="005244BD">
        <w:rPr>
          <w:rFonts w:asciiTheme="majorBidi" w:hAnsiTheme="majorBidi"/>
        </w:rPr>
        <w:t>into</w:t>
      </w:r>
      <w:r w:rsidRPr="005244BD">
        <w:rPr>
          <w:rFonts w:asciiTheme="majorBidi" w:hAnsiTheme="majorBidi"/>
        </w:rPr>
        <w:t xml:space="preserve"> perspective</w:t>
      </w:r>
      <w:r w:rsidR="002D2943" w:rsidRPr="005244BD">
        <w:rPr>
          <w:rFonts w:asciiTheme="majorBidi" w:hAnsiTheme="majorBidi"/>
        </w:rPr>
        <w:t xml:space="preserve">, </w:t>
      </w:r>
      <w:r w:rsidR="00E16575" w:rsidRPr="005244BD">
        <w:rPr>
          <w:rFonts w:asciiTheme="majorBidi" w:hAnsiTheme="majorBidi"/>
        </w:rPr>
        <w:t>a</w:t>
      </w:r>
      <w:r w:rsidR="00EB1600" w:rsidRPr="005244BD">
        <w:rPr>
          <w:rFonts w:asciiTheme="majorBidi" w:hAnsiTheme="majorBidi"/>
        </w:rPr>
        <w:t xml:space="preserve">s shown in </w:t>
      </w:r>
      <w:r w:rsidR="00EB1600" w:rsidRPr="005244BD">
        <w:rPr>
          <w:rFonts w:asciiTheme="majorBidi" w:hAnsiTheme="majorBidi"/>
        </w:rPr>
        <w:fldChar w:fldCharType="begin"/>
      </w:r>
      <w:r w:rsidR="00EB1600" w:rsidRPr="005244BD">
        <w:rPr>
          <w:rFonts w:asciiTheme="majorBidi" w:hAnsiTheme="majorBidi"/>
        </w:rPr>
        <w:instrText xml:space="preserve"> REF _Ref15028787 \h </w:instrText>
      </w:r>
      <w:r w:rsidR="00334EFA" w:rsidRPr="005244BD">
        <w:rPr>
          <w:rFonts w:asciiTheme="majorBidi" w:hAnsiTheme="majorBidi"/>
        </w:rPr>
        <w:instrText xml:space="preserve"> \* MERGEFORMAT </w:instrText>
      </w:r>
      <w:r w:rsidR="00EB1600" w:rsidRPr="005244BD">
        <w:rPr>
          <w:rFonts w:asciiTheme="majorBidi" w:hAnsiTheme="majorBidi"/>
        </w:rPr>
      </w:r>
      <w:r w:rsidR="00EB1600" w:rsidRPr="005244BD">
        <w:rPr>
          <w:rFonts w:asciiTheme="majorBidi" w:hAnsiTheme="majorBidi"/>
        </w:rPr>
        <w:fldChar w:fldCharType="separate"/>
      </w:r>
      <w:r w:rsidR="00EE0F85" w:rsidRPr="00EE0F85">
        <w:rPr>
          <w:rFonts w:asciiTheme="majorBidi" w:eastAsiaTheme="minorEastAsia" w:hAnsiTheme="majorBidi" w:cstheme="majorBidi"/>
          <w:b/>
          <w:bCs/>
          <w:iCs/>
        </w:rPr>
        <w:t xml:space="preserve">Figure </w:t>
      </w:r>
      <w:r w:rsidR="00EE0F85" w:rsidRPr="00EE0F85">
        <w:rPr>
          <w:rFonts w:asciiTheme="majorBidi" w:eastAsiaTheme="minorEastAsia" w:hAnsiTheme="majorBidi" w:cstheme="majorBidi"/>
          <w:b/>
          <w:bCs/>
          <w:iCs/>
          <w:noProof/>
        </w:rPr>
        <w:t>6</w:t>
      </w:r>
      <w:r w:rsidR="00EB1600" w:rsidRPr="005244BD">
        <w:rPr>
          <w:rFonts w:asciiTheme="majorBidi" w:hAnsiTheme="majorBidi"/>
        </w:rPr>
        <w:fldChar w:fldCharType="end"/>
      </w:r>
      <w:r w:rsidR="00294E2B" w:rsidRPr="005244BD">
        <w:rPr>
          <w:rFonts w:asciiTheme="majorBidi" w:hAnsiTheme="majorBidi"/>
        </w:rPr>
        <w:t xml:space="preserve"> </w:t>
      </w:r>
      <w:r w:rsidR="00EB1600" w:rsidRPr="005244BD">
        <w:rPr>
          <w:rFonts w:asciiTheme="majorBidi" w:hAnsiTheme="majorBidi"/>
        </w:rPr>
        <w:t xml:space="preserve">(b), the maximum </w:t>
      </w:r>
      <w:r w:rsidR="00D515B9" w:rsidRPr="005244BD">
        <w:rPr>
          <w:rFonts w:asciiTheme="majorBidi" w:hAnsiTheme="majorBidi"/>
        </w:rPr>
        <w:t xml:space="preserve">specific growth rate </w:t>
      </w:r>
      <w:r w:rsidR="00EB1600" w:rsidRPr="005244BD">
        <w:rPr>
          <w:rFonts w:asciiTheme="majorBidi" w:hAnsiTheme="majorBidi"/>
        </w:rPr>
        <w:t xml:space="preserve">(based on </w:t>
      </w:r>
      <w:r w:rsidR="00EB1600" w:rsidRPr="005244BD">
        <w:rPr>
          <w:rFonts w:asciiTheme="majorBidi" w:eastAsiaTheme="minorEastAsia" w:hAnsiTheme="majorBidi" w:cstheme="majorBidi"/>
          <w:iCs/>
          <w:szCs w:val="18"/>
        </w:rPr>
        <w:t>Haldane model)</w:t>
      </w:r>
      <w:r w:rsidR="00EB1600" w:rsidRPr="005244BD">
        <w:rPr>
          <w:rFonts w:asciiTheme="majorBidi" w:hAnsiTheme="majorBidi"/>
        </w:rPr>
        <w:t xml:space="preserve"> is at the concentration of </w:t>
      </w:r>
      <m:oMath>
        <m:r>
          <w:rPr>
            <w:rFonts w:ascii="Cambria Math" w:hAnsi="Cambria Math"/>
          </w:rPr>
          <m:t>~</m:t>
        </m:r>
      </m:oMath>
      <w:r w:rsidR="00EB1600" w:rsidRPr="005244BD">
        <w:rPr>
          <w:rFonts w:asciiTheme="majorBidi" w:eastAsiaTheme="minorEastAsia" w:hAnsiTheme="majorBidi"/>
        </w:rPr>
        <w:t>150 mg L</w:t>
      </w:r>
      <w:r w:rsidR="00EB1600" w:rsidRPr="005244BD">
        <w:rPr>
          <w:rFonts w:asciiTheme="majorBidi" w:eastAsiaTheme="minorEastAsia" w:hAnsiTheme="majorBidi"/>
          <w:vertAlign w:val="superscript"/>
        </w:rPr>
        <w:t>-1</w:t>
      </w:r>
      <w:r w:rsidR="00EB1600" w:rsidRPr="005244BD">
        <w:rPr>
          <w:rFonts w:asciiTheme="majorBidi" w:hAnsiTheme="majorBidi"/>
        </w:rPr>
        <w:t xml:space="preserve">, so the concentration below and above this </w:t>
      </w:r>
      <w:r w:rsidR="00394F9A" w:rsidRPr="005244BD">
        <w:rPr>
          <w:rFonts w:asciiTheme="majorBidi" w:hAnsiTheme="majorBidi"/>
        </w:rPr>
        <w:t xml:space="preserve">threshold value </w:t>
      </w:r>
      <w:r w:rsidR="00EB1600" w:rsidRPr="005244BD">
        <w:rPr>
          <w:rFonts w:asciiTheme="majorBidi" w:hAnsiTheme="majorBidi"/>
        </w:rPr>
        <w:t xml:space="preserve">results in </w:t>
      </w:r>
      <w:r w:rsidR="00510AEB" w:rsidRPr="005244BD">
        <w:rPr>
          <w:rFonts w:asciiTheme="majorBidi" w:hAnsiTheme="majorBidi"/>
        </w:rPr>
        <w:t xml:space="preserve">the </w:t>
      </w:r>
      <w:r w:rsidR="00EB1600" w:rsidRPr="005244BD">
        <w:rPr>
          <w:rFonts w:asciiTheme="majorBidi" w:hAnsiTheme="majorBidi"/>
        </w:rPr>
        <w:t xml:space="preserve">reduction </w:t>
      </w:r>
      <w:r w:rsidR="00E16575" w:rsidRPr="005244BD">
        <w:rPr>
          <w:rFonts w:asciiTheme="majorBidi" w:hAnsiTheme="majorBidi"/>
        </w:rPr>
        <w:t>of</w:t>
      </w:r>
      <w:r w:rsidR="00EB1600" w:rsidRPr="005244BD">
        <w:rPr>
          <w:rFonts w:asciiTheme="majorBidi" w:hAnsiTheme="majorBidi"/>
        </w:rPr>
        <w:t xml:space="preserve"> biodegradation rate. </w:t>
      </w:r>
      <w:r w:rsidRPr="005244BD">
        <w:rPr>
          <w:rFonts w:asciiTheme="majorBidi" w:hAnsiTheme="majorBidi"/>
        </w:rPr>
        <w:t xml:space="preserve">Therefore, </w:t>
      </w:r>
      <w:r w:rsidR="00E16575" w:rsidRPr="005244BD">
        <w:rPr>
          <w:rFonts w:asciiTheme="majorBidi" w:hAnsiTheme="majorBidi"/>
        </w:rPr>
        <w:t xml:space="preserve">for </w:t>
      </w:r>
      <w:r w:rsidR="00E16575" w:rsidRPr="005244BD">
        <w:rPr>
          <w:rFonts w:asciiTheme="majorBidi" w:hAnsiTheme="majorBidi"/>
        </w:rPr>
        <w:lastRenderedPageBreak/>
        <w:t xml:space="preserve">example for the </w:t>
      </w:r>
      <w:r w:rsidR="00C80D21" w:rsidRPr="005244BD">
        <w:rPr>
          <w:rFonts w:asciiTheme="majorBidi" w:hAnsiTheme="majorBidi"/>
        </w:rPr>
        <w:t>correlated</w:t>
      </w:r>
      <w:r w:rsidR="00E16575" w:rsidRPr="005244BD">
        <w:rPr>
          <w:rFonts w:asciiTheme="majorBidi" w:hAnsiTheme="majorBidi"/>
        </w:rPr>
        <w:t xml:space="preserve"> pore networks, </w:t>
      </w:r>
      <w:r w:rsidR="00285EDB" w:rsidRPr="005244BD">
        <w:rPr>
          <w:rFonts w:asciiTheme="majorBidi" w:hAnsiTheme="majorBidi"/>
        </w:rPr>
        <w:t xml:space="preserve">as the most of the </w:t>
      </w:r>
      <w:r w:rsidR="00510AEB" w:rsidRPr="005244BD">
        <w:rPr>
          <w:rFonts w:asciiTheme="majorBidi" w:hAnsiTheme="majorBidi"/>
        </w:rPr>
        <w:t>NAPL</w:t>
      </w:r>
      <w:r w:rsidR="00285EDB" w:rsidRPr="005244BD">
        <w:rPr>
          <w:rFonts w:asciiTheme="majorBidi" w:hAnsiTheme="majorBidi"/>
        </w:rPr>
        <w:t xml:space="preserve"> concentrations</w:t>
      </w:r>
      <w:r w:rsidR="00510AEB" w:rsidRPr="005244BD">
        <w:rPr>
          <w:rFonts w:asciiTheme="majorBidi" w:hAnsiTheme="majorBidi"/>
        </w:rPr>
        <w:t xml:space="preserve"> in the pores</w:t>
      </w:r>
      <w:r w:rsidR="00285EDB" w:rsidRPr="005244BD">
        <w:rPr>
          <w:rFonts w:asciiTheme="majorBidi" w:hAnsiTheme="majorBidi"/>
        </w:rPr>
        <w:t xml:space="preserve"> are either close to solubility of toluene (</w:t>
      </w:r>
      <w:r w:rsidR="00285EDB" w:rsidRPr="005244BD">
        <w:rPr>
          <w:rFonts w:ascii="Times New Roman" w:eastAsiaTheme="minorEastAsia" w:hAnsi="Times New Roman" w:cs="Times New Roman"/>
        </w:rPr>
        <w:t>495.6 mg L</w:t>
      </w:r>
      <w:r w:rsidR="00285EDB" w:rsidRPr="005244BD">
        <w:rPr>
          <w:rFonts w:ascii="Times New Roman" w:eastAsiaTheme="minorEastAsia" w:hAnsi="Times New Roman" w:cs="Times New Roman"/>
          <w:vertAlign w:val="superscript"/>
        </w:rPr>
        <w:t>−1</w:t>
      </w:r>
      <w:r w:rsidR="00285EDB" w:rsidRPr="005244BD">
        <w:rPr>
          <w:rFonts w:asciiTheme="majorBidi" w:hAnsiTheme="majorBidi"/>
        </w:rPr>
        <w:t xml:space="preserve">) (for those pore bodies close to the NAPL-filled pores) or close to zero (for those pore bodies far from the NAPL-filled pores), </w:t>
      </w:r>
      <w:r w:rsidR="00173781" w:rsidRPr="005244BD">
        <w:rPr>
          <w:rFonts w:asciiTheme="majorBidi" w:hAnsiTheme="majorBidi"/>
        </w:rPr>
        <w:t>the average specific growth rate is</w:t>
      </w:r>
      <w:r w:rsidR="00285EDB" w:rsidRPr="005244BD">
        <w:rPr>
          <w:rFonts w:asciiTheme="majorBidi" w:hAnsiTheme="majorBidi"/>
        </w:rPr>
        <w:t xml:space="preserve"> lower than the maximum </w:t>
      </w:r>
      <w:r w:rsidR="00510AEB" w:rsidRPr="005244BD">
        <w:rPr>
          <w:rFonts w:asciiTheme="majorBidi" w:hAnsiTheme="majorBidi"/>
        </w:rPr>
        <w:t xml:space="preserve">and also lower than calculated intrinsic </w:t>
      </w:r>
      <w:r w:rsidR="00173781" w:rsidRPr="005244BD">
        <w:rPr>
          <w:rFonts w:asciiTheme="majorBidi" w:hAnsiTheme="majorBidi"/>
        </w:rPr>
        <w:t xml:space="preserve">growth rate </w:t>
      </w:r>
      <w:r w:rsidR="00510AEB" w:rsidRPr="005244BD">
        <w:rPr>
          <w:rFonts w:asciiTheme="majorBidi" w:hAnsiTheme="majorBidi"/>
        </w:rPr>
        <w:t>at the average resident concentration of NAPL in the pore network.</w:t>
      </w:r>
      <w:r w:rsidR="001244C7" w:rsidRPr="005244BD">
        <w:rPr>
          <w:rFonts w:asciiTheme="majorBidi" w:hAnsiTheme="majorBidi"/>
        </w:rPr>
        <w:t xml:space="preserve"> This behaviour </w:t>
      </w:r>
      <w:r w:rsidR="00FA32AB" w:rsidRPr="005244BD">
        <w:rPr>
          <w:rFonts w:asciiTheme="majorBidi" w:hAnsiTheme="majorBidi"/>
        </w:rPr>
        <w:t>agree</w:t>
      </w:r>
      <w:r w:rsidR="001244C7" w:rsidRPr="005244BD">
        <w:rPr>
          <w:rFonts w:asciiTheme="majorBidi" w:hAnsiTheme="majorBidi"/>
        </w:rPr>
        <w:t xml:space="preserve">s with the results of pore scale simulation of NAPL biodegradation reported by </w:t>
      </w:r>
      <w:r w:rsidR="001244C7" w:rsidRPr="005244BD">
        <w:rPr>
          <w:rFonts w:asciiTheme="majorBidi" w:eastAsiaTheme="minorEastAsia" w:hAnsiTheme="majorBidi" w:cstheme="majorBidi"/>
          <w:iCs/>
          <w:szCs w:val="18"/>
        </w:rPr>
        <w:fldChar w:fldCharType="begin" w:fldLock="1"/>
      </w:r>
      <w:r w:rsidR="001244C7" w:rsidRPr="005244BD">
        <w:rPr>
          <w:rFonts w:asciiTheme="majorBidi" w:eastAsiaTheme="minorEastAsia" w:hAnsiTheme="majorBidi" w:cstheme="majorBidi"/>
          <w:iCs/>
          <w:szCs w:val="18"/>
        </w:rPr>
        <w:instrText>ADDIN CSL_CITATION {"citationItems":[{"id":"ITEM-1","itemData":{"author":[{"dropping-particle":"","family":"Benioug","given":"M","non-dropping-particle":"","parse-names":false,"suffix":""},{"dropping-particle":"","family":"Golfier","given":"Fabrice","non-dropping-particle":"","parse-names":false,"suffix":""},{"dropping-particle":"","family":"Fischer","given":"P","non-dropping-particle":"","parse-names":false,"suffix":""},{"dropping-particle":"","family":"Oltean","given":"C","non-dropping-particle":"","parse-names":false,"suffix":""},{"dropping-particle":"","family":"Buès","given":"M A","non-dropping-particle":"","parse-names":false,"suffix":""},{"dropping-particle":"","family":"Yang","given":"X","non-dropping-particle":"","parse-names":false,"suffix":""}],"container-title":"Advances in water resources","id":"ITEM-1","issued":{"date-parts":[["2019"]]},"page":"82-97","publisher":"Elsevier","title":"Interaction between biofilm growth and NAPL remediation: A pore-scale study","type":"article-journal","volume":"125"},"uris":["http://www.mendeley.com/documents/?uuid=57534b9c-82f9-48c7-821e-8c7d4431cff8","http://www.mendeley.com/documents/?uuid=6344e903-1290-457e-95a2-4c7cbfe42be2"]}],"mendeley":{"formattedCitation":"(Benioug et al., 2019)","manualFormatting":"Benioug et al. (2019)","plainTextFormattedCitation":"(Benioug et al., 2019)","previouslyFormattedCitation":"(Benioug et al., 2019)"},"properties":{"noteIndex":0},"schema":"https://github.com/citation-style-language/schema/raw/master/csl-citation.json"}</w:instrText>
      </w:r>
      <w:r w:rsidR="001244C7" w:rsidRPr="005244BD">
        <w:rPr>
          <w:rFonts w:asciiTheme="majorBidi" w:eastAsiaTheme="minorEastAsia" w:hAnsiTheme="majorBidi" w:cstheme="majorBidi"/>
          <w:iCs/>
          <w:szCs w:val="18"/>
        </w:rPr>
        <w:fldChar w:fldCharType="separate"/>
      </w:r>
      <w:r w:rsidR="001244C7" w:rsidRPr="005244BD">
        <w:rPr>
          <w:rFonts w:asciiTheme="majorBidi" w:eastAsiaTheme="minorEastAsia" w:hAnsiTheme="majorBidi" w:cstheme="majorBidi"/>
          <w:iCs/>
          <w:noProof/>
          <w:szCs w:val="18"/>
        </w:rPr>
        <w:t>Benioug et al. (2019)</w:t>
      </w:r>
      <w:r w:rsidR="001244C7" w:rsidRPr="005244BD">
        <w:rPr>
          <w:rFonts w:asciiTheme="majorBidi" w:eastAsiaTheme="minorEastAsia" w:hAnsiTheme="majorBidi" w:cstheme="majorBidi"/>
          <w:iCs/>
          <w:szCs w:val="18"/>
        </w:rPr>
        <w:fldChar w:fldCharType="end"/>
      </w:r>
      <w:r w:rsidR="001244C7" w:rsidRPr="005244BD">
        <w:rPr>
          <w:rFonts w:asciiTheme="majorBidi" w:eastAsiaTheme="minorEastAsia" w:hAnsiTheme="majorBidi" w:cstheme="majorBidi"/>
          <w:iCs/>
          <w:szCs w:val="18"/>
        </w:rPr>
        <w:t>.</w:t>
      </w:r>
      <w:r w:rsidR="00FA32AB" w:rsidRPr="005244BD">
        <w:rPr>
          <w:rFonts w:asciiTheme="majorBidi" w:hAnsiTheme="majorBidi"/>
        </w:rPr>
        <w:t xml:space="preserve"> They pointed out that in</w:t>
      </w:r>
      <w:r w:rsidR="001244C7" w:rsidRPr="005244BD">
        <w:rPr>
          <w:rFonts w:asciiTheme="majorBidi" w:hAnsiTheme="majorBidi"/>
        </w:rPr>
        <w:t xml:space="preserve"> areas of porous media which are too close or too far from the NAPL source (e.g. the </w:t>
      </w:r>
      <w:r w:rsidR="000E5A13" w:rsidRPr="005244BD">
        <w:rPr>
          <w:rFonts w:asciiTheme="majorBidi" w:hAnsiTheme="majorBidi"/>
        </w:rPr>
        <w:t>NAPL distribution</w:t>
      </w:r>
      <w:r w:rsidR="001244C7" w:rsidRPr="005244BD">
        <w:rPr>
          <w:rFonts w:asciiTheme="majorBidi" w:hAnsiTheme="majorBidi"/>
        </w:rPr>
        <w:t xml:space="preserve"> observed in correlated pore network structure), the bacterial mortality increases which results in reduction in total biomass growth rate.</w:t>
      </w:r>
    </w:p>
    <w:p w14:paraId="508D4281" w14:textId="294665D3" w:rsidR="00EE4102" w:rsidRDefault="005049B2" w:rsidP="004F5935">
      <w:pPr>
        <w:spacing w:line="480" w:lineRule="auto"/>
        <w:jc w:val="both"/>
        <w:rPr>
          <w:rFonts w:asciiTheme="majorBidi" w:hAnsiTheme="majorBidi"/>
        </w:rPr>
      </w:pPr>
      <w:r w:rsidRPr="005244BD">
        <w:rPr>
          <w:rFonts w:asciiTheme="majorBidi" w:hAnsiTheme="majorBidi"/>
        </w:rPr>
        <w:t xml:space="preserve">The deviation of average </w:t>
      </w:r>
      <w:r w:rsidR="00173781" w:rsidRPr="005244BD">
        <w:rPr>
          <w:rFonts w:asciiTheme="majorBidi" w:hAnsiTheme="majorBidi"/>
        </w:rPr>
        <w:t xml:space="preserve">specific growth rate </w:t>
      </w:r>
      <w:r w:rsidRPr="005244BD">
        <w:rPr>
          <w:rFonts w:asciiTheme="majorBidi" w:hAnsiTheme="majorBidi"/>
        </w:rPr>
        <w:t>for different</w:t>
      </w:r>
      <w:r w:rsidR="009619DA" w:rsidRPr="005244BD">
        <w:rPr>
          <w:rFonts w:asciiTheme="majorBidi" w:hAnsiTheme="majorBidi"/>
        </w:rPr>
        <w:t xml:space="preserve">ly heterogeneous </w:t>
      </w:r>
      <w:r w:rsidRPr="005244BD">
        <w:rPr>
          <w:rFonts w:asciiTheme="majorBidi" w:hAnsiTheme="majorBidi"/>
        </w:rPr>
        <w:t xml:space="preserve">pore networks from the intrinsic biodegradation rate, as shown in </w:t>
      </w:r>
      <w:r w:rsidR="00011C2E" w:rsidRPr="005244BD">
        <w:rPr>
          <w:rFonts w:asciiTheme="majorBidi" w:hAnsiTheme="majorBidi"/>
          <w:b/>
          <w:bCs/>
        </w:rPr>
        <w:fldChar w:fldCharType="begin"/>
      </w:r>
      <w:r w:rsidR="00011C2E" w:rsidRPr="005244BD">
        <w:rPr>
          <w:rFonts w:asciiTheme="majorBidi" w:hAnsiTheme="majorBidi"/>
          <w:b/>
          <w:bCs/>
        </w:rPr>
        <w:instrText xml:space="preserve"> REF _Ref15028787 \h  \* MERGEFORMAT </w:instrText>
      </w:r>
      <w:r w:rsidR="00011C2E" w:rsidRPr="005244BD">
        <w:rPr>
          <w:rFonts w:asciiTheme="majorBidi" w:hAnsiTheme="majorBidi"/>
          <w:b/>
          <w:bCs/>
        </w:rPr>
      </w:r>
      <w:r w:rsidR="00011C2E" w:rsidRPr="005244BD">
        <w:rPr>
          <w:rFonts w:asciiTheme="majorBidi" w:hAnsiTheme="majorBidi"/>
          <w:b/>
          <w:bCs/>
        </w:rPr>
        <w:fldChar w:fldCharType="separate"/>
      </w:r>
      <w:r w:rsidR="00EE0F85" w:rsidRPr="00EE0F85">
        <w:rPr>
          <w:rFonts w:asciiTheme="majorBidi" w:hAnsiTheme="majorBidi"/>
          <w:b/>
          <w:bCs/>
        </w:rPr>
        <w:t>Figure 6</w:t>
      </w:r>
      <w:r w:rsidR="00011C2E" w:rsidRPr="005244BD">
        <w:rPr>
          <w:rFonts w:asciiTheme="majorBidi" w:hAnsiTheme="majorBidi"/>
          <w:b/>
          <w:bCs/>
        </w:rPr>
        <w:fldChar w:fldCharType="end"/>
      </w:r>
      <w:r w:rsidRPr="005244BD">
        <w:rPr>
          <w:rFonts w:asciiTheme="majorBidi" w:hAnsiTheme="majorBidi"/>
        </w:rPr>
        <w:t xml:space="preserve"> (b), points out that the parameters used in Eq. 5 (maximum reaction rate, inhibition coefficient, and half-saturation constant) should be </w:t>
      </w:r>
      <w:r w:rsidR="009619DA" w:rsidRPr="005244BD">
        <w:rPr>
          <w:rFonts w:asciiTheme="majorBidi" w:hAnsiTheme="majorBidi"/>
        </w:rPr>
        <w:t>up</w:t>
      </w:r>
      <w:r w:rsidRPr="005244BD">
        <w:rPr>
          <w:rFonts w:asciiTheme="majorBidi" w:hAnsiTheme="majorBidi"/>
        </w:rPr>
        <w:t xml:space="preserve">scaled </w:t>
      </w:r>
      <w:r w:rsidR="003B7403" w:rsidRPr="005244BD">
        <w:rPr>
          <w:rFonts w:asciiTheme="majorBidi" w:hAnsiTheme="majorBidi"/>
        </w:rPr>
        <w:t xml:space="preserve">from pore scale </w:t>
      </w:r>
      <w:r w:rsidRPr="005244BD">
        <w:rPr>
          <w:rFonts w:asciiTheme="majorBidi" w:hAnsiTheme="majorBidi"/>
        </w:rPr>
        <w:t>to be used for various heterogeneities of the continuum scale (Darcy scale) modelling.</w:t>
      </w:r>
      <w:r w:rsidR="009F4290" w:rsidRPr="009F4290">
        <w:rPr>
          <w:rFonts w:asciiTheme="majorBidi" w:hAnsiTheme="majorBidi"/>
        </w:rPr>
        <w:t xml:space="preserve"> </w:t>
      </w:r>
      <w:r w:rsidR="009F4290">
        <w:rPr>
          <w:rFonts w:asciiTheme="majorBidi" w:hAnsiTheme="majorBidi"/>
        </w:rPr>
        <w:t xml:space="preserve">The </w:t>
      </w:r>
      <w:r w:rsidR="00772167">
        <w:rPr>
          <w:rFonts w:asciiTheme="majorBidi" w:hAnsiTheme="majorBidi"/>
        </w:rPr>
        <w:t xml:space="preserve">necessity </w:t>
      </w:r>
      <w:r w:rsidR="009F4290">
        <w:rPr>
          <w:rFonts w:asciiTheme="majorBidi" w:hAnsiTheme="majorBidi"/>
        </w:rPr>
        <w:t xml:space="preserve">for scaling of these parameters and mass transfer coefficient has been demonstrated in other studies. </w:t>
      </w:r>
      <w:r w:rsidR="009F4290">
        <w:rPr>
          <w:rFonts w:asciiTheme="majorBidi" w:hAnsiTheme="majorBidi"/>
        </w:rPr>
        <w:fldChar w:fldCharType="begin" w:fldLock="1"/>
      </w:r>
      <w:r w:rsidR="00520B13">
        <w:rPr>
          <w:rFonts w:asciiTheme="majorBidi" w:hAnsiTheme="majorBidi"/>
        </w:rPr>
        <w:instrText>ADDIN CSL_CITATION {"citationItems":[{"id":"ITEM-1","itemData":{"author":[{"dropping-particle":"","family":"Chu","given":"M","non-dropping-particle":"","parse-names":false,"suffix":""},{"dropping-particle":"","family":"Kitanidis","given":"P K","non-dropping-particle":"","parse-names":false,"suffix":""},{"dropping-particle":"","family":"McCarty","given":"Perry L","non-dropping-particle":"","parse-names":false,"suffix":""}],"container-title":"Advances in Water Resources","id":"ITEM-1","issue":"6","issued":{"date-parts":[["2004"]]},"page":"601-615","publisher":"Elsevier","title":"Possible factors controlling the effectiveness of bioenhanced dissolution of non-aqueous phase tetrachloroethene","type":"article-journal","volume":"27"},"uris":["http://www.mendeley.com/documents/?uuid=87dae3c7-4c8e-48a2-9ace-b91b56de6f83"]}],"mendeley":{"formattedCitation":"(Chu et al., 2004)","manualFormatting":"Chu et al., 2004,","plainTextFormattedCitation":"(Chu et al., 2004)","previouslyFormattedCitation":"(Chu et al., 2004)"},"properties":{"noteIndex":0},"schema":"https://github.com/citation-style-language/schema/raw/master/csl-citation.json"}</w:instrText>
      </w:r>
      <w:r w:rsidR="009F4290">
        <w:rPr>
          <w:rFonts w:asciiTheme="majorBidi" w:hAnsiTheme="majorBidi"/>
        </w:rPr>
        <w:fldChar w:fldCharType="separate"/>
      </w:r>
      <w:r w:rsidR="009F4290" w:rsidRPr="00234BF0">
        <w:rPr>
          <w:rFonts w:asciiTheme="majorBidi" w:hAnsiTheme="majorBidi"/>
          <w:noProof/>
        </w:rPr>
        <w:t>Chu et al., 2004</w:t>
      </w:r>
      <w:r w:rsidR="009F4290">
        <w:rPr>
          <w:rFonts w:asciiTheme="majorBidi" w:hAnsiTheme="majorBidi"/>
          <w:noProof/>
        </w:rPr>
        <w:t>,</w:t>
      </w:r>
      <w:r w:rsidR="009F4290">
        <w:rPr>
          <w:rFonts w:asciiTheme="majorBidi" w:hAnsiTheme="majorBidi"/>
        </w:rPr>
        <w:fldChar w:fldCharType="end"/>
      </w:r>
      <w:r w:rsidR="009F4290">
        <w:rPr>
          <w:rFonts w:asciiTheme="majorBidi" w:hAnsiTheme="majorBidi"/>
        </w:rPr>
        <w:t xml:space="preserve"> pointed out that the inhibition coefficient which is measured in the laboratory could not be used in macroscopic model and it is challenging to be used for the complex NAPL distribution in the real field. On the other hand, </w:t>
      </w:r>
      <w:r w:rsidR="009F4290">
        <w:rPr>
          <w:rFonts w:asciiTheme="majorBidi" w:hAnsiTheme="majorBidi"/>
        </w:rPr>
        <w:fldChar w:fldCharType="begin" w:fldLock="1"/>
      </w:r>
      <w:r w:rsidR="00520B13">
        <w:rPr>
          <w:rFonts w:asciiTheme="majorBidi" w:hAnsiTheme="majorBidi"/>
        </w:rPr>
        <w:instrText>ADDIN CSL_CITATION {"citationItems":[{"id":"ITEM-1","itemData":{"author":[{"dropping-particle":"","family":"Chu","given":"M","non-dropping-particle":"","parse-names":false,"suffix":""},{"dropping-particle":"","family":"Kitanidis","given":"P K","non-dropping-particle":"","parse-names":false,"suffix":""},{"dropping-particle":"","family":"McCarty","given":"P L","non-dropping-particle":"","parse-names":false,"suffix":""}],"container-title":"Advances in water resources","id":"ITEM-1","issue":"6-7","issued":{"date-parts":[["2007"]]},"page":"1618-1629","publisher":"Elsevier","title":"Dependence of lumped mass transfer coefficient on scale and reactions kinetics for biologically enhanced NAPL dissolution","type":"article-journal","volume":"30"},"uris":["http://www.mendeley.com/documents/?uuid=7c6e7e4e-d74c-4e68-915f-18fc3f5b187f"]}],"mendeley":{"formattedCitation":"(Chu et al., 2007)","manualFormatting":"Chu et al., 2007,","plainTextFormattedCitation":"(Chu et al., 2007)","previouslyFormattedCitation":"(Chu et al., 2007)"},"properties":{"noteIndex":0},"schema":"https://github.com/citation-style-language/schema/raw/master/csl-citation.json"}</w:instrText>
      </w:r>
      <w:r w:rsidR="009F4290">
        <w:rPr>
          <w:rFonts w:asciiTheme="majorBidi" w:hAnsiTheme="majorBidi"/>
        </w:rPr>
        <w:fldChar w:fldCharType="separate"/>
      </w:r>
      <w:r w:rsidR="009F4290" w:rsidRPr="00234BF0">
        <w:rPr>
          <w:rFonts w:asciiTheme="majorBidi" w:hAnsiTheme="majorBidi"/>
          <w:noProof/>
        </w:rPr>
        <w:t>Chu et al., 2007</w:t>
      </w:r>
      <w:r w:rsidR="009F4290">
        <w:rPr>
          <w:rFonts w:asciiTheme="majorBidi" w:hAnsiTheme="majorBidi"/>
          <w:noProof/>
        </w:rPr>
        <w:t>,</w:t>
      </w:r>
      <w:r w:rsidR="009F4290">
        <w:rPr>
          <w:rFonts w:asciiTheme="majorBidi" w:hAnsiTheme="majorBidi"/>
        </w:rPr>
        <w:fldChar w:fldCharType="end"/>
      </w:r>
      <w:r w:rsidR="009F4290">
        <w:rPr>
          <w:rFonts w:asciiTheme="majorBidi" w:hAnsiTheme="majorBidi"/>
        </w:rPr>
        <w:t xml:space="preserve"> showed that lump mass transfer coefficient depends on the scale and biological reaction. </w:t>
      </w:r>
      <w:r w:rsidRPr="005244BD">
        <w:rPr>
          <w:rFonts w:asciiTheme="majorBidi" w:hAnsiTheme="majorBidi"/>
        </w:rPr>
        <w:t xml:space="preserve">Therefore, the three terms for dissolved-NAPL biodegradation in the pore network modelling (last three terms in Eq. 7) </w:t>
      </w:r>
      <w:r w:rsidR="004F29F7" w:rsidRPr="005244BD">
        <w:rPr>
          <w:rFonts w:asciiTheme="majorBidi" w:hAnsiTheme="majorBidi"/>
        </w:rPr>
        <w:t>c</w:t>
      </w:r>
      <w:r w:rsidRPr="005244BD">
        <w:rPr>
          <w:rFonts w:asciiTheme="majorBidi" w:hAnsiTheme="majorBidi"/>
        </w:rPr>
        <w:t>ould be lumped into one</w:t>
      </w:r>
      <w:r w:rsidR="004F29F7" w:rsidRPr="005244BD">
        <w:rPr>
          <w:rFonts w:asciiTheme="majorBidi" w:hAnsiTheme="majorBidi"/>
        </w:rPr>
        <w:t xml:space="preserve"> macroscopic</w:t>
      </w:r>
      <w:r w:rsidRPr="005244BD">
        <w:rPr>
          <w:rFonts w:asciiTheme="majorBidi" w:hAnsiTheme="majorBidi"/>
        </w:rPr>
        <w:t xml:space="preserve"> term </w:t>
      </w:r>
      <m:oMath>
        <m:d>
          <m:dPr>
            <m:ctrlPr>
              <w:rPr>
                <w:rFonts w:ascii="Cambria Math" w:hAnsi="Cambria Math"/>
              </w:rPr>
            </m:ctrlPr>
          </m:dPr>
          <m:e>
            <m:f>
              <m:fPr>
                <m:type m:val="lin"/>
                <m:ctrlPr>
                  <w:rPr>
                    <w:rFonts w:ascii="Cambria Math" w:hAnsi="Cambria Math"/>
                  </w:rPr>
                </m:ctrlPr>
              </m:fPr>
              <m:num>
                <m:r>
                  <w:rPr>
                    <w:rFonts w:ascii="Cambria Math" w:hAnsi="Cambria Math"/>
                  </w:rPr>
                  <m:t>R</m:t>
                </m:r>
                <m:d>
                  <m:dPr>
                    <m:ctrlPr>
                      <w:rPr>
                        <w:rFonts w:ascii="Cambria Math" w:hAnsi="Cambria Math"/>
                      </w:rPr>
                    </m:ctrlPr>
                  </m:dPr>
                  <m:e>
                    <m:sSubSup>
                      <m:sSubSupPr>
                        <m:ctrlPr>
                          <w:rPr>
                            <w:rFonts w:ascii="Cambria Math" w:hAnsi="Cambria Math"/>
                          </w:rPr>
                        </m:ctrlPr>
                      </m:sSubSupPr>
                      <m:e>
                        <m:r>
                          <w:rPr>
                            <w:rFonts w:ascii="Cambria Math" w:hAnsi="Cambria Math"/>
                          </w:rPr>
                          <m:t>C</m:t>
                        </m:r>
                      </m:e>
                      <m:sub>
                        <m:r>
                          <m:rPr>
                            <m:sty m:val="p"/>
                          </m:rPr>
                          <w:rPr>
                            <w:rFonts w:ascii="Cambria Math" w:hAnsi="Cambria Math"/>
                          </w:rPr>
                          <m:t>ave</m:t>
                        </m:r>
                      </m:sub>
                      <m:sup>
                        <m:r>
                          <w:rPr>
                            <w:rFonts w:ascii="Cambria Math" w:hAnsi="Cambria Math"/>
                          </w:rPr>
                          <m:t>t</m:t>
                        </m:r>
                      </m:sup>
                    </m:sSubSup>
                  </m:e>
                </m:d>
                <m:sSub>
                  <m:sSubPr>
                    <m:ctrlPr>
                      <w:rPr>
                        <w:rFonts w:ascii="Cambria Math" w:hAnsi="Cambria Math"/>
                      </w:rPr>
                    </m:ctrlPr>
                  </m:sSubPr>
                  <m:e>
                    <m:r>
                      <w:rPr>
                        <w:rFonts w:ascii="Cambria Math" w:hAnsi="Cambria Math"/>
                      </w:rPr>
                      <m:t>ρ</m:t>
                    </m:r>
                  </m:e>
                  <m:sub>
                    <m:r>
                      <m:rPr>
                        <m:sty m:val="p"/>
                      </m:rPr>
                      <w:rPr>
                        <w:rFonts w:ascii="Cambria Math" w:hAnsi="Cambria Math"/>
                      </w:rPr>
                      <m:t>bio</m:t>
                    </m:r>
                  </m:sub>
                </m:sSub>
                <m:sSubSup>
                  <m:sSubSupPr>
                    <m:ctrlPr>
                      <w:rPr>
                        <w:rFonts w:ascii="Cambria Math" w:hAnsi="Cambria Math"/>
                      </w:rPr>
                    </m:ctrlPr>
                  </m:sSubSupPr>
                  <m:e>
                    <m:r>
                      <w:rPr>
                        <w:rFonts w:ascii="Cambria Math" w:hAnsi="Cambria Math"/>
                      </w:rPr>
                      <m:t>V</m:t>
                    </m:r>
                  </m:e>
                  <m:sub>
                    <m:r>
                      <m:rPr>
                        <m:sty m:val="p"/>
                      </m:rPr>
                      <w:rPr>
                        <w:rFonts w:ascii="Cambria Math" w:hAnsi="Cambria Math"/>
                      </w:rPr>
                      <m:t>bio</m:t>
                    </m:r>
                  </m:sub>
                  <m:sup>
                    <m:r>
                      <w:rPr>
                        <w:rFonts w:ascii="Cambria Math" w:hAnsi="Cambria Math"/>
                      </w:rPr>
                      <m:t>t</m:t>
                    </m:r>
                  </m:sup>
                </m:sSubSup>
              </m:num>
              <m:den>
                <m:sSub>
                  <m:sSubPr>
                    <m:ctrlPr>
                      <w:rPr>
                        <w:rFonts w:ascii="Cambria Math" w:hAnsi="Cambria Math"/>
                      </w:rPr>
                    </m:ctrlPr>
                  </m:sSubPr>
                  <m:e>
                    <m:r>
                      <w:rPr>
                        <w:rFonts w:ascii="Cambria Math" w:hAnsi="Cambria Math"/>
                      </w:rPr>
                      <m:t>Y</m:t>
                    </m:r>
                  </m:e>
                  <m:sub>
                    <m:r>
                      <m:rPr>
                        <m:sty m:val="p"/>
                      </m:rPr>
                      <w:rPr>
                        <w:rFonts w:ascii="Cambria Math" w:hAnsi="Cambria Math"/>
                      </w:rPr>
                      <m:t>bio</m:t>
                    </m:r>
                  </m:sub>
                </m:sSub>
              </m:den>
            </m:f>
          </m:e>
        </m:d>
      </m:oMath>
      <w:r w:rsidRPr="005244BD">
        <w:rPr>
          <w:rFonts w:asciiTheme="majorBidi" w:hAnsiTheme="majorBidi"/>
        </w:rPr>
        <w:t xml:space="preserve"> to be used in the continuum scale </w:t>
      </w:r>
      <w:r w:rsidR="004F29F7" w:rsidRPr="005244BD">
        <w:rPr>
          <w:rFonts w:asciiTheme="majorBidi" w:hAnsiTheme="majorBidi"/>
        </w:rPr>
        <w:t xml:space="preserve">single-porosity </w:t>
      </w:r>
      <w:r w:rsidRPr="005244BD">
        <w:rPr>
          <w:rFonts w:asciiTheme="majorBidi" w:hAnsiTheme="majorBidi"/>
        </w:rPr>
        <w:t>model</w:t>
      </w:r>
      <w:r w:rsidR="00766DFB" w:rsidRPr="005244BD">
        <w:rPr>
          <w:rFonts w:asciiTheme="majorBidi" w:hAnsiTheme="majorBidi"/>
          <w:color w:val="0070C0"/>
        </w:rPr>
        <w:t xml:space="preserve"> </w:t>
      </w:r>
      <w:r w:rsidR="007E3CAF" w:rsidRPr="005244BD">
        <w:rPr>
          <w:rFonts w:asciiTheme="majorBidi" w:hAnsiTheme="majorBidi"/>
        </w:rPr>
        <w:fldChar w:fldCharType="begin" w:fldLock="1"/>
      </w:r>
      <w:r w:rsidR="00BF6D87" w:rsidRPr="005244BD">
        <w:rPr>
          <w:rFonts w:asciiTheme="majorBidi" w:hAnsiTheme="majorBidi"/>
        </w:rPr>
        <w:instrText>ADDIN CSL_CITATION {"citationItems":[{"id":"ITEM-1","itemData":{"author":[{"dropping-particle":"","family":"Aminnaji","given":"Morteza","non-dropping-particle":"","parse-names":false,"suffix":""},{"dropping-particle":"","family":"Rabbani","given":"Arash","non-dropping-particle":"","parse-names":false,"suffix":""},{"dropping-particle":"","family":"Niasar","given":"Vahid J","non-dropping-particle":"","parse-names":false,"suffix":""},{"dropping-particle":"","family":"Babaei","given":"Masoud","non-dropping-particle":"","parse-names":false,"suffix":""}],"container-title":"Water Resources Research","id":"ITEM-1","issued":{"date-parts":[["2019"]]},"publisher":"Wiley Online Library","title":"Effects of pore-scale heterogeneity on macroscopic NAPL dissolution efficiency: A two-scale numerical simulation study","type":"article-journal"},"uris":["http://www.mendeley.com/documents/?uuid=06a2ffc3-de7c-49ec-a291-cec6342865f1","http://www.mendeley.com/documents/?uuid=de640a62-50f8-4232-9b02-049e5fbb54c7"]}],"mendeley":{"formattedCitation":"(Aminnaji et al., 2019)","plainTextFormattedCitation":"(Aminnaji et al., 2019)","previouslyFormattedCitation":"(Aminnaji et al., 2019)"},"properties":{"noteIndex":0},"schema":"https://github.com/citation-style-language/schema/raw/master/csl-citation.json"}</w:instrText>
      </w:r>
      <w:r w:rsidR="007E3CAF" w:rsidRPr="005244BD">
        <w:rPr>
          <w:rFonts w:asciiTheme="majorBidi" w:hAnsiTheme="majorBidi"/>
        </w:rPr>
        <w:fldChar w:fldCharType="separate"/>
      </w:r>
      <w:r w:rsidR="007E3CAF" w:rsidRPr="005244BD">
        <w:rPr>
          <w:rFonts w:asciiTheme="majorBidi" w:hAnsiTheme="majorBidi"/>
          <w:noProof/>
        </w:rPr>
        <w:t>(Aminnaji et al., 2019)</w:t>
      </w:r>
      <w:r w:rsidR="007E3CAF" w:rsidRPr="005244BD">
        <w:rPr>
          <w:rFonts w:asciiTheme="majorBidi" w:hAnsiTheme="majorBidi"/>
        </w:rPr>
        <w:fldChar w:fldCharType="end"/>
      </w:r>
      <w:r w:rsidRPr="005244BD">
        <w:rPr>
          <w:rFonts w:asciiTheme="majorBidi" w:hAnsiTheme="majorBidi"/>
        </w:rPr>
        <w:t xml:space="preserve">. </w:t>
      </w:r>
      <w:r w:rsidRPr="005244BD">
        <w:rPr>
          <w:rFonts w:asciiTheme="majorBidi" w:hAnsiTheme="majorBidi"/>
          <w:b/>
          <w:bCs/>
        </w:rPr>
        <w:fldChar w:fldCharType="begin"/>
      </w:r>
      <w:r w:rsidRPr="005244BD">
        <w:rPr>
          <w:rFonts w:asciiTheme="majorBidi" w:hAnsiTheme="majorBidi"/>
          <w:b/>
          <w:bCs/>
        </w:rPr>
        <w:instrText xml:space="preserve"> REF _Ref16170647 \h  \* MERGEFORMAT </w:instrText>
      </w:r>
      <w:r w:rsidRPr="005244BD">
        <w:rPr>
          <w:rFonts w:asciiTheme="majorBidi" w:hAnsiTheme="majorBidi"/>
          <w:b/>
          <w:bCs/>
        </w:rPr>
      </w:r>
      <w:r w:rsidRPr="005244BD">
        <w:rPr>
          <w:rFonts w:asciiTheme="majorBidi" w:hAnsiTheme="majorBidi"/>
          <w:b/>
          <w:bCs/>
        </w:rPr>
        <w:fldChar w:fldCharType="separate"/>
      </w:r>
      <w:r w:rsidR="00EE0F85" w:rsidRPr="00EE0F85">
        <w:rPr>
          <w:rFonts w:asciiTheme="majorBidi" w:hAnsiTheme="majorBidi"/>
          <w:b/>
          <w:bCs/>
        </w:rPr>
        <w:t>Table 3</w:t>
      </w:r>
      <w:r w:rsidRPr="005244BD">
        <w:rPr>
          <w:rFonts w:asciiTheme="majorBidi" w:hAnsiTheme="majorBidi"/>
          <w:b/>
          <w:bCs/>
        </w:rPr>
        <w:fldChar w:fldCharType="end"/>
      </w:r>
      <w:r w:rsidRPr="005244BD">
        <w:rPr>
          <w:rFonts w:asciiTheme="majorBidi" w:hAnsiTheme="majorBidi"/>
          <w:b/>
          <w:bCs/>
        </w:rPr>
        <w:t xml:space="preserve"> </w:t>
      </w:r>
      <w:r w:rsidRPr="005244BD">
        <w:rPr>
          <w:rFonts w:asciiTheme="majorBidi" w:hAnsiTheme="majorBidi"/>
        </w:rPr>
        <w:t>lists the upscaled coefficients of Eq. 5 for different pore network structures (</w:t>
      </w:r>
      <w:r w:rsidRPr="005244BD">
        <w:rPr>
          <w:rFonts w:asciiTheme="majorBidi" w:hAnsiTheme="majorBidi"/>
          <w:i/>
        </w:rPr>
        <w:t>i.e.</w:t>
      </w:r>
      <w:r w:rsidRPr="005244BD">
        <w:rPr>
          <w:rFonts w:asciiTheme="majorBidi" w:hAnsiTheme="majorBidi"/>
        </w:rPr>
        <w:t xml:space="preserve">, Eq.5 is fitted to data presented in </w:t>
      </w:r>
      <w:r w:rsidR="00011C2E" w:rsidRPr="005244BD">
        <w:rPr>
          <w:rFonts w:asciiTheme="majorBidi" w:hAnsiTheme="majorBidi"/>
          <w:b/>
          <w:bCs/>
        </w:rPr>
        <w:fldChar w:fldCharType="begin"/>
      </w:r>
      <w:r w:rsidR="00011C2E" w:rsidRPr="005244BD">
        <w:rPr>
          <w:rFonts w:asciiTheme="majorBidi" w:hAnsiTheme="majorBidi"/>
          <w:b/>
          <w:bCs/>
        </w:rPr>
        <w:instrText xml:space="preserve"> REF _Ref15028787 \h  \* MERGEFORMAT </w:instrText>
      </w:r>
      <w:r w:rsidR="00011C2E" w:rsidRPr="005244BD">
        <w:rPr>
          <w:rFonts w:asciiTheme="majorBidi" w:hAnsiTheme="majorBidi"/>
          <w:b/>
          <w:bCs/>
        </w:rPr>
      </w:r>
      <w:r w:rsidR="00011C2E" w:rsidRPr="005244BD">
        <w:rPr>
          <w:rFonts w:asciiTheme="majorBidi" w:hAnsiTheme="majorBidi"/>
          <w:b/>
          <w:bCs/>
        </w:rPr>
        <w:fldChar w:fldCharType="separate"/>
      </w:r>
      <w:r w:rsidR="00EE0F85" w:rsidRPr="00EE0F85">
        <w:rPr>
          <w:rFonts w:asciiTheme="majorBidi" w:hAnsiTheme="majorBidi"/>
          <w:b/>
          <w:bCs/>
        </w:rPr>
        <w:t>Figure 6</w:t>
      </w:r>
      <w:r w:rsidR="00011C2E" w:rsidRPr="005244BD">
        <w:rPr>
          <w:rFonts w:asciiTheme="majorBidi" w:hAnsiTheme="majorBidi"/>
          <w:b/>
          <w:bCs/>
        </w:rPr>
        <w:fldChar w:fldCharType="end"/>
      </w:r>
      <w:r w:rsidR="00011C2E" w:rsidRPr="005244BD">
        <w:rPr>
          <w:rFonts w:asciiTheme="majorBidi" w:hAnsiTheme="majorBidi"/>
        </w:rPr>
        <w:t xml:space="preserve"> </w:t>
      </w:r>
      <w:r w:rsidRPr="005244BD">
        <w:rPr>
          <w:rFonts w:asciiTheme="majorBidi" w:hAnsiTheme="majorBidi"/>
        </w:rPr>
        <w:t>(b) to calculate the upscaled coefficients). The results indicate that</w:t>
      </w:r>
      <w:r w:rsidR="007E65CA" w:rsidRPr="005244BD">
        <w:rPr>
          <w:rFonts w:asciiTheme="majorBidi" w:hAnsiTheme="majorBidi"/>
        </w:rPr>
        <w:t xml:space="preserve"> </w:t>
      </w:r>
      <w:r w:rsidR="009619DA" w:rsidRPr="005244BD">
        <w:rPr>
          <w:rFonts w:asciiTheme="majorBidi" w:hAnsiTheme="majorBidi"/>
        </w:rPr>
        <w:t>when</w:t>
      </w:r>
      <w:r w:rsidR="007E65CA" w:rsidRPr="005244BD">
        <w:rPr>
          <w:rFonts w:asciiTheme="majorBidi" w:hAnsiTheme="majorBidi"/>
        </w:rPr>
        <w:t xml:space="preserve"> the het</w:t>
      </w:r>
      <w:r w:rsidR="009619DA" w:rsidRPr="005244BD">
        <w:rPr>
          <w:rFonts w:asciiTheme="majorBidi" w:hAnsiTheme="majorBidi"/>
        </w:rPr>
        <w:t>erogeneity of the pore network i</w:t>
      </w:r>
      <w:r w:rsidR="007E65CA" w:rsidRPr="005244BD">
        <w:rPr>
          <w:rFonts w:asciiTheme="majorBidi" w:hAnsiTheme="majorBidi"/>
        </w:rPr>
        <w:t>s correlated, w</w:t>
      </w:r>
      <w:r w:rsidR="009619DA" w:rsidRPr="005244BD">
        <w:rPr>
          <w:rFonts w:asciiTheme="majorBidi" w:hAnsiTheme="majorBidi"/>
        </w:rPr>
        <w:t>hile up</w:t>
      </w:r>
      <w:r w:rsidR="007E65CA" w:rsidRPr="005244BD">
        <w:rPr>
          <w:rFonts w:asciiTheme="majorBidi" w:hAnsiTheme="majorBidi"/>
        </w:rPr>
        <w:t>scaled maximum reaction rate (</w:t>
      </w:r>
      <m:oMath>
        <m:r>
          <w:rPr>
            <w:rFonts w:ascii="Cambria Math" w:eastAsia="Calibri" w:hAnsi="Cambria Math" w:cstheme="majorBidi"/>
            <w:szCs w:val="24"/>
          </w:rPr>
          <m:t>μ</m:t>
        </m:r>
      </m:oMath>
      <w:r w:rsidR="007E65CA" w:rsidRPr="005244BD">
        <w:rPr>
          <w:rFonts w:asciiTheme="majorBidi" w:eastAsiaTheme="minorEastAsia" w:hAnsiTheme="majorBidi"/>
          <w:szCs w:val="24"/>
        </w:rPr>
        <w:t>) decrease</w:t>
      </w:r>
      <w:r w:rsidR="009619DA" w:rsidRPr="005244BD">
        <w:rPr>
          <w:rFonts w:asciiTheme="majorBidi" w:eastAsiaTheme="minorEastAsia" w:hAnsiTheme="majorBidi"/>
          <w:szCs w:val="24"/>
        </w:rPr>
        <w:t>s</w:t>
      </w:r>
      <w:r w:rsidR="007E65CA" w:rsidRPr="005244BD">
        <w:rPr>
          <w:rFonts w:asciiTheme="majorBidi" w:eastAsiaTheme="minorEastAsia" w:hAnsiTheme="majorBidi"/>
          <w:szCs w:val="24"/>
        </w:rPr>
        <w:t xml:space="preserve">, </w:t>
      </w:r>
      <w:r w:rsidR="007E65CA" w:rsidRPr="005244BD">
        <w:rPr>
          <w:rFonts w:asciiTheme="majorBidi" w:hAnsiTheme="majorBidi"/>
        </w:rPr>
        <w:t>inhibition coefficient (</w:t>
      </w:r>
      <m:oMath>
        <m:sSub>
          <m:sSubPr>
            <m:ctrlPr>
              <w:rPr>
                <w:rFonts w:ascii="Cambria Math" w:eastAsia="Calibri" w:hAnsi="Cambria Math" w:cstheme="majorBidi"/>
                <w:szCs w:val="24"/>
              </w:rPr>
            </m:ctrlPr>
          </m:sSubPr>
          <m:e>
            <m:r>
              <w:rPr>
                <w:rFonts w:ascii="Cambria Math" w:eastAsia="Calibri" w:hAnsi="Cambria Math" w:cstheme="majorBidi"/>
                <w:szCs w:val="24"/>
              </w:rPr>
              <m:t>K</m:t>
            </m:r>
          </m:e>
          <m:sub>
            <m:r>
              <w:rPr>
                <w:rFonts w:ascii="Cambria Math" w:eastAsia="Calibri" w:hAnsi="Cambria Math" w:cstheme="majorBidi"/>
                <w:szCs w:val="24"/>
              </w:rPr>
              <m:t>i</m:t>
            </m:r>
          </m:sub>
        </m:sSub>
      </m:oMath>
      <w:r w:rsidR="007E65CA" w:rsidRPr="005244BD">
        <w:rPr>
          <w:rFonts w:asciiTheme="majorBidi" w:eastAsiaTheme="minorEastAsia" w:hAnsiTheme="majorBidi"/>
          <w:szCs w:val="24"/>
        </w:rPr>
        <w:t>)</w:t>
      </w:r>
      <w:r w:rsidR="007E65CA" w:rsidRPr="005244BD">
        <w:rPr>
          <w:rFonts w:asciiTheme="majorBidi" w:hAnsiTheme="majorBidi"/>
        </w:rPr>
        <w:t xml:space="preserve"> and half-saturation constant (</w:t>
      </w:r>
      <m:oMath>
        <m:sSub>
          <m:sSubPr>
            <m:ctrlPr>
              <w:rPr>
                <w:rFonts w:ascii="Cambria Math" w:eastAsia="Calibri" w:hAnsi="Cambria Math" w:cstheme="majorBidi"/>
                <w:szCs w:val="24"/>
              </w:rPr>
            </m:ctrlPr>
          </m:sSubPr>
          <m:e>
            <m:r>
              <w:rPr>
                <w:rFonts w:ascii="Cambria Math" w:eastAsia="Calibri" w:hAnsi="Cambria Math" w:cstheme="majorBidi"/>
                <w:szCs w:val="24"/>
              </w:rPr>
              <m:t>K</m:t>
            </m:r>
          </m:e>
          <m:sub>
            <m:r>
              <w:rPr>
                <w:rFonts w:ascii="Cambria Math" w:eastAsia="Calibri" w:hAnsi="Cambria Math" w:cstheme="majorBidi"/>
                <w:szCs w:val="24"/>
              </w:rPr>
              <m:t>m</m:t>
            </m:r>
          </m:sub>
        </m:sSub>
      </m:oMath>
      <w:r w:rsidR="007E65CA" w:rsidRPr="005244BD">
        <w:rPr>
          <w:rFonts w:asciiTheme="majorBidi" w:eastAsiaTheme="minorEastAsia" w:hAnsiTheme="majorBidi"/>
          <w:szCs w:val="24"/>
        </w:rPr>
        <w:t>)</w:t>
      </w:r>
      <w:r w:rsidR="007E65CA" w:rsidRPr="005244BD">
        <w:rPr>
          <w:rFonts w:asciiTheme="majorBidi" w:hAnsiTheme="majorBidi"/>
        </w:rPr>
        <w:t xml:space="preserve"> increase. </w:t>
      </w:r>
      <w:r w:rsidRPr="005244BD">
        <w:rPr>
          <w:rFonts w:asciiTheme="majorBidi" w:hAnsiTheme="majorBidi"/>
        </w:rPr>
        <w:t xml:space="preserve"> </w:t>
      </w:r>
    </w:p>
    <w:p w14:paraId="0CBD11F8" w14:textId="77777777" w:rsidR="00772167" w:rsidRPr="005244BD" w:rsidRDefault="00772167" w:rsidP="004F5935">
      <w:pPr>
        <w:spacing w:line="480" w:lineRule="auto"/>
        <w:jc w:val="both"/>
        <w:rPr>
          <w:rFonts w:asciiTheme="majorBidi" w:hAnsiTheme="majorBidi"/>
        </w:rPr>
      </w:pPr>
    </w:p>
    <w:p w14:paraId="51654513" w14:textId="143B2EE9" w:rsidR="006B76E2" w:rsidRPr="005244BD" w:rsidRDefault="006B76E2" w:rsidP="005049B2">
      <w:pPr>
        <w:spacing w:after="0" w:line="480" w:lineRule="auto"/>
        <w:jc w:val="both"/>
        <w:rPr>
          <w:rFonts w:asciiTheme="majorBidi" w:eastAsiaTheme="minorEastAsia" w:hAnsiTheme="majorBidi" w:cstheme="majorBidi"/>
          <w:sz w:val="20"/>
          <w:szCs w:val="20"/>
        </w:rPr>
      </w:pPr>
      <w:bookmarkStart w:id="14" w:name="_Ref16170647"/>
      <w:r w:rsidRPr="005244BD">
        <w:rPr>
          <w:rFonts w:asciiTheme="majorBidi" w:hAnsiTheme="majorBidi" w:cstheme="majorBidi"/>
          <w:b/>
          <w:bCs/>
          <w:sz w:val="20"/>
          <w:szCs w:val="20"/>
        </w:rPr>
        <w:lastRenderedPageBreak/>
        <w:t xml:space="preserve">Table </w:t>
      </w:r>
      <w:r w:rsidRPr="005244BD">
        <w:rPr>
          <w:rFonts w:asciiTheme="majorBidi" w:hAnsiTheme="majorBidi" w:cstheme="majorBidi"/>
          <w:b/>
          <w:bCs/>
          <w:sz w:val="20"/>
          <w:szCs w:val="20"/>
        </w:rPr>
        <w:fldChar w:fldCharType="begin"/>
      </w:r>
      <w:r w:rsidRPr="005244BD">
        <w:rPr>
          <w:rFonts w:asciiTheme="majorBidi" w:hAnsiTheme="majorBidi" w:cstheme="majorBidi"/>
          <w:b/>
          <w:bCs/>
          <w:sz w:val="20"/>
          <w:szCs w:val="20"/>
        </w:rPr>
        <w:instrText xml:space="preserve"> SEQ Table \* ARABIC </w:instrText>
      </w:r>
      <w:r w:rsidRPr="005244BD">
        <w:rPr>
          <w:rFonts w:asciiTheme="majorBidi" w:hAnsiTheme="majorBidi" w:cstheme="majorBidi"/>
          <w:b/>
          <w:bCs/>
          <w:sz w:val="20"/>
          <w:szCs w:val="20"/>
        </w:rPr>
        <w:fldChar w:fldCharType="separate"/>
      </w:r>
      <w:r w:rsidR="00EE0F85">
        <w:rPr>
          <w:rFonts w:asciiTheme="majorBidi" w:hAnsiTheme="majorBidi" w:cstheme="majorBidi"/>
          <w:b/>
          <w:bCs/>
          <w:noProof/>
          <w:sz w:val="20"/>
          <w:szCs w:val="20"/>
        </w:rPr>
        <w:t>3</w:t>
      </w:r>
      <w:r w:rsidRPr="005244BD">
        <w:rPr>
          <w:rFonts w:asciiTheme="majorBidi" w:hAnsiTheme="majorBidi" w:cstheme="majorBidi"/>
          <w:b/>
          <w:bCs/>
          <w:sz w:val="20"/>
          <w:szCs w:val="20"/>
        </w:rPr>
        <w:fldChar w:fldCharType="end"/>
      </w:r>
      <w:bookmarkEnd w:id="14"/>
      <w:r w:rsidRPr="005244BD">
        <w:rPr>
          <w:rFonts w:asciiTheme="majorBidi" w:hAnsiTheme="majorBidi" w:cstheme="majorBidi"/>
          <w:b/>
          <w:bCs/>
          <w:sz w:val="20"/>
          <w:szCs w:val="20"/>
        </w:rPr>
        <w:t xml:space="preserve">. </w:t>
      </w:r>
      <w:r w:rsidR="002F0328" w:rsidRPr="005244BD">
        <w:rPr>
          <w:rFonts w:asciiTheme="majorBidi" w:eastAsiaTheme="minorEastAsia" w:hAnsiTheme="majorBidi" w:cstheme="majorBidi"/>
          <w:sz w:val="20"/>
          <w:szCs w:val="20"/>
        </w:rPr>
        <w:t>The up</w:t>
      </w:r>
      <w:r w:rsidRPr="005244BD">
        <w:rPr>
          <w:rFonts w:asciiTheme="majorBidi" w:eastAsiaTheme="minorEastAsia" w:hAnsiTheme="majorBidi" w:cstheme="majorBidi"/>
          <w:sz w:val="20"/>
          <w:szCs w:val="20"/>
        </w:rPr>
        <w:t>scaled coefficients of Eq. 5 (maximum reaction rate, inhibition coefficient, and half-saturation constant) for various he</w:t>
      </w:r>
      <w:r w:rsidR="002F0328" w:rsidRPr="005244BD">
        <w:rPr>
          <w:rFonts w:asciiTheme="majorBidi" w:eastAsiaTheme="minorEastAsia" w:hAnsiTheme="majorBidi" w:cstheme="majorBidi"/>
          <w:sz w:val="20"/>
          <w:szCs w:val="20"/>
        </w:rPr>
        <w:t>terogeneities of pore networks.</w:t>
      </w:r>
      <w:r w:rsidRPr="005244BD">
        <w:rPr>
          <w:rFonts w:asciiTheme="majorBidi" w:eastAsiaTheme="minorEastAsia" w:hAnsiTheme="majorBidi" w:cstheme="majorBidi"/>
          <w:sz w:val="20"/>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72"/>
        <w:gridCol w:w="824"/>
        <w:gridCol w:w="853"/>
        <w:gridCol w:w="824"/>
        <w:gridCol w:w="825"/>
        <w:gridCol w:w="896"/>
      </w:tblGrid>
      <w:tr w:rsidR="003E04DF" w:rsidRPr="005244BD" w14:paraId="291FEF72" w14:textId="77777777" w:rsidTr="00E726CA">
        <w:trPr>
          <w:cantSplit/>
          <w:trHeight w:val="387"/>
          <w:jc w:val="center"/>
        </w:trPr>
        <w:tc>
          <w:tcPr>
            <w:tcW w:w="0" w:type="auto"/>
            <w:vMerge w:val="restart"/>
            <w:tcBorders>
              <w:top w:val="single" w:sz="4" w:space="0" w:color="auto"/>
              <w:bottom w:val="single" w:sz="4" w:space="0" w:color="auto"/>
              <w:tl2br w:val="single" w:sz="4" w:space="0" w:color="auto"/>
            </w:tcBorders>
            <w:vAlign w:val="center"/>
          </w:tcPr>
          <w:p w14:paraId="0FCB719C" w14:textId="70412C55" w:rsidR="00EE4102" w:rsidRPr="005244BD" w:rsidRDefault="003E04DF" w:rsidP="00971480">
            <w:pPr>
              <w:spacing w:after="0" w:line="240" w:lineRule="auto"/>
              <w:jc w:val="right"/>
              <w:rPr>
                <w:rFonts w:ascii="Times New Roman" w:eastAsia="Calibri" w:hAnsi="Times New Roman" w:cs="Times New Roman"/>
                <w:sz w:val="20"/>
                <w:szCs w:val="24"/>
              </w:rPr>
            </w:pPr>
            <w:r w:rsidRPr="005244BD">
              <w:rPr>
                <w:rFonts w:ascii="Times New Roman" w:eastAsia="Calibri" w:hAnsi="Times New Roman" w:cs="Times New Roman"/>
                <w:sz w:val="20"/>
                <w:szCs w:val="24"/>
              </w:rPr>
              <w:t xml:space="preserve">          </w:t>
            </w:r>
            <w:r w:rsidR="00B529FA" w:rsidRPr="005244BD">
              <w:rPr>
                <w:rFonts w:ascii="Times New Roman" w:eastAsia="Calibri" w:hAnsi="Times New Roman" w:cs="Times New Roman"/>
                <w:sz w:val="20"/>
                <w:szCs w:val="24"/>
              </w:rPr>
              <w:t xml:space="preserve">      </w:t>
            </w:r>
            <w:r w:rsidR="00971480" w:rsidRPr="005244BD">
              <w:rPr>
                <w:rFonts w:ascii="Times New Roman" w:eastAsia="Calibri" w:hAnsi="Times New Roman" w:cs="Times New Roman"/>
                <w:sz w:val="20"/>
                <w:szCs w:val="24"/>
              </w:rPr>
              <w:t>P</w:t>
            </w:r>
            <w:r w:rsidRPr="005244BD">
              <w:rPr>
                <w:rFonts w:ascii="Times New Roman" w:eastAsia="Calibri" w:hAnsi="Times New Roman" w:cs="Times New Roman"/>
                <w:sz w:val="20"/>
                <w:szCs w:val="24"/>
              </w:rPr>
              <w:t>ore network</w:t>
            </w:r>
          </w:p>
          <w:p w14:paraId="0A8ED38F" w14:textId="2A4763C6" w:rsidR="003E04DF" w:rsidRPr="005244BD" w:rsidRDefault="003E04DF"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 xml:space="preserve"> </w:t>
            </w:r>
          </w:p>
          <w:p w14:paraId="2456CA9A" w14:textId="3EC22138" w:rsidR="003E04DF" w:rsidRPr="005244BD" w:rsidRDefault="00971480" w:rsidP="00EE4102">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C</w:t>
            </w:r>
            <w:r w:rsidR="003E04DF" w:rsidRPr="005244BD">
              <w:rPr>
                <w:rFonts w:ascii="Times New Roman" w:eastAsia="Calibri" w:hAnsi="Times New Roman" w:cs="Times New Roman"/>
                <w:sz w:val="20"/>
                <w:szCs w:val="24"/>
              </w:rPr>
              <w:t>oefficient</w:t>
            </w:r>
          </w:p>
        </w:tc>
        <w:tc>
          <w:tcPr>
            <w:tcW w:w="824" w:type="dxa"/>
            <w:tcBorders>
              <w:top w:val="single" w:sz="4" w:space="0" w:color="auto"/>
              <w:bottom w:val="single" w:sz="4" w:space="0" w:color="auto"/>
            </w:tcBorders>
            <w:vAlign w:val="center"/>
          </w:tcPr>
          <w:p w14:paraId="30A72B85" w14:textId="55413D78" w:rsidR="003E04DF" w:rsidRPr="005244BD" w:rsidRDefault="00CF39A3"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UNC1</w:t>
            </w:r>
          </w:p>
        </w:tc>
        <w:tc>
          <w:tcPr>
            <w:tcW w:w="853" w:type="dxa"/>
            <w:tcBorders>
              <w:top w:val="single" w:sz="4" w:space="0" w:color="auto"/>
              <w:bottom w:val="single" w:sz="4" w:space="0" w:color="auto"/>
            </w:tcBorders>
            <w:vAlign w:val="center"/>
          </w:tcPr>
          <w:p w14:paraId="183D624A" w14:textId="250CA555" w:rsidR="003E04DF" w:rsidRPr="005244BD" w:rsidRDefault="00CF39A3"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UNC2</w:t>
            </w:r>
          </w:p>
        </w:tc>
        <w:tc>
          <w:tcPr>
            <w:tcW w:w="824" w:type="dxa"/>
            <w:tcBorders>
              <w:top w:val="single" w:sz="4" w:space="0" w:color="auto"/>
              <w:bottom w:val="single" w:sz="4" w:space="0" w:color="auto"/>
            </w:tcBorders>
            <w:vAlign w:val="center"/>
          </w:tcPr>
          <w:p w14:paraId="05F0639D" w14:textId="33B2FA36" w:rsidR="003E04DF" w:rsidRPr="005244BD" w:rsidRDefault="00CF39A3"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COR1</w:t>
            </w:r>
          </w:p>
        </w:tc>
        <w:tc>
          <w:tcPr>
            <w:tcW w:w="825" w:type="dxa"/>
            <w:tcBorders>
              <w:top w:val="single" w:sz="4" w:space="0" w:color="auto"/>
              <w:bottom w:val="single" w:sz="4" w:space="0" w:color="auto"/>
            </w:tcBorders>
            <w:vAlign w:val="center"/>
          </w:tcPr>
          <w:p w14:paraId="722A3062" w14:textId="010E78C8" w:rsidR="003E04DF" w:rsidRPr="005244BD" w:rsidRDefault="00CF39A3"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COR2</w:t>
            </w:r>
          </w:p>
        </w:tc>
        <w:tc>
          <w:tcPr>
            <w:tcW w:w="896" w:type="dxa"/>
            <w:vMerge w:val="restart"/>
            <w:tcBorders>
              <w:top w:val="single" w:sz="4" w:space="0" w:color="auto"/>
              <w:bottom w:val="single" w:sz="4" w:space="0" w:color="auto"/>
            </w:tcBorders>
            <w:vAlign w:val="center"/>
          </w:tcPr>
          <w:p w14:paraId="578F2233" w14:textId="7BD2748E" w:rsidR="003E04DF" w:rsidRPr="005244BD" w:rsidRDefault="00971480"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I</w:t>
            </w:r>
            <w:r w:rsidR="003E04DF" w:rsidRPr="005244BD">
              <w:rPr>
                <w:rFonts w:ascii="Times New Roman" w:eastAsia="Calibri" w:hAnsi="Times New Roman" w:cs="Times New Roman"/>
                <w:sz w:val="20"/>
                <w:szCs w:val="24"/>
              </w:rPr>
              <w:t>ntrinsic value</w:t>
            </w:r>
          </w:p>
        </w:tc>
      </w:tr>
      <w:tr w:rsidR="003E04DF" w:rsidRPr="005244BD" w14:paraId="07A4E318" w14:textId="77777777" w:rsidTr="00E726CA">
        <w:trPr>
          <w:cantSplit/>
          <w:trHeight w:val="387"/>
          <w:jc w:val="center"/>
        </w:trPr>
        <w:tc>
          <w:tcPr>
            <w:tcW w:w="0" w:type="auto"/>
            <w:vMerge/>
            <w:tcBorders>
              <w:top w:val="single" w:sz="4" w:space="0" w:color="auto"/>
              <w:bottom w:val="single" w:sz="4" w:space="0" w:color="auto"/>
            </w:tcBorders>
            <w:vAlign w:val="center"/>
          </w:tcPr>
          <w:p w14:paraId="4931B7FD" w14:textId="77777777" w:rsidR="003E04DF" w:rsidRPr="005244BD" w:rsidRDefault="003E04DF" w:rsidP="00F81936">
            <w:pPr>
              <w:spacing w:after="0" w:line="240" w:lineRule="auto"/>
              <w:jc w:val="center"/>
              <w:rPr>
                <w:rFonts w:ascii="Times New Roman" w:eastAsia="Calibri" w:hAnsi="Times New Roman" w:cs="Times New Roman"/>
                <w:sz w:val="20"/>
                <w:szCs w:val="24"/>
              </w:rPr>
            </w:pPr>
          </w:p>
        </w:tc>
        <w:tc>
          <w:tcPr>
            <w:tcW w:w="0" w:type="auto"/>
            <w:gridSpan w:val="4"/>
            <w:tcBorders>
              <w:top w:val="single" w:sz="4" w:space="0" w:color="auto"/>
              <w:bottom w:val="single" w:sz="4" w:space="0" w:color="auto"/>
            </w:tcBorders>
            <w:vAlign w:val="center"/>
          </w:tcPr>
          <w:p w14:paraId="136C3B01" w14:textId="61E971F5" w:rsidR="003E04DF" w:rsidRPr="005244BD" w:rsidRDefault="00971480" w:rsidP="001403C3">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U</w:t>
            </w:r>
            <w:r w:rsidR="003E04DF" w:rsidRPr="005244BD">
              <w:rPr>
                <w:rFonts w:ascii="Times New Roman" w:eastAsia="Calibri" w:hAnsi="Times New Roman" w:cs="Times New Roman"/>
                <w:sz w:val="20"/>
                <w:szCs w:val="24"/>
              </w:rPr>
              <w:t>pscaled</w:t>
            </w:r>
          </w:p>
        </w:tc>
        <w:tc>
          <w:tcPr>
            <w:tcW w:w="896" w:type="dxa"/>
            <w:vMerge/>
            <w:tcBorders>
              <w:top w:val="single" w:sz="4" w:space="0" w:color="auto"/>
              <w:bottom w:val="single" w:sz="4" w:space="0" w:color="auto"/>
            </w:tcBorders>
            <w:textDirection w:val="tbRl"/>
            <w:vAlign w:val="center"/>
          </w:tcPr>
          <w:p w14:paraId="3A2063E4" w14:textId="77777777" w:rsidR="003E04DF" w:rsidRPr="005244BD" w:rsidRDefault="003E04DF" w:rsidP="00F81936">
            <w:pPr>
              <w:spacing w:after="0" w:line="240" w:lineRule="auto"/>
              <w:ind w:left="113" w:right="113"/>
              <w:jc w:val="center"/>
              <w:rPr>
                <w:rFonts w:ascii="Times New Roman" w:eastAsia="Calibri" w:hAnsi="Times New Roman" w:cs="Times New Roman"/>
                <w:sz w:val="20"/>
                <w:szCs w:val="24"/>
              </w:rPr>
            </w:pPr>
          </w:p>
        </w:tc>
      </w:tr>
      <w:tr w:rsidR="003E04DF" w:rsidRPr="005244BD" w14:paraId="708D08A7" w14:textId="77777777" w:rsidTr="00E726CA">
        <w:trPr>
          <w:trHeight w:val="387"/>
          <w:jc w:val="center"/>
        </w:trPr>
        <w:tc>
          <w:tcPr>
            <w:tcW w:w="0" w:type="auto"/>
            <w:tcBorders>
              <w:top w:val="single" w:sz="4" w:space="0" w:color="auto"/>
            </w:tcBorders>
            <w:vAlign w:val="center"/>
          </w:tcPr>
          <w:p w14:paraId="5BA8CB36" w14:textId="77777777" w:rsidR="003E04DF" w:rsidRPr="005244BD" w:rsidRDefault="003E04DF" w:rsidP="00F81936">
            <w:pPr>
              <w:spacing w:after="0" w:line="240" w:lineRule="auto"/>
              <w:jc w:val="center"/>
              <w:rPr>
                <w:rFonts w:ascii="Times New Roman" w:eastAsia="Calibri" w:hAnsi="Times New Roman" w:cs="Times New Roman"/>
                <w:sz w:val="20"/>
                <w:szCs w:val="24"/>
              </w:rPr>
            </w:pPr>
            <m:oMathPara>
              <m:oMath>
                <m:r>
                  <w:rPr>
                    <w:rFonts w:ascii="Cambria Math" w:eastAsia="Calibri" w:hAnsi="Cambria Math" w:cs="Times New Roman"/>
                    <w:sz w:val="20"/>
                    <w:szCs w:val="24"/>
                  </w:rPr>
                  <m:t>μ</m:t>
                </m:r>
              </m:oMath>
            </m:oMathPara>
          </w:p>
        </w:tc>
        <w:tc>
          <w:tcPr>
            <w:tcW w:w="0" w:type="auto"/>
            <w:tcBorders>
              <w:top w:val="single" w:sz="4" w:space="0" w:color="auto"/>
            </w:tcBorders>
            <w:vAlign w:val="center"/>
          </w:tcPr>
          <w:p w14:paraId="7588B8FF" w14:textId="77777777" w:rsidR="003E04DF" w:rsidRPr="005244BD" w:rsidRDefault="003E04DF"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0.1231</w:t>
            </w:r>
          </w:p>
        </w:tc>
        <w:tc>
          <w:tcPr>
            <w:tcW w:w="0" w:type="auto"/>
            <w:tcBorders>
              <w:top w:val="single" w:sz="4" w:space="0" w:color="auto"/>
            </w:tcBorders>
            <w:vAlign w:val="center"/>
          </w:tcPr>
          <w:p w14:paraId="192DFB6F" w14:textId="77777777" w:rsidR="003E04DF" w:rsidRPr="005244BD" w:rsidRDefault="003E04DF"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0.1300</w:t>
            </w:r>
          </w:p>
        </w:tc>
        <w:tc>
          <w:tcPr>
            <w:tcW w:w="0" w:type="auto"/>
            <w:tcBorders>
              <w:top w:val="single" w:sz="4" w:space="0" w:color="auto"/>
            </w:tcBorders>
            <w:vAlign w:val="center"/>
          </w:tcPr>
          <w:p w14:paraId="1413A147" w14:textId="77777777" w:rsidR="003E04DF" w:rsidRPr="005244BD" w:rsidRDefault="003E04DF"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0.0976</w:t>
            </w:r>
          </w:p>
        </w:tc>
        <w:tc>
          <w:tcPr>
            <w:tcW w:w="0" w:type="auto"/>
            <w:tcBorders>
              <w:top w:val="single" w:sz="4" w:space="0" w:color="auto"/>
            </w:tcBorders>
            <w:vAlign w:val="center"/>
          </w:tcPr>
          <w:p w14:paraId="501ECD00" w14:textId="77777777" w:rsidR="003E04DF" w:rsidRPr="005244BD" w:rsidRDefault="003E04DF"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0.1001</w:t>
            </w:r>
          </w:p>
        </w:tc>
        <w:tc>
          <w:tcPr>
            <w:tcW w:w="896" w:type="dxa"/>
            <w:tcBorders>
              <w:top w:val="single" w:sz="4" w:space="0" w:color="auto"/>
            </w:tcBorders>
            <w:vAlign w:val="center"/>
          </w:tcPr>
          <w:p w14:paraId="48AB5948" w14:textId="77777777" w:rsidR="003E04DF" w:rsidRPr="005244BD" w:rsidRDefault="003E04DF"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0.1722</w:t>
            </w:r>
          </w:p>
        </w:tc>
      </w:tr>
      <w:tr w:rsidR="003E04DF" w:rsidRPr="005244BD" w14:paraId="03AA9288" w14:textId="77777777" w:rsidTr="003E04DF">
        <w:trPr>
          <w:trHeight w:val="387"/>
          <w:jc w:val="center"/>
        </w:trPr>
        <w:tc>
          <w:tcPr>
            <w:tcW w:w="0" w:type="auto"/>
            <w:vAlign w:val="center"/>
          </w:tcPr>
          <w:p w14:paraId="6D91E547" w14:textId="77777777" w:rsidR="003E04DF" w:rsidRPr="005244BD" w:rsidRDefault="007E5EE0" w:rsidP="00F81936">
            <w:pPr>
              <w:spacing w:after="0" w:line="240" w:lineRule="auto"/>
              <w:jc w:val="center"/>
              <w:rPr>
                <w:rFonts w:ascii="Times New Roman" w:eastAsia="Calibri" w:hAnsi="Times New Roman" w:cs="Times New Roman"/>
                <w:sz w:val="20"/>
                <w:szCs w:val="24"/>
              </w:rPr>
            </w:pPr>
            <m:oMathPara>
              <m:oMath>
                <m:sSub>
                  <m:sSubPr>
                    <m:ctrlPr>
                      <w:rPr>
                        <w:rFonts w:ascii="Cambria Math" w:eastAsia="Calibri" w:hAnsi="Cambria Math" w:cs="Times New Roman"/>
                        <w:sz w:val="20"/>
                        <w:szCs w:val="24"/>
                      </w:rPr>
                    </m:ctrlPr>
                  </m:sSubPr>
                  <m:e>
                    <m:r>
                      <w:rPr>
                        <w:rFonts w:ascii="Cambria Math" w:eastAsia="Calibri" w:hAnsi="Cambria Math" w:cs="Times New Roman"/>
                        <w:sz w:val="20"/>
                        <w:szCs w:val="24"/>
                      </w:rPr>
                      <m:t>K</m:t>
                    </m:r>
                  </m:e>
                  <m:sub>
                    <m:r>
                      <w:rPr>
                        <w:rFonts w:ascii="Cambria Math" w:eastAsia="Calibri" w:hAnsi="Cambria Math" w:cs="Times New Roman"/>
                        <w:sz w:val="20"/>
                        <w:szCs w:val="24"/>
                      </w:rPr>
                      <m:t>m</m:t>
                    </m:r>
                  </m:sub>
                </m:sSub>
              </m:oMath>
            </m:oMathPara>
          </w:p>
        </w:tc>
        <w:tc>
          <w:tcPr>
            <w:tcW w:w="0" w:type="auto"/>
            <w:vAlign w:val="center"/>
          </w:tcPr>
          <w:p w14:paraId="1115C351" w14:textId="77777777" w:rsidR="003E04DF" w:rsidRPr="005244BD" w:rsidRDefault="003E04DF"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82.50</w:t>
            </w:r>
          </w:p>
        </w:tc>
        <w:tc>
          <w:tcPr>
            <w:tcW w:w="0" w:type="auto"/>
            <w:vAlign w:val="center"/>
          </w:tcPr>
          <w:p w14:paraId="0AF2AAE8" w14:textId="77777777" w:rsidR="003E04DF" w:rsidRPr="005244BD" w:rsidRDefault="003E04DF"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88.29</w:t>
            </w:r>
          </w:p>
        </w:tc>
        <w:tc>
          <w:tcPr>
            <w:tcW w:w="0" w:type="auto"/>
            <w:vAlign w:val="center"/>
          </w:tcPr>
          <w:p w14:paraId="1A934DC4" w14:textId="77777777" w:rsidR="003E04DF" w:rsidRPr="005244BD" w:rsidRDefault="003E04DF"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91.26</w:t>
            </w:r>
          </w:p>
        </w:tc>
        <w:tc>
          <w:tcPr>
            <w:tcW w:w="0" w:type="auto"/>
            <w:vAlign w:val="center"/>
          </w:tcPr>
          <w:p w14:paraId="201B169F" w14:textId="77777777" w:rsidR="003E04DF" w:rsidRPr="005244BD" w:rsidRDefault="003E04DF"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99.26</w:t>
            </w:r>
          </w:p>
        </w:tc>
        <w:tc>
          <w:tcPr>
            <w:tcW w:w="896" w:type="dxa"/>
            <w:vAlign w:val="center"/>
          </w:tcPr>
          <w:p w14:paraId="4A3F9100" w14:textId="77777777" w:rsidR="003E04DF" w:rsidRPr="005244BD" w:rsidRDefault="003E04DF"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62.56</w:t>
            </w:r>
          </w:p>
        </w:tc>
      </w:tr>
      <w:tr w:rsidR="003E04DF" w:rsidRPr="005244BD" w14:paraId="5E96F60C" w14:textId="77777777" w:rsidTr="003E04DF">
        <w:trPr>
          <w:trHeight w:val="387"/>
          <w:jc w:val="center"/>
        </w:trPr>
        <w:tc>
          <w:tcPr>
            <w:tcW w:w="0" w:type="auto"/>
            <w:tcBorders>
              <w:bottom w:val="single" w:sz="4" w:space="0" w:color="auto"/>
            </w:tcBorders>
            <w:vAlign w:val="center"/>
          </w:tcPr>
          <w:p w14:paraId="41C4239A" w14:textId="77777777" w:rsidR="003E04DF" w:rsidRPr="005244BD" w:rsidRDefault="007E5EE0" w:rsidP="00F81936">
            <w:pPr>
              <w:spacing w:after="0" w:line="240" w:lineRule="auto"/>
              <w:jc w:val="center"/>
              <w:rPr>
                <w:rFonts w:ascii="Times New Roman" w:eastAsia="Calibri" w:hAnsi="Times New Roman" w:cs="Times New Roman"/>
                <w:sz w:val="20"/>
                <w:szCs w:val="24"/>
              </w:rPr>
            </w:pPr>
            <m:oMathPara>
              <m:oMath>
                <m:sSub>
                  <m:sSubPr>
                    <m:ctrlPr>
                      <w:rPr>
                        <w:rFonts w:ascii="Cambria Math" w:eastAsia="Calibri" w:hAnsi="Cambria Math" w:cs="Times New Roman"/>
                        <w:sz w:val="20"/>
                        <w:szCs w:val="24"/>
                      </w:rPr>
                    </m:ctrlPr>
                  </m:sSubPr>
                  <m:e>
                    <m:r>
                      <w:rPr>
                        <w:rFonts w:ascii="Cambria Math" w:eastAsia="Calibri" w:hAnsi="Cambria Math" w:cs="Times New Roman"/>
                        <w:sz w:val="20"/>
                        <w:szCs w:val="24"/>
                      </w:rPr>
                      <m:t>K</m:t>
                    </m:r>
                  </m:e>
                  <m:sub>
                    <m:r>
                      <w:rPr>
                        <w:rFonts w:ascii="Cambria Math" w:eastAsia="Calibri" w:hAnsi="Cambria Math" w:cs="Times New Roman"/>
                        <w:sz w:val="20"/>
                        <w:szCs w:val="24"/>
                      </w:rPr>
                      <m:t>i</m:t>
                    </m:r>
                  </m:sub>
                </m:sSub>
              </m:oMath>
            </m:oMathPara>
          </w:p>
        </w:tc>
        <w:tc>
          <w:tcPr>
            <w:tcW w:w="0" w:type="auto"/>
            <w:tcBorders>
              <w:bottom w:val="single" w:sz="4" w:space="0" w:color="auto"/>
            </w:tcBorders>
            <w:vAlign w:val="center"/>
          </w:tcPr>
          <w:p w14:paraId="1C96ADA1" w14:textId="77777777" w:rsidR="003E04DF" w:rsidRPr="005244BD" w:rsidRDefault="003E04DF"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879.72</w:t>
            </w:r>
          </w:p>
        </w:tc>
        <w:tc>
          <w:tcPr>
            <w:tcW w:w="0" w:type="auto"/>
            <w:tcBorders>
              <w:bottom w:val="single" w:sz="4" w:space="0" w:color="auto"/>
            </w:tcBorders>
            <w:vAlign w:val="center"/>
          </w:tcPr>
          <w:p w14:paraId="5B8FB56E" w14:textId="77777777" w:rsidR="003E04DF" w:rsidRPr="005244BD" w:rsidRDefault="003E04DF"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757.70</w:t>
            </w:r>
          </w:p>
        </w:tc>
        <w:tc>
          <w:tcPr>
            <w:tcW w:w="0" w:type="auto"/>
            <w:tcBorders>
              <w:bottom w:val="single" w:sz="4" w:space="0" w:color="auto"/>
            </w:tcBorders>
            <w:vAlign w:val="center"/>
          </w:tcPr>
          <w:p w14:paraId="333022CA" w14:textId="77777777" w:rsidR="003E04DF" w:rsidRPr="005244BD" w:rsidRDefault="003E04DF"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3103.33</w:t>
            </w:r>
          </w:p>
        </w:tc>
        <w:tc>
          <w:tcPr>
            <w:tcW w:w="0" w:type="auto"/>
            <w:tcBorders>
              <w:bottom w:val="single" w:sz="4" w:space="0" w:color="auto"/>
            </w:tcBorders>
            <w:vAlign w:val="center"/>
          </w:tcPr>
          <w:p w14:paraId="58B37374" w14:textId="77777777" w:rsidR="003E04DF" w:rsidRPr="005244BD" w:rsidRDefault="003E04DF"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2678.77</w:t>
            </w:r>
          </w:p>
        </w:tc>
        <w:tc>
          <w:tcPr>
            <w:tcW w:w="896" w:type="dxa"/>
            <w:tcBorders>
              <w:bottom w:val="single" w:sz="4" w:space="0" w:color="auto"/>
            </w:tcBorders>
            <w:vAlign w:val="center"/>
          </w:tcPr>
          <w:p w14:paraId="7760FB55" w14:textId="77777777" w:rsidR="003E04DF" w:rsidRPr="005244BD" w:rsidRDefault="003E04DF" w:rsidP="00F81936">
            <w:pPr>
              <w:spacing w:after="0" w:line="240" w:lineRule="auto"/>
              <w:jc w:val="center"/>
              <w:rPr>
                <w:rFonts w:ascii="Times New Roman" w:eastAsia="Calibri" w:hAnsi="Times New Roman" w:cs="Times New Roman"/>
                <w:sz w:val="20"/>
                <w:szCs w:val="24"/>
              </w:rPr>
            </w:pPr>
            <w:r w:rsidRPr="005244BD">
              <w:rPr>
                <w:rFonts w:ascii="Times New Roman" w:eastAsia="Calibri" w:hAnsi="Times New Roman" w:cs="Times New Roman"/>
                <w:sz w:val="20"/>
                <w:szCs w:val="24"/>
              </w:rPr>
              <w:t>380.62</w:t>
            </w:r>
          </w:p>
        </w:tc>
      </w:tr>
    </w:tbl>
    <w:p w14:paraId="15EBB9A6" w14:textId="5B225F61" w:rsidR="007E65CA" w:rsidRPr="005244BD" w:rsidRDefault="007E65CA" w:rsidP="005049B2">
      <w:pPr>
        <w:spacing w:after="0" w:line="480" w:lineRule="auto"/>
        <w:jc w:val="both"/>
        <w:rPr>
          <w:rFonts w:asciiTheme="majorBidi" w:eastAsiaTheme="minorEastAsia" w:hAnsiTheme="majorBidi" w:cstheme="majorBidi"/>
          <w:sz w:val="20"/>
          <w:szCs w:val="20"/>
        </w:rPr>
      </w:pPr>
    </w:p>
    <w:p w14:paraId="4416BE9B" w14:textId="2936C378" w:rsidR="00EE4102" w:rsidRPr="005244BD" w:rsidRDefault="00EE4102" w:rsidP="005049B2">
      <w:pPr>
        <w:spacing w:after="0" w:line="480" w:lineRule="auto"/>
        <w:jc w:val="both"/>
        <w:rPr>
          <w:rFonts w:asciiTheme="majorBidi" w:eastAsiaTheme="minorEastAsia" w:hAnsiTheme="majorBidi" w:cstheme="majorBid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17"/>
      </w:tblGrid>
      <w:tr w:rsidR="00F81936" w:rsidRPr="005244BD" w14:paraId="7B2F739F" w14:textId="77777777" w:rsidTr="00D515B9">
        <w:tc>
          <w:tcPr>
            <w:tcW w:w="3149" w:type="dxa"/>
          </w:tcPr>
          <w:p w14:paraId="00850F68" w14:textId="06D8A800" w:rsidR="00F81936" w:rsidRPr="005244BD" w:rsidRDefault="00D515B9" w:rsidP="00F81936">
            <w:pPr>
              <w:spacing w:after="0" w:line="240" w:lineRule="auto"/>
              <w:jc w:val="both"/>
              <w:rPr>
                <w:rFonts w:asciiTheme="majorBidi" w:eastAsiaTheme="minorEastAsia" w:hAnsiTheme="majorBidi" w:cstheme="majorBidi"/>
                <w:sz w:val="20"/>
                <w:szCs w:val="20"/>
              </w:rPr>
            </w:pPr>
            <w:r w:rsidRPr="005244BD">
              <w:rPr>
                <w:noProof/>
                <w:lang w:eastAsia="en-GB"/>
              </w:rPr>
              <w:drawing>
                <wp:inline distT="0" distB="0" distL="0" distR="0" wp14:anchorId="3A732F08" wp14:editId="604C1EBA">
                  <wp:extent cx="2850207" cy="16632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0207" cy="1663200"/>
                          </a:xfrm>
                          <a:prstGeom prst="rect">
                            <a:avLst/>
                          </a:prstGeom>
                        </pic:spPr>
                      </pic:pic>
                    </a:graphicData>
                  </a:graphic>
                </wp:inline>
              </w:drawing>
            </w:r>
            <w:r w:rsidRPr="005244BD" w:rsidDel="00D515B9">
              <w:rPr>
                <w:rFonts w:asciiTheme="majorBidi" w:eastAsiaTheme="minorEastAsia" w:hAnsiTheme="majorBidi" w:cstheme="majorBidi"/>
                <w:noProof/>
                <w:sz w:val="20"/>
                <w:szCs w:val="20"/>
                <w:lang w:eastAsia="en-GB"/>
              </w:rPr>
              <w:t xml:space="preserve"> </w:t>
            </w:r>
          </w:p>
        </w:tc>
        <w:tc>
          <w:tcPr>
            <w:tcW w:w="6093" w:type="dxa"/>
          </w:tcPr>
          <w:p w14:paraId="0BACB1D8" w14:textId="40B1BD33" w:rsidR="00F81936" w:rsidRPr="005244BD" w:rsidRDefault="00D515B9" w:rsidP="00F81936">
            <w:pPr>
              <w:spacing w:after="0" w:line="240" w:lineRule="auto"/>
              <w:jc w:val="both"/>
              <w:rPr>
                <w:rFonts w:asciiTheme="majorBidi" w:eastAsiaTheme="minorEastAsia" w:hAnsiTheme="majorBidi" w:cstheme="majorBidi"/>
                <w:sz w:val="20"/>
                <w:szCs w:val="20"/>
              </w:rPr>
            </w:pPr>
            <w:r w:rsidRPr="005244BD">
              <w:rPr>
                <w:noProof/>
                <w:lang w:eastAsia="en-GB"/>
              </w:rPr>
              <w:drawing>
                <wp:inline distT="0" distB="0" distL="0" distR="0" wp14:anchorId="5EEA7A1D" wp14:editId="464BBD52">
                  <wp:extent cx="2844267" cy="166320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44267" cy="1663200"/>
                          </a:xfrm>
                          <a:prstGeom prst="rect">
                            <a:avLst/>
                          </a:prstGeom>
                        </pic:spPr>
                      </pic:pic>
                    </a:graphicData>
                  </a:graphic>
                </wp:inline>
              </w:drawing>
            </w:r>
          </w:p>
        </w:tc>
      </w:tr>
      <w:tr w:rsidR="00F81936" w:rsidRPr="005244BD" w14:paraId="073D8C72" w14:textId="77777777" w:rsidTr="00D515B9">
        <w:tc>
          <w:tcPr>
            <w:tcW w:w="3149" w:type="dxa"/>
          </w:tcPr>
          <w:p w14:paraId="6673A364" w14:textId="2B50E474" w:rsidR="00F81936" w:rsidRPr="005244BD" w:rsidRDefault="00F81936" w:rsidP="00F81936">
            <w:pPr>
              <w:spacing w:after="0" w:line="240" w:lineRule="auto"/>
              <w:jc w:val="center"/>
              <w:rPr>
                <w:rFonts w:asciiTheme="majorBidi" w:eastAsiaTheme="minorEastAsia" w:hAnsiTheme="majorBidi" w:cstheme="majorBidi"/>
                <w:b/>
                <w:sz w:val="20"/>
                <w:szCs w:val="20"/>
              </w:rPr>
            </w:pPr>
            <w:r w:rsidRPr="005244BD">
              <w:rPr>
                <w:rFonts w:asciiTheme="majorBidi" w:eastAsiaTheme="minorEastAsia" w:hAnsiTheme="majorBidi" w:cstheme="majorBidi"/>
                <w:b/>
                <w:sz w:val="20"/>
                <w:szCs w:val="20"/>
              </w:rPr>
              <w:t>(a)</w:t>
            </w:r>
          </w:p>
        </w:tc>
        <w:tc>
          <w:tcPr>
            <w:tcW w:w="6093" w:type="dxa"/>
          </w:tcPr>
          <w:p w14:paraId="7D5028E3" w14:textId="18AFE70A" w:rsidR="00F81936" w:rsidRPr="005244BD" w:rsidRDefault="00F81936" w:rsidP="00F81936">
            <w:pPr>
              <w:spacing w:after="0" w:line="240" w:lineRule="auto"/>
              <w:jc w:val="center"/>
              <w:rPr>
                <w:rFonts w:asciiTheme="majorBidi" w:eastAsiaTheme="minorEastAsia" w:hAnsiTheme="majorBidi" w:cstheme="majorBidi"/>
                <w:b/>
                <w:sz w:val="20"/>
                <w:szCs w:val="20"/>
              </w:rPr>
            </w:pPr>
            <w:r w:rsidRPr="005244BD">
              <w:rPr>
                <w:rFonts w:asciiTheme="majorBidi" w:eastAsiaTheme="minorEastAsia" w:hAnsiTheme="majorBidi" w:cstheme="majorBidi"/>
                <w:b/>
                <w:sz w:val="20"/>
                <w:szCs w:val="20"/>
              </w:rPr>
              <w:t>(b)</w:t>
            </w:r>
          </w:p>
        </w:tc>
      </w:tr>
    </w:tbl>
    <w:p w14:paraId="1BB1CCD5" w14:textId="214F8404" w:rsidR="00EC2989" w:rsidRPr="005244BD" w:rsidRDefault="00EC2989">
      <w:pPr>
        <w:spacing w:line="480" w:lineRule="auto"/>
        <w:jc w:val="both"/>
        <w:rPr>
          <w:rFonts w:asciiTheme="majorBidi" w:eastAsiaTheme="minorEastAsia" w:hAnsiTheme="majorBidi" w:cstheme="majorBidi"/>
          <w:iCs/>
          <w:sz w:val="20"/>
          <w:szCs w:val="20"/>
        </w:rPr>
      </w:pPr>
      <w:bookmarkStart w:id="15" w:name="_Ref15028787"/>
      <w:r w:rsidRPr="005244BD">
        <w:rPr>
          <w:rFonts w:asciiTheme="majorBidi" w:eastAsiaTheme="minorEastAsia" w:hAnsiTheme="majorBidi" w:cstheme="majorBidi"/>
          <w:b/>
          <w:bCs/>
          <w:iCs/>
          <w:sz w:val="20"/>
          <w:szCs w:val="20"/>
        </w:rPr>
        <w:t xml:space="preserve">Figure </w:t>
      </w:r>
      <w:r w:rsidRPr="005244BD">
        <w:rPr>
          <w:rFonts w:asciiTheme="majorBidi" w:eastAsiaTheme="minorEastAsia" w:hAnsiTheme="majorBidi" w:cstheme="majorBidi"/>
          <w:b/>
          <w:bCs/>
          <w:iCs/>
          <w:sz w:val="20"/>
          <w:szCs w:val="20"/>
        </w:rPr>
        <w:fldChar w:fldCharType="begin"/>
      </w:r>
      <w:r w:rsidRPr="005244BD">
        <w:rPr>
          <w:rFonts w:asciiTheme="majorBidi" w:eastAsiaTheme="minorEastAsia" w:hAnsiTheme="majorBidi" w:cstheme="majorBidi"/>
          <w:b/>
          <w:bCs/>
          <w:iCs/>
          <w:sz w:val="20"/>
          <w:szCs w:val="20"/>
        </w:rPr>
        <w:instrText xml:space="preserve"> SEQ Figure \* ARABIC </w:instrText>
      </w:r>
      <w:r w:rsidRPr="005244BD">
        <w:rPr>
          <w:rFonts w:asciiTheme="majorBidi" w:eastAsiaTheme="minorEastAsia" w:hAnsiTheme="majorBidi" w:cstheme="majorBidi"/>
          <w:b/>
          <w:bCs/>
          <w:iCs/>
          <w:sz w:val="20"/>
          <w:szCs w:val="20"/>
        </w:rPr>
        <w:fldChar w:fldCharType="separate"/>
      </w:r>
      <w:r w:rsidR="00EE0F85">
        <w:rPr>
          <w:rFonts w:asciiTheme="majorBidi" w:eastAsiaTheme="minorEastAsia" w:hAnsiTheme="majorBidi" w:cstheme="majorBidi"/>
          <w:b/>
          <w:bCs/>
          <w:iCs/>
          <w:noProof/>
          <w:sz w:val="20"/>
          <w:szCs w:val="20"/>
        </w:rPr>
        <w:t>6</w:t>
      </w:r>
      <w:r w:rsidRPr="005244BD">
        <w:rPr>
          <w:rFonts w:asciiTheme="majorBidi" w:eastAsiaTheme="minorEastAsia" w:hAnsiTheme="majorBidi" w:cstheme="majorBidi"/>
          <w:b/>
          <w:bCs/>
          <w:iCs/>
          <w:sz w:val="20"/>
          <w:szCs w:val="20"/>
        </w:rPr>
        <w:fldChar w:fldCharType="end"/>
      </w:r>
      <w:bookmarkEnd w:id="15"/>
      <w:r w:rsidRPr="005244BD">
        <w:rPr>
          <w:rFonts w:asciiTheme="majorBidi" w:eastAsiaTheme="minorEastAsia" w:hAnsiTheme="majorBidi" w:cstheme="majorBidi"/>
          <w:b/>
          <w:bCs/>
          <w:iCs/>
          <w:sz w:val="20"/>
          <w:szCs w:val="20"/>
        </w:rPr>
        <w:t>.</w:t>
      </w:r>
      <w:r w:rsidRPr="005244BD">
        <w:rPr>
          <w:rFonts w:asciiTheme="majorBidi" w:eastAsiaTheme="minorEastAsia" w:hAnsiTheme="majorBidi" w:cstheme="majorBidi"/>
          <w:iCs/>
          <w:sz w:val="20"/>
          <w:szCs w:val="20"/>
        </w:rPr>
        <w:t xml:space="preserve"> Average </w:t>
      </w:r>
      <w:r w:rsidR="00173781" w:rsidRPr="005244BD">
        <w:rPr>
          <w:rFonts w:asciiTheme="majorBidi" w:eastAsiaTheme="minorEastAsia" w:hAnsiTheme="majorBidi" w:cstheme="majorBidi"/>
          <w:iCs/>
          <w:sz w:val="20"/>
          <w:szCs w:val="20"/>
        </w:rPr>
        <w:t xml:space="preserve">specific growth rate </w:t>
      </w:r>
      <w:r w:rsidRPr="005244BD">
        <w:rPr>
          <w:rFonts w:asciiTheme="majorBidi" w:eastAsiaTheme="minorEastAsia" w:hAnsiTheme="majorBidi" w:cstheme="majorBidi"/>
          <w:iCs/>
          <w:sz w:val="20"/>
          <w:szCs w:val="20"/>
        </w:rPr>
        <w:t>over the entire pore network</w:t>
      </w:r>
      <w:r w:rsidR="006F3BAD" w:rsidRPr="005244BD">
        <w:rPr>
          <w:rFonts w:asciiTheme="majorBidi" w:eastAsiaTheme="minorEastAsia" w:hAnsiTheme="majorBidi" w:cstheme="majorBidi"/>
          <w:iCs/>
          <w:sz w:val="20"/>
          <w:szCs w:val="20"/>
        </w:rPr>
        <w:t xml:space="preserve"> (with an initial NAPL saturation of 40%)</w:t>
      </w:r>
      <w:r w:rsidRPr="005244BD">
        <w:rPr>
          <w:rFonts w:asciiTheme="majorBidi" w:eastAsiaTheme="minorEastAsia" w:hAnsiTheme="majorBidi" w:cstheme="majorBidi"/>
          <w:iCs/>
          <w:sz w:val="20"/>
          <w:szCs w:val="20"/>
        </w:rPr>
        <w:t xml:space="preserve"> as a function of (a) </w:t>
      </w:r>
      <w:r w:rsidR="00700CF9" w:rsidRPr="005244BD">
        <w:rPr>
          <w:rFonts w:asciiTheme="majorBidi" w:eastAsiaTheme="minorEastAsia" w:hAnsiTheme="majorBidi" w:cstheme="majorBidi"/>
          <w:iCs/>
          <w:sz w:val="20"/>
          <w:szCs w:val="20"/>
        </w:rPr>
        <w:t>PVI</w:t>
      </w:r>
      <w:r w:rsidR="00BD17E3">
        <w:rPr>
          <w:rFonts w:asciiTheme="majorBidi" w:eastAsiaTheme="minorEastAsia" w:hAnsiTheme="majorBidi" w:cstheme="majorBidi"/>
          <w:iCs/>
          <w:sz w:val="20"/>
          <w:szCs w:val="20"/>
        </w:rPr>
        <w:t>, and</w:t>
      </w:r>
      <w:r w:rsidR="0054591E" w:rsidRPr="005244BD">
        <w:rPr>
          <w:rFonts w:asciiTheme="majorBidi" w:eastAsiaTheme="minorEastAsia" w:hAnsiTheme="majorBidi" w:cstheme="majorBidi"/>
          <w:iCs/>
          <w:sz w:val="20"/>
          <w:szCs w:val="20"/>
        </w:rPr>
        <w:t xml:space="preserve"> </w:t>
      </w:r>
      <w:r w:rsidRPr="005244BD">
        <w:rPr>
          <w:rFonts w:asciiTheme="majorBidi" w:eastAsiaTheme="minorEastAsia" w:hAnsiTheme="majorBidi" w:cstheme="majorBidi"/>
          <w:iCs/>
          <w:sz w:val="20"/>
          <w:szCs w:val="20"/>
        </w:rPr>
        <w:t>(b) average resident concentration of NAPL in the aqueous phase.</w:t>
      </w:r>
    </w:p>
    <w:p w14:paraId="30E83F30" w14:textId="5161C15F" w:rsidR="002332DA" w:rsidRPr="005244BD" w:rsidRDefault="007C7455" w:rsidP="00B438D0">
      <w:pPr>
        <w:spacing w:line="480" w:lineRule="auto"/>
        <w:jc w:val="both"/>
        <w:rPr>
          <w:rFonts w:asciiTheme="majorBidi" w:hAnsiTheme="majorBidi"/>
        </w:rPr>
      </w:pPr>
      <w:r w:rsidRPr="005244BD">
        <w:rPr>
          <w:rFonts w:asciiTheme="majorBidi" w:hAnsiTheme="majorBidi"/>
        </w:rPr>
        <w:t>As biomass increases due to b</w:t>
      </w:r>
      <w:r w:rsidR="00510AEB" w:rsidRPr="005244BD">
        <w:rPr>
          <w:rFonts w:asciiTheme="majorBidi" w:hAnsiTheme="majorBidi"/>
        </w:rPr>
        <w:t>iofilm</w:t>
      </w:r>
      <w:r w:rsidRPr="005244BD">
        <w:rPr>
          <w:rFonts w:asciiTheme="majorBidi" w:hAnsiTheme="majorBidi"/>
        </w:rPr>
        <w:t xml:space="preserve"> growth in the pores and throats, </w:t>
      </w:r>
      <w:r w:rsidR="003764ED" w:rsidRPr="005244BD">
        <w:rPr>
          <w:rFonts w:asciiTheme="majorBidi" w:hAnsiTheme="majorBidi"/>
        </w:rPr>
        <w:t>the</w:t>
      </w:r>
      <w:r w:rsidR="00510AEB" w:rsidRPr="005244BD">
        <w:rPr>
          <w:rFonts w:asciiTheme="majorBidi" w:hAnsiTheme="majorBidi"/>
        </w:rPr>
        <w:t xml:space="preserve"> porosity and permeability</w:t>
      </w:r>
      <w:r w:rsidR="003764ED" w:rsidRPr="005244BD">
        <w:rPr>
          <w:rFonts w:asciiTheme="majorBidi" w:hAnsiTheme="majorBidi"/>
        </w:rPr>
        <w:t xml:space="preserve"> of pore networks</w:t>
      </w:r>
      <w:r w:rsidR="00510AEB" w:rsidRPr="005244BD">
        <w:rPr>
          <w:rFonts w:asciiTheme="majorBidi" w:hAnsiTheme="majorBidi"/>
        </w:rPr>
        <w:t xml:space="preserve"> </w:t>
      </w:r>
      <w:r w:rsidRPr="005244BD">
        <w:rPr>
          <w:rFonts w:asciiTheme="majorBidi" w:hAnsiTheme="majorBidi"/>
        </w:rPr>
        <w:t>change</w:t>
      </w:r>
      <w:r w:rsidR="00427048" w:rsidRPr="005244BD">
        <w:rPr>
          <w:rFonts w:asciiTheme="majorBidi" w:hAnsiTheme="majorBidi"/>
        </w:rPr>
        <w:t xml:space="preserve"> as the</w:t>
      </w:r>
      <w:r w:rsidR="003764ED" w:rsidRPr="005244BD">
        <w:rPr>
          <w:rFonts w:asciiTheme="majorBidi" w:hAnsiTheme="majorBidi"/>
        </w:rPr>
        <w:t xml:space="preserve"> biofilm is considered as an impermeable/solid phase which adheres to the surface resulting in permeability and porosity reduction</w:t>
      </w:r>
      <w:r w:rsidRPr="005244BD">
        <w:rPr>
          <w:rFonts w:asciiTheme="majorBidi" w:hAnsiTheme="majorBidi"/>
        </w:rPr>
        <w:t>.</w:t>
      </w:r>
      <w:r w:rsidR="005E5ED2" w:rsidRPr="005244BD">
        <w:rPr>
          <w:rFonts w:asciiTheme="majorBidi" w:hAnsiTheme="majorBidi"/>
        </w:rPr>
        <w:t xml:space="preserve"> </w:t>
      </w:r>
      <w:r w:rsidR="005E5ED2" w:rsidRPr="005244BD">
        <w:rPr>
          <w:rFonts w:asciiTheme="majorBidi" w:hAnsiTheme="majorBidi"/>
        </w:rPr>
        <w:fldChar w:fldCharType="begin"/>
      </w:r>
      <w:r w:rsidR="005E5ED2" w:rsidRPr="005244BD">
        <w:rPr>
          <w:rFonts w:asciiTheme="majorBidi" w:hAnsiTheme="majorBidi"/>
        </w:rPr>
        <w:instrText xml:space="preserve"> REF _Ref15038732 \h  \* MERGEFORMAT </w:instrText>
      </w:r>
      <w:r w:rsidR="005E5ED2" w:rsidRPr="005244BD">
        <w:rPr>
          <w:rFonts w:asciiTheme="majorBidi" w:hAnsiTheme="majorBidi"/>
        </w:rPr>
      </w:r>
      <w:r w:rsidR="005E5ED2" w:rsidRPr="005244BD">
        <w:rPr>
          <w:rFonts w:asciiTheme="majorBidi" w:hAnsiTheme="majorBidi"/>
        </w:rPr>
        <w:fldChar w:fldCharType="separate"/>
      </w:r>
      <w:r w:rsidR="00EE0F85" w:rsidRPr="00EE0F85">
        <w:rPr>
          <w:rFonts w:asciiTheme="majorBidi" w:eastAsiaTheme="minorEastAsia" w:hAnsiTheme="majorBidi" w:cstheme="majorBidi"/>
          <w:b/>
          <w:bCs/>
          <w:iCs/>
        </w:rPr>
        <w:t xml:space="preserve">Figure </w:t>
      </w:r>
      <w:r w:rsidR="00EE0F85" w:rsidRPr="00EE0F85">
        <w:rPr>
          <w:rFonts w:asciiTheme="majorBidi" w:eastAsiaTheme="minorEastAsia" w:hAnsiTheme="majorBidi" w:cstheme="majorBidi"/>
          <w:b/>
          <w:bCs/>
          <w:iCs/>
          <w:noProof/>
        </w:rPr>
        <w:t>7</w:t>
      </w:r>
      <w:r w:rsidR="005E5ED2" w:rsidRPr="005244BD">
        <w:rPr>
          <w:rFonts w:asciiTheme="majorBidi" w:hAnsiTheme="majorBidi"/>
        </w:rPr>
        <w:fldChar w:fldCharType="end"/>
      </w:r>
      <w:r w:rsidR="00294E2B" w:rsidRPr="005244BD">
        <w:rPr>
          <w:rFonts w:asciiTheme="majorBidi" w:hAnsiTheme="majorBidi"/>
        </w:rPr>
        <w:t xml:space="preserve"> </w:t>
      </w:r>
      <w:r w:rsidR="00175C0D" w:rsidRPr="005244BD">
        <w:rPr>
          <w:rFonts w:asciiTheme="majorBidi" w:hAnsiTheme="majorBidi"/>
        </w:rPr>
        <w:t>(a)</w:t>
      </w:r>
      <w:r w:rsidR="005E5ED2" w:rsidRPr="005244BD">
        <w:rPr>
          <w:rFonts w:asciiTheme="majorBidi" w:hAnsiTheme="majorBidi"/>
        </w:rPr>
        <w:t xml:space="preserve"> shows the change of effective permeability</w:t>
      </w:r>
      <w:r w:rsidR="00722822" w:rsidRPr="005244BD">
        <w:rPr>
          <w:rFonts w:asciiTheme="majorBidi" w:hAnsiTheme="majorBidi"/>
        </w:rPr>
        <w:t xml:space="preserve"> relative to</w:t>
      </w:r>
      <w:r w:rsidR="00427048" w:rsidRPr="005244BD">
        <w:rPr>
          <w:rFonts w:asciiTheme="majorBidi" w:hAnsiTheme="majorBidi"/>
        </w:rPr>
        <w:t xml:space="preserve"> the</w:t>
      </w:r>
      <w:r w:rsidR="00722822" w:rsidRPr="005244BD">
        <w:rPr>
          <w:rFonts w:asciiTheme="majorBidi" w:hAnsiTheme="majorBidi"/>
        </w:rPr>
        <w:t xml:space="preserve"> initial absolute permeability</w:t>
      </w:r>
      <w:r w:rsidR="005E5ED2" w:rsidRPr="005244BD">
        <w:rPr>
          <w:rFonts w:asciiTheme="majorBidi" w:hAnsiTheme="majorBidi"/>
        </w:rPr>
        <w:t xml:space="preserve"> due to </w:t>
      </w:r>
      <w:r w:rsidR="008E7FE0" w:rsidRPr="005244BD">
        <w:rPr>
          <w:rFonts w:asciiTheme="majorBidi" w:hAnsiTheme="majorBidi"/>
        </w:rPr>
        <w:t xml:space="preserve">the </w:t>
      </w:r>
      <w:r w:rsidR="005E5ED2" w:rsidRPr="005244BD">
        <w:rPr>
          <w:rFonts w:asciiTheme="majorBidi" w:hAnsiTheme="majorBidi"/>
        </w:rPr>
        <w:t xml:space="preserve">biofilm growth and NAPL remediation as a function of </w:t>
      </w:r>
      <w:r w:rsidR="00700CF9" w:rsidRPr="005244BD">
        <w:rPr>
          <w:rFonts w:asciiTheme="majorBidi" w:hAnsiTheme="majorBidi"/>
        </w:rPr>
        <w:t>PVI</w:t>
      </w:r>
      <w:r w:rsidR="005E5ED2" w:rsidRPr="005244BD">
        <w:rPr>
          <w:rFonts w:asciiTheme="majorBidi" w:hAnsiTheme="majorBidi"/>
        </w:rPr>
        <w:t xml:space="preserve"> for different pore network structures</w:t>
      </w:r>
      <w:r w:rsidR="00722822" w:rsidRPr="005244BD">
        <w:rPr>
          <w:rFonts w:asciiTheme="majorBidi" w:hAnsiTheme="majorBidi"/>
        </w:rPr>
        <w:t>. T</w:t>
      </w:r>
      <w:r w:rsidR="00175C0D" w:rsidRPr="005244BD">
        <w:rPr>
          <w:rFonts w:asciiTheme="majorBidi" w:hAnsiTheme="majorBidi"/>
        </w:rPr>
        <w:t xml:space="preserve">he inset of </w:t>
      </w:r>
      <w:r w:rsidR="00175C0D" w:rsidRPr="005244BD">
        <w:rPr>
          <w:rFonts w:asciiTheme="majorBidi" w:hAnsiTheme="majorBidi"/>
        </w:rPr>
        <w:fldChar w:fldCharType="begin"/>
      </w:r>
      <w:r w:rsidR="00175C0D" w:rsidRPr="005244BD">
        <w:rPr>
          <w:rFonts w:asciiTheme="majorBidi" w:hAnsiTheme="majorBidi"/>
        </w:rPr>
        <w:instrText xml:space="preserve"> REF _Ref15038732 \h  \* MERGEFORMAT </w:instrText>
      </w:r>
      <w:r w:rsidR="00175C0D" w:rsidRPr="005244BD">
        <w:rPr>
          <w:rFonts w:asciiTheme="majorBidi" w:hAnsiTheme="majorBidi"/>
        </w:rPr>
      </w:r>
      <w:r w:rsidR="00175C0D" w:rsidRPr="005244BD">
        <w:rPr>
          <w:rFonts w:asciiTheme="majorBidi" w:hAnsiTheme="majorBidi"/>
        </w:rPr>
        <w:fldChar w:fldCharType="separate"/>
      </w:r>
      <w:r w:rsidR="00EE0F85" w:rsidRPr="00EE0F85">
        <w:rPr>
          <w:rFonts w:asciiTheme="majorBidi" w:eastAsiaTheme="minorEastAsia" w:hAnsiTheme="majorBidi" w:cstheme="majorBidi"/>
          <w:b/>
          <w:bCs/>
          <w:iCs/>
        </w:rPr>
        <w:t xml:space="preserve">Figure </w:t>
      </w:r>
      <w:r w:rsidR="00EE0F85" w:rsidRPr="00EE0F85">
        <w:rPr>
          <w:rFonts w:asciiTheme="majorBidi" w:eastAsiaTheme="minorEastAsia" w:hAnsiTheme="majorBidi" w:cstheme="majorBidi"/>
          <w:b/>
          <w:bCs/>
          <w:iCs/>
          <w:noProof/>
        </w:rPr>
        <w:t>7</w:t>
      </w:r>
      <w:r w:rsidR="00175C0D" w:rsidRPr="005244BD">
        <w:rPr>
          <w:rFonts w:asciiTheme="majorBidi" w:hAnsiTheme="majorBidi"/>
        </w:rPr>
        <w:fldChar w:fldCharType="end"/>
      </w:r>
      <w:r w:rsidR="00294E2B" w:rsidRPr="005244BD">
        <w:rPr>
          <w:rFonts w:asciiTheme="majorBidi" w:hAnsiTheme="majorBidi"/>
        </w:rPr>
        <w:t xml:space="preserve"> </w:t>
      </w:r>
      <w:r w:rsidR="00175C0D" w:rsidRPr="005244BD">
        <w:rPr>
          <w:rFonts w:asciiTheme="majorBidi" w:hAnsiTheme="majorBidi"/>
        </w:rPr>
        <w:t>(a) shows the change of effective permeability</w:t>
      </w:r>
      <w:r w:rsidR="00722822" w:rsidRPr="005244BD">
        <w:rPr>
          <w:rFonts w:asciiTheme="majorBidi" w:hAnsiTheme="majorBidi"/>
        </w:rPr>
        <w:t xml:space="preserve"> relative to </w:t>
      </w:r>
      <w:r w:rsidR="00427048" w:rsidRPr="005244BD">
        <w:rPr>
          <w:rFonts w:asciiTheme="majorBidi" w:hAnsiTheme="majorBidi"/>
        </w:rPr>
        <w:t xml:space="preserve">the </w:t>
      </w:r>
      <w:r w:rsidR="00722822" w:rsidRPr="005244BD">
        <w:rPr>
          <w:rFonts w:asciiTheme="majorBidi" w:hAnsiTheme="majorBidi"/>
        </w:rPr>
        <w:t xml:space="preserve">initial absolute permeability as a function of </w:t>
      </w:r>
      <w:r w:rsidR="00700CF9" w:rsidRPr="005244BD">
        <w:rPr>
          <w:rFonts w:asciiTheme="majorBidi" w:hAnsiTheme="majorBidi"/>
        </w:rPr>
        <w:t>PVI</w:t>
      </w:r>
      <w:r w:rsidR="00175C0D" w:rsidRPr="005244BD">
        <w:rPr>
          <w:rFonts w:asciiTheme="majorBidi" w:hAnsiTheme="majorBidi"/>
        </w:rPr>
        <w:t xml:space="preserve"> in the case if the biofilm </w:t>
      </w:r>
      <w:r w:rsidR="00427048" w:rsidRPr="005244BD">
        <w:rPr>
          <w:rFonts w:asciiTheme="majorBidi" w:hAnsiTheme="majorBidi"/>
        </w:rPr>
        <w:t xml:space="preserve">does not clog the porous media and </w:t>
      </w:r>
      <w:r w:rsidR="00B438D0">
        <w:rPr>
          <w:rFonts w:asciiTheme="majorBidi" w:hAnsiTheme="majorBidi"/>
        </w:rPr>
        <w:t>biofilm behaves a</w:t>
      </w:r>
      <w:r w:rsidR="00427048" w:rsidRPr="005244BD">
        <w:rPr>
          <w:rFonts w:asciiTheme="majorBidi" w:hAnsiTheme="majorBidi"/>
        </w:rPr>
        <w:t>s</w:t>
      </w:r>
      <w:r w:rsidR="00175C0D" w:rsidRPr="005244BD">
        <w:rPr>
          <w:rFonts w:asciiTheme="majorBidi" w:hAnsiTheme="majorBidi"/>
        </w:rPr>
        <w:t xml:space="preserve"> a </w:t>
      </w:r>
      <w:r w:rsidR="00427048" w:rsidRPr="005244BD">
        <w:rPr>
          <w:rFonts w:asciiTheme="majorBidi" w:hAnsiTheme="majorBidi"/>
        </w:rPr>
        <w:t>highly</w:t>
      </w:r>
      <w:r w:rsidR="00175C0D" w:rsidRPr="005244BD">
        <w:rPr>
          <w:rFonts w:asciiTheme="majorBidi" w:hAnsiTheme="majorBidi"/>
        </w:rPr>
        <w:t xml:space="preserve"> permeable phase</w:t>
      </w:r>
      <w:r w:rsidR="002A3682" w:rsidRPr="005244BD">
        <w:rPr>
          <w:rFonts w:asciiTheme="majorBidi" w:hAnsiTheme="majorBidi"/>
        </w:rPr>
        <w:t>. In this case</w:t>
      </w:r>
      <w:r w:rsidR="00B438D0">
        <w:rPr>
          <w:rFonts w:asciiTheme="majorBidi" w:hAnsiTheme="majorBidi"/>
        </w:rPr>
        <w:t>,</w:t>
      </w:r>
      <w:r w:rsidR="002A3682" w:rsidRPr="005244BD">
        <w:rPr>
          <w:rFonts w:asciiTheme="majorBidi" w:hAnsiTheme="majorBidi"/>
        </w:rPr>
        <w:t xml:space="preserve"> the</w:t>
      </w:r>
      <w:r w:rsidR="00427048" w:rsidRPr="005244BD">
        <w:rPr>
          <w:rFonts w:asciiTheme="majorBidi" w:hAnsiTheme="majorBidi"/>
        </w:rPr>
        <w:t xml:space="preserve"> </w:t>
      </w:r>
      <w:r w:rsidR="00175C0D" w:rsidRPr="005244BD">
        <w:rPr>
          <w:rFonts w:asciiTheme="majorBidi" w:hAnsiTheme="majorBidi"/>
        </w:rPr>
        <w:t>biofilm growth does not affect the effective permeability</w:t>
      </w:r>
      <w:r w:rsidR="00722822" w:rsidRPr="005244BD">
        <w:rPr>
          <w:rFonts w:asciiTheme="majorBidi" w:hAnsiTheme="majorBidi"/>
        </w:rPr>
        <w:t xml:space="preserve"> and only NAPL dissolution results in</w:t>
      </w:r>
      <w:r w:rsidR="00427048" w:rsidRPr="005244BD">
        <w:rPr>
          <w:rFonts w:asciiTheme="majorBidi" w:hAnsiTheme="majorBidi"/>
        </w:rPr>
        <w:t xml:space="preserve"> the</w:t>
      </w:r>
      <w:r w:rsidR="00722822" w:rsidRPr="005244BD">
        <w:rPr>
          <w:rFonts w:asciiTheme="majorBidi" w:hAnsiTheme="majorBidi"/>
        </w:rPr>
        <w:t xml:space="preserve"> increase of effective permeability</w:t>
      </w:r>
      <w:r w:rsidR="005E5ED2" w:rsidRPr="005244BD">
        <w:rPr>
          <w:rFonts w:asciiTheme="majorBidi" w:hAnsiTheme="majorBidi"/>
        </w:rPr>
        <w:t xml:space="preserve">. </w:t>
      </w:r>
      <w:r w:rsidR="002A3682" w:rsidRPr="005244BD">
        <w:rPr>
          <w:rFonts w:asciiTheme="majorBidi" w:hAnsiTheme="majorBidi"/>
        </w:rPr>
        <w:t>These figures clearly show that a</w:t>
      </w:r>
      <w:r w:rsidR="00BB26F9" w:rsidRPr="005244BD">
        <w:rPr>
          <w:rFonts w:asciiTheme="majorBidi" w:hAnsiTheme="majorBidi"/>
        </w:rPr>
        <w:t>ny reduction in effective permeability of the pore network is related to the increase of biomass and any increase of effective permeability is asso</w:t>
      </w:r>
      <w:r w:rsidR="00E33F5E" w:rsidRPr="005244BD">
        <w:rPr>
          <w:rFonts w:asciiTheme="majorBidi" w:hAnsiTheme="majorBidi"/>
        </w:rPr>
        <w:t>ciated with either NAPL removal/</w:t>
      </w:r>
      <w:r w:rsidR="00BB26F9" w:rsidRPr="005244BD">
        <w:rPr>
          <w:rFonts w:asciiTheme="majorBidi" w:hAnsiTheme="majorBidi"/>
        </w:rPr>
        <w:t>remediation or bio</w:t>
      </w:r>
      <w:r w:rsidR="008E7FE0" w:rsidRPr="005244BD">
        <w:rPr>
          <w:rFonts w:asciiTheme="majorBidi" w:hAnsiTheme="majorBidi"/>
        </w:rPr>
        <w:t>-</w:t>
      </w:r>
      <w:r w:rsidR="00BB26F9" w:rsidRPr="005244BD">
        <w:rPr>
          <w:rFonts w:asciiTheme="majorBidi" w:hAnsiTheme="majorBidi"/>
        </w:rPr>
        <w:t>extinction</w:t>
      </w:r>
      <w:r w:rsidR="00334EFA" w:rsidRPr="005244BD">
        <w:rPr>
          <w:rFonts w:asciiTheme="majorBidi" w:hAnsiTheme="majorBidi"/>
        </w:rPr>
        <w:t xml:space="preserve"> (as</w:t>
      </w:r>
      <w:r w:rsidR="00BB26F9" w:rsidRPr="005244BD">
        <w:rPr>
          <w:rFonts w:asciiTheme="majorBidi" w:hAnsiTheme="majorBidi"/>
        </w:rPr>
        <w:t xml:space="preserve"> shown in </w:t>
      </w:r>
      <w:r w:rsidR="00BB26F9" w:rsidRPr="005244BD">
        <w:rPr>
          <w:rFonts w:asciiTheme="majorBidi" w:hAnsiTheme="majorBidi"/>
          <w:b/>
          <w:bCs/>
        </w:rPr>
        <w:fldChar w:fldCharType="begin"/>
      </w:r>
      <w:r w:rsidR="00BB26F9" w:rsidRPr="005244BD">
        <w:rPr>
          <w:rFonts w:asciiTheme="majorBidi" w:hAnsiTheme="majorBidi"/>
          <w:b/>
          <w:bCs/>
        </w:rPr>
        <w:instrText xml:space="preserve"> REF _Ref15026069 \h  \* MERGEFORMAT </w:instrText>
      </w:r>
      <w:r w:rsidR="00BB26F9" w:rsidRPr="005244BD">
        <w:rPr>
          <w:rFonts w:asciiTheme="majorBidi" w:hAnsiTheme="majorBidi"/>
          <w:b/>
          <w:bCs/>
        </w:rPr>
      </w:r>
      <w:r w:rsidR="00BB26F9" w:rsidRPr="005244BD">
        <w:rPr>
          <w:rFonts w:asciiTheme="majorBidi" w:hAnsiTheme="majorBidi"/>
          <w:b/>
          <w:bCs/>
        </w:rPr>
        <w:fldChar w:fldCharType="separate"/>
      </w:r>
      <w:r w:rsidR="00EE0F85" w:rsidRPr="00EE0F85">
        <w:rPr>
          <w:rFonts w:asciiTheme="majorBidi" w:hAnsiTheme="majorBidi"/>
          <w:b/>
          <w:bCs/>
        </w:rPr>
        <w:t>Figure 5</w:t>
      </w:r>
      <w:r w:rsidR="00BB26F9" w:rsidRPr="005244BD">
        <w:rPr>
          <w:rFonts w:asciiTheme="majorBidi" w:hAnsiTheme="majorBidi"/>
          <w:b/>
          <w:bCs/>
        </w:rPr>
        <w:fldChar w:fldCharType="end"/>
      </w:r>
      <w:r w:rsidR="00722822" w:rsidRPr="005244BD">
        <w:rPr>
          <w:rFonts w:asciiTheme="majorBidi" w:hAnsiTheme="majorBidi"/>
        </w:rPr>
        <w:t xml:space="preserve">, biomass started to decrease at the end of </w:t>
      </w:r>
      <w:r w:rsidR="00981752" w:rsidRPr="005244BD">
        <w:rPr>
          <w:rFonts w:asciiTheme="majorBidi" w:hAnsiTheme="majorBidi"/>
        </w:rPr>
        <w:t xml:space="preserve">the </w:t>
      </w:r>
      <w:r w:rsidR="00722822" w:rsidRPr="005244BD">
        <w:rPr>
          <w:rFonts w:asciiTheme="majorBidi" w:hAnsiTheme="majorBidi"/>
        </w:rPr>
        <w:t>process</w:t>
      </w:r>
      <w:r w:rsidR="00334EFA" w:rsidRPr="005244BD">
        <w:rPr>
          <w:rFonts w:asciiTheme="majorBidi" w:hAnsiTheme="majorBidi"/>
        </w:rPr>
        <w:t>)</w:t>
      </w:r>
      <w:r w:rsidR="001718E2" w:rsidRPr="005244BD">
        <w:rPr>
          <w:rFonts w:asciiTheme="majorBidi" w:hAnsiTheme="majorBidi"/>
        </w:rPr>
        <w:t>.</w:t>
      </w:r>
      <w:r w:rsidR="0062436A" w:rsidRPr="005244BD">
        <w:rPr>
          <w:rFonts w:asciiTheme="majorBidi" w:hAnsiTheme="majorBidi"/>
        </w:rPr>
        <w:t xml:space="preserve"> </w:t>
      </w:r>
    </w:p>
    <w:p w14:paraId="11382C0A" w14:textId="7FB0C36F" w:rsidR="00A71292" w:rsidRPr="005244BD" w:rsidRDefault="002332DA" w:rsidP="008F4943">
      <w:pPr>
        <w:spacing w:line="480" w:lineRule="auto"/>
        <w:jc w:val="both"/>
        <w:rPr>
          <w:rFonts w:asciiTheme="majorBidi" w:hAnsiTheme="majorBidi"/>
        </w:rPr>
      </w:pPr>
      <w:r w:rsidRPr="005244BD">
        <w:rPr>
          <w:rFonts w:asciiTheme="majorBidi" w:hAnsiTheme="majorBidi"/>
        </w:rPr>
        <w:lastRenderedPageBreak/>
        <w:t>Interestingly, t</w:t>
      </w:r>
      <w:r w:rsidR="0062436A" w:rsidRPr="005244BD">
        <w:rPr>
          <w:rFonts w:asciiTheme="majorBidi" w:hAnsiTheme="majorBidi"/>
        </w:rPr>
        <w:t>he</w:t>
      </w:r>
      <w:r w:rsidR="0085289D" w:rsidRPr="005244BD">
        <w:rPr>
          <w:rFonts w:asciiTheme="majorBidi" w:hAnsiTheme="majorBidi"/>
        </w:rPr>
        <w:t xml:space="preserve"> effective</w:t>
      </w:r>
      <w:r w:rsidR="0062436A" w:rsidRPr="005244BD">
        <w:rPr>
          <w:rFonts w:asciiTheme="majorBidi" w:hAnsiTheme="majorBidi"/>
        </w:rPr>
        <w:t xml:space="preserve"> permeability</w:t>
      </w:r>
      <w:r w:rsidR="00722822" w:rsidRPr="005244BD">
        <w:rPr>
          <w:rFonts w:asciiTheme="majorBidi" w:hAnsiTheme="majorBidi"/>
        </w:rPr>
        <w:t xml:space="preserve"> started to</w:t>
      </w:r>
      <w:r w:rsidR="0062436A" w:rsidRPr="005244BD">
        <w:rPr>
          <w:rFonts w:asciiTheme="majorBidi" w:hAnsiTheme="majorBidi"/>
        </w:rPr>
        <w:t xml:space="preserve"> increas</w:t>
      </w:r>
      <w:r w:rsidR="00BD63F2" w:rsidRPr="005244BD">
        <w:rPr>
          <w:rFonts w:asciiTheme="majorBidi" w:hAnsiTheme="majorBidi"/>
        </w:rPr>
        <w:t>e</w:t>
      </w:r>
      <w:r w:rsidR="0062436A" w:rsidRPr="005244BD">
        <w:rPr>
          <w:rFonts w:asciiTheme="majorBidi" w:hAnsiTheme="majorBidi"/>
        </w:rPr>
        <w:t xml:space="preserve"> when the porosity </w:t>
      </w:r>
      <w:r w:rsidR="00722822" w:rsidRPr="005244BD">
        <w:rPr>
          <w:rFonts w:asciiTheme="majorBidi" w:hAnsiTheme="majorBidi"/>
        </w:rPr>
        <w:t>was</w:t>
      </w:r>
      <w:r w:rsidR="0062436A" w:rsidRPr="005244BD">
        <w:rPr>
          <w:rFonts w:asciiTheme="majorBidi" w:hAnsiTheme="majorBidi"/>
        </w:rPr>
        <w:t xml:space="preserve"> still decreasing (</w:t>
      </w:r>
      <w:r w:rsidR="00BB2F73" w:rsidRPr="005244BD">
        <w:rPr>
          <w:rFonts w:asciiTheme="majorBidi" w:hAnsiTheme="majorBidi"/>
        </w:rPr>
        <w:t>e.g.</w:t>
      </w:r>
      <w:r w:rsidR="002A3682" w:rsidRPr="005244BD">
        <w:rPr>
          <w:rFonts w:asciiTheme="majorBidi" w:hAnsiTheme="majorBidi"/>
        </w:rPr>
        <w:t>,</w:t>
      </w:r>
      <w:r w:rsidR="0062436A" w:rsidRPr="005244BD">
        <w:rPr>
          <w:rFonts w:asciiTheme="majorBidi" w:hAnsiTheme="majorBidi"/>
        </w:rPr>
        <w:t xml:space="preserve"> </w:t>
      </w:r>
      <w:r w:rsidRPr="005244BD">
        <w:rPr>
          <w:rFonts w:asciiTheme="majorBidi" w:hAnsiTheme="majorBidi"/>
        </w:rPr>
        <w:t>80 PVI</w:t>
      </w:r>
      <w:r w:rsidR="0062436A" w:rsidRPr="005244BD">
        <w:rPr>
          <w:rFonts w:asciiTheme="majorBidi" w:hAnsiTheme="majorBidi"/>
        </w:rPr>
        <w:t xml:space="preserve"> for the UNC1 and UNC2)</w:t>
      </w:r>
      <w:r w:rsidR="0085289D" w:rsidRPr="005244BD">
        <w:rPr>
          <w:rFonts w:asciiTheme="majorBidi" w:hAnsiTheme="majorBidi"/>
        </w:rPr>
        <w:t>. The reason for this behaviour is that while the porosity decrease</w:t>
      </w:r>
      <w:r w:rsidR="008F4943" w:rsidRPr="005244BD">
        <w:rPr>
          <w:rFonts w:asciiTheme="majorBidi" w:hAnsiTheme="majorBidi"/>
        </w:rPr>
        <w:t>d</w:t>
      </w:r>
      <w:r w:rsidR="0085289D" w:rsidRPr="005244BD">
        <w:rPr>
          <w:rFonts w:asciiTheme="majorBidi" w:hAnsiTheme="majorBidi"/>
        </w:rPr>
        <w:t xml:space="preserve"> due to biofilm growth</w:t>
      </w:r>
      <w:r w:rsidR="00343E81" w:rsidRPr="005244BD">
        <w:rPr>
          <w:rFonts w:asciiTheme="majorBidi" w:hAnsiTheme="majorBidi"/>
        </w:rPr>
        <w:t xml:space="preserve"> (reducing the solid space)</w:t>
      </w:r>
      <w:r w:rsidR="0085289D" w:rsidRPr="005244BD">
        <w:rPr>
          <w:rFonts w:asciiTheme="majorBidi" w:hAnsiTheme="majorBidi"/>
        </w:rPr>
        <w:t xml:space="preserve">, NAPL </w:t>
      </w:r>
      <w:r w:rsidR="008F4943" w:rsidRPr="005244BD">
        <w:rPr>
          <w:rFonts w:asciiTheme="majorBidi" w:hAnsiTheme="majorBidi"/>
        </w:rPr>
        <w:t>was</w:t>
      </w:r>
      <w:r w:rsidR="0085289D" w:rsidRPr="005244BD">
        <w:rPr>
          <w:rFonts w:asciiTheme="majorBidi" w:hAnsiTheme="majorBidi"/>
        </w:rPr>
        <w:t xml:space="preserve"> dissolved and biodegraded resulting in increase of </w:t>
      </w:r>
      <w:r w:rsidR="007F701E" w:rsidRPr="005244BD">
        <w:rPr>
          <w:rFonts w:asciiTheme="majorBidi" w:hAnsiTheme="majorBidi"/>
        </w:rPr>
        <w:t xml:space="preserve">effective </w:t>
      </w:r>
      <w:r w:rsidRPr="005244BD">
        <w:rPr>
          <w:rFonts w:asciiTheme="majorBidi" w:hAnsiTheme="majorBidi"/>
        </w:rPr>
        <w:t>permeability</w:t>
      </w:r>
      <w:r w:rsidR="00343E81" w:rsidRPr="005244BD">
        <w:rPr>
          <w:rFonts w:asciiTheme="majorBidi" w:hAnsiTheme="majorBidi"/>
        </w:rPr>
        <w:t xml:space="preserve"> (without change in the solid space)</w:t>
      </w:r>
      <w:r w:rsidRPr="005244BD">
        <w:rPr>
          <w:rFonts w:asciiTheme="majorBidi" w:hAnsiTheme="majorBidi"/>
        </w:rPr>
        <w:t xml:space="preserve">. </w:t>
      </w:r>
      <w:r w:rsidR="00343E81" w:rsidRPr="005244BD">
        <w:rPr>
          <w:rFonts w:asciiTheme="majorBidi" w:hAnsiTheme="majorBidi"/>
        </w:rPr>
        <w:t xml:space="preserve">This interplay of </w:t>
      </w:r>
      <w:r w:rsidR="00AE596D" w:rsidRPr="005244BD">
        <w:rPr>
          <w:rFonts w:asciiTheme="majorBidi" w:hAnsiTheme="majorBidi"/>
        </w:rPr>
        <w:t xml:space="preserve">reduction in </w:t>
      </w:r>
      <w:r w:rsidR="00343E81" w:rsidRPr="005244BD">
        <w:rPr>
          <w:rFonts w:asciiTheme="majorBidi" w:hAnsiTheme="majorBidi"/>
        </w:rPr>
        <w:t xml:space="preserve">porosity and </w:t>
      </w:r>
      <w:r w:rsidR="00AE596D" w:rsidRPr="005244BD">
        <w:rPr>
          <w:rFonts w:asciiTheme="majorBidi" w:hAnsiTheme="majorBidi"/>
        </w:rPr>
        <w:t xml:space="preserve">increase of </w:t>
      </w:r>
      <w:r w:rsidR="00343E81" w:rsidRPr="005244BD">
        <w:rPr>
          <w:rFonts w:asciiTheme="majorBidi" w:hAnsiTheme="majorBidi"/>
        </w:rPr>
        <w:t>effective permeability is confirmed by t</w:t>
      </w:r>
      <w:r w:rsidR="00BD63F2" w:rsidRPr="005244BD">
        <w:rPr>
          <w:rFonts w:asciiTheme="majorBidi" w:hAnsiTheme="majorBidi"/>
        </w:rPr>
        <w:t xml:space="preserve">he inset of </w:t>
      </w:r>
      <w:r w:rsidR="00BD63F2" w:rsidRPr="005244BD">
        <w:rPr>
          <w:rFonts w:asciiTheme="majorBidi" w:hAnsiTheme="majorBidi"/>
        </w:rPr>
        <w:fldChar w:fldCharType="begin"/>
      </w:r>
      <w:r w:rsidR="00BD63F2" w:rsidRPr="005244BD">
        <w:rPr>
          <w:rFonts w:asciiTheme="majorBidi" w:hAnsiTheme="majorBidi"/>
        </w:rPr>
        <w:instrText xml:space="preserve"> REF _Ref15038732 \h  \* MERGEFORMAT </w:instrText>
      </w:r>
      <w:r w:rsidR="00BD63F2" w:rsidRPr="005244BD">
        <w:rPr>
          <w:rFonts w:asciiTheme="majorBidi" w:hAnsiTheme="majorBidi"/>
        </w:rPr>
      </w:r>
      <w:r w:rsidR="00BD63F2" w:rsidRPr="005244BD">
        <w:rPr>
          <w:rFonts w:asciiTheme="majorBidi" w:hAnsiTheme="majorBidi"/>
        </w:rPr>
        <w:fldChar w:fldCharType="separate"/>
      </w:r>
      <w:r w:rsidR="00EE0F85" w:rsidRPr="00EE0F85">
        <w:rPr>
          <w:rFonts w:asciiTheme="majorBidi" w:eastAsiaTheme="minorEastAsia" w:hAnsiTheme="majorBidi" w:cstheme="majorBidi"/>
          <w:b/>
          <w:bCs/>
          <w:iCs/>
        </w:rPr>
        <w:t xml:space="preserve">Figure </w:t>
      </w:r>
      <w:r w:rsidR="00EE0F85" w:rsidRPr="00EE0F85">
        <w:rPr>
          <w:rFonts w:asciiTheme="majorBidi" w:eastAsiaTheme="minorEastAsia" w:hAnsiTheme="majorBidi" w:cstheme="majorBidi"/>
          <w:b/>
          <w:bCs/>
          <w:iCs/>
          <w:noProof/>
        </w:rPr>
        <w:t>7</w:t>
      </w:r>
      <w:r w:rsidR="00BD63F2" w:rsidRPr="005244BD">
        <w:rPr>
          <w:rFonts w:asciiTheme="majorBidi" w:hAnsiTheme="majorBidi"/>
        </w:rPr>
        <w:fldChar w:fldCharType="end"/>
      </w:r>
      <w:r w:rsidR="00011C2E" w:rsidRPr="005244BD">
        <w:rPr>
          <w:rFonts w:asciiTheme="majorBidi" w:hAnsiTheme="majorBidi"/>
        </w:rPr>
        <w:t xml:space="preserve"> </w:t>
      </w:r>
      <w:r w:rsidR="00BD63F2" w:rsidRPr="005244BD">
        <w:rPr>
          <w:rFonts w:asciiTheme="majorBidi" w:hAnsiTheme="majorBidi"/>
        </w:rPr>
        <w:t>(a)</w:t>
      </w:r>
      <w:r w:rsidR="00343E81" w:rsidRPr="005244BD">
        <w:rPr>
          <w:rFonts w:asciiTheme="majorBidi" w:hAnsiTheme="majorBidi"/>
        </w:rPr>
        <w:t xml:space="preserve">. The figure </w:t>
      </w:r>
      <w:r w:rsidR="002B78C1" w:rsidRPr="005244BD">
        <w:rPr>
          <w:rFonts w:asciiTheme="majorBidi" w:hAnsiTheme="majorBidi"/>
        </w:rPr>
        <w:t>shows</w:t>
      </w:r>
      <w:r w:rsidR="00BD63F2" w:rsidRPr="005244BD">
        <w:rPr>
          <w:rFonts w:asciiTheme="majorBidi" w:hAnsiTheme="majorBidi"/>
        </w:rPr>
        <w:t xml:space="preserve"> the</w:t>
      </w:r>
      <w:r w:rsidR="002B78C1" w:rsidRPr="005244BD">
        <w:rPr>
          <w:rFonts w:asciiTheme="majorBidi" w:hAnsiTheme="majorBidi"/>
        </w:rPr>
        <w:t xml:space="preserve"> effective permeability (if biofilm assumed a</w:t>
      </w:r>
      <w:r w:rsidRPr="005244BD">
        <w:rPr>
          <w:rFonts w:asciiTheme="majorBidi" w:hAnsiTheme="majorBidi"/>
        </w:rPr>
        <w:t>s a</w:t>
      </w:r>
      <w:r w:rsidR="002B78C1" w:rsidRPr="005244BD">
        <w:rPr>
          <w:rFonts w:asciiTheme="majorBidi" w:hAnsiTheme="majorBidi"/>
        </w:rPr>
        <w:t xml:space="preserve"> high</w:t>
      </w:r>
      <w:r w:rsidRPr="005244BD">
        <w:rPr>
          <w:rFonts w:asciiTheme="majorBidi" w:hAnsiTheme="majorBidi"/>
        </w:rPr>
        <w:t>ly</w:t>
      </w:r>
      <w:r w:rsidR="002B78C1" w:rsidRPr="005244BD">
        <w:rPr>
          <w:rFonts w:asciiTheme="majorBidi" w:hAnsiTheme="majorBidi"/>
        </w:rPr>
        <w:t xml:space="preserve"> permeable phase) </w:t>
      </w:r>
      <w:r w:rsidR="00343E81" w:rsidRPr="005244BD">
        <w:rPr>
          <w:rFonts w:asciiTheme="majorBidi" w:hAnsiTheme="majorBidi"/>
        </w:rPr>
        <w:t xml:space="preserve">was non-decreasing and it </w:t>
      </w:r>
      <w:r w:rsidR="00BD63F2" w:rsidRPr="005244BD">
        <w:rPr>
          <w:rFonts w:asciiTheme="majorBidi" w:hAnsiTheme="majorBidi"/>
        </w:rPr>
        <w:t>significantly increase</w:t>
      </w:r>
      <w:r w:rsidR="008F4943" w:rsidRPr="005244BD">
        <w:rPr>
          <w:rFonts w:asciiTheme="majorBidi" w:hAnsiTheme="majorBidi"/>
        </w:rPr>
        <w:t>d</w:t>
      </w:r>
      <w:r w:rsidR="00343E81" w:rsidRPr="005244BD">
        <w:rPr>
          <w:rFonts w:asciiTheme="majorBidi" w:hAnsiTheme="majorBidi"/>
        </w:rPr>
        <w:t xml:space="preserve"> </w:t>
      </w:r>
      <w:r w:rsidR="00BD63F2" w:rsidRPr="005244BD">
        <w:rPr>
          <w:rFonts w:asciiTheme="majorBidi" w:hAnsiTheme="majorBidi"/>
        </w:rPr>
        <w:t xml:space="preserve">after ~70 </w:t>
      </w:r>
      <w:r w:rsidR="002B78C1" w:rsidRPr="005244BD">
        <w:rPr>
          <w:rFonts w:asciiTheme="majorBidi" w:hAnsiTheme="majorBidi"/>
        </w:rPr>
        <w:t>PV</w:t>
      </w:r>
      <w:r w:rsidRPr="005244BD">
        <w:rPr>
          <w:rFonts w:asciiTheme="majorBidi" w:hAnsiTheme="majorBidi"/>
        </w:rPr>
        <w:t>I</w:t>
      </w:r>
      <w:r w:rsidR="002B78C1" w:rsidRPr="005244BD">
        <w:rPr>
          <w:rFonts w:asciiTheme="majorBidi" w:hAnsiTheme="majorBidi"/>
        </w:rPr>
        <w:t>, indicating increase of NAPL biodegradation.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0"/>
      </w:tblGrid>
      <w:tr w:rsidR="000437E0" w:rsidRPr="005244BD" w14:paraId="63739941" w14:textId="77777777" w:rsidTr="00700CF9">
        <w:tc>
          <w:tcPr>
            <w:tcW w:w="4621" w:type="dxa"/>
          </w:tcPr>
          <w:p w14:paraId="4C1A6C36" w14:textId="1A51C334" w:rsidR="00427048" w:rsidRPr="005244BD" w:rsidRDefault="00240405" w:rsidP="00700CF9">
            <w:pPr>
              <w:spacing w:after="0" w:line="240" w:lineRule="auto"/>
              <w:jc w:val="both"/>
              <w:rPr>
                <w:rFonts w:asciiTheme="majorBidi" w:eastAsiaTheme="minorEastAsia" w:hAnsiTheme="majorBidi" w:cstheme="majorBidi"/>
                <w:sz w:val="20"/>
                <w:szCs w:val="20"/>
              </w:rPr>
            </w:pPr>
            <w:r w:rsidRPr="005244BD">
              <w:rPr>
                <w:rFonts w:asciiTheme="majorBidi" w:eastAsiaTheme="minorEastAsia" w:hAnsiTheme="majorBidi" w:cstheme="majorBidi"/>
                <w:noProof/>
                <w:sz w:val="20"/>
                <w:szCs w:val="20"/>
                <w:lang w:eastAsia="en-GB"/>
              </w:rPr>
              <w:drawing>
                <wp:inline distT="0" distB="0" distL="0" distR="0" wp14:anchorId="603A4B6A" wp14:editId="0CCBB345">
                  <wp:extent cx="2865600" cy="166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5600" cy="1663200"/>
                          </a:xfrm>
                          <a:prstGeom prst="rect">
                            <a:avLst/>
                          </a:prstGeom>
                          <a:noFill/>
                        </pic:spPr>
                      </pic:pic>
                    </a:graphicData>
                  </a:graphic>
                </wp:inline>
              </w:drawing>
            </w:r>
          </w:p>
        </w:tc>
        <w:tc>
          <w:tcPr>
            <w:tcW w:w="4621" w:type="dxa"/>
          </w:tcPr>
          <w:p w14:paraId="2CB629F0" w14:textId="77777777" w:rsidR="00427048" w:rsidRPr="005244BD" w:rsidRDefault="00427048" w:rsidP="00700CF9">
            <w:pPr>
              <w:spacing w:after="0" w:line="240" w:lineRule="auto"/>
              <w:jc w:val="both"/>
              <w:rPr>
                <w:rFonts w:asciiTheme="majorBidi" w:eastAsiaTheme="minorEastAsia" w:hAnsiTheme="majorBidi" w:cstheme="majorBidi"/>
                <w:sz w:val="20"/>
                <w:szCs w:val="20"/>
              </w:rPr>
            </w:pPr>
            <w:r w:rsidRPr="005244BD">
              <w:rPr>
                <w:rFonts w:asciiTheme="majorBidi" w:hAnsiTheme="majorBidi"/>
                <w:b/>
                <w:bCs/>
                <w:noProof/>
                <w:lang w:eastAsia="en-GB"/>
              </w:rPr>
              <w:drawing>
                <wp:inline distT="0" distB="0" distL="0" distR="0" wp14:anchorId="4296E282" wp14:editId="317C7476">
                  <wp:extent cx="2863476" cy="166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3476" cy="1663200"/>
                          </a:xfrm>
                          <a:prstGeom prst="rect">
                            <a:avLst/>
                          </a:prstGeom>
                          <a:noFill/>
                        </pic:spPr>
                      </pic:pic>
                    </a:graphicData>
                  </a:graphic>
                </wp:inline>
              </w:drawing>
            </w:r>
          </w:p>
        </w:tc>
      </w:tr>
      <w:tr w:rsidR="000437E0" w:rsidRPr="005244BD" w14:paraId="16F1F3E1" w14:textId="77777777" w:rsidTr="00700CF9">
        <w:tc>
          <w:tcPr>
            <w:tcW w:w="4621" w:type="dxa"/>
          </w:tcPr>
          <w:p w14:paraId="64CB2DE0" w14:textId="77777777" w:rsidR="00427048" w:rsidRPr="005244BD" w:rsidRDefault="00427048" w:rsidP="00700CF9">
            <w:pPr>
              <w:spacing w:after="0" w:line="240" w:lineRule="auto"/>
              <w:jc w:val="center"/>
              <w:rPr>
                <w:rFonts w:asciiTheme="majorBidi" w:eastAsiaTheme="minorEastAsia" w:hAnsiTheme="majorBidi" w:cstheme="majorBidi"/>
                <w:b/>
                <w:sz w:val="20"/>
                <w:szCs w:val="20"/>
              </w:rPr>
            </w:pPr>
            <w:r w:rsidRPr="005244BD">
              <w:rPr>
                <w:rFonts w:asciiTheme="majorBidi" w:eastAsiaTheme="minorEastAsia" w:hAnsiTheme="majorBidi" w:cstheme="majorBidi"/>
                <w:b/>
                <w:sz w:val="20"/>
                <w:szCs w:val="20"/>
              </w:rPr>
              <w:t>(a)</w:t>
            </w:r>
          </w:p>
        </w:tc>
        <w:tc>
          <w:tcPr>
            <w:tcW w:w="4621" w:type="dxa"/>
          </w:tcPr>
          <w:p w14:paraId="61ABCD5B" w14:textId="77777777" w:rsidR="00427048" w:rsidRPr="005244BD" w:rsidRDefault="00427048" w:rsidP="00700CF9">
            <w:pPr>
              <w:spacing w:after="0" w:line="240" w:lineRule="auto"/>
              <w:jc w:val="center"/>
              <w:rPr>
                <w:rFonts w:asciiTheme="majorBidi" w:eastAsiaTheme="minorEastAsia" w:hAnsiTheme="majorBidi" w:cstheme="majorBidi"/>
                <w:b/>
                <w:sz w:val="20"/>
                <w:szCs w:val="20"/>
              </w:rPr>
            </w:pPr>
            <w:r w:rsidRPr="005244BD">
              <w:rPr>
                <w:rFonts w:asciiTheme="majorBidi" w:eastAsiaTheme="minorEastAsia" w:hAnsiTheme="majorBidi" w:cstheme="majorBidi"/>
                <w:b/>
                <w:sz w:val="20"/>
                <w:szCs w:val="20"/>
              </w:rPr>
              <w:t>(b)</w:t>
            </w:r>
          </w:p>
        </w:tc>
      </w:tr>
    </w:tbl>
    <w:p w14:paraId="26637317" w14:textId="3B466CF0" w:rsidR="00CC3052" w:rsidRPr="005244BD" w:rsidRDefault="00427048" w:rsidP="00246775">
      <w:pPr>
        <w:spacing w:line="480" w:lineRule="auto"/>
        <w:jc w:val="both"/>
        <w:rPr>
          <w:rFonts w:asciiTheme="majorBidi" w:eastAsiaTheme="minorEastAsia" w:hAnsiTheme="majorBidi" w:cstheme="majorBidi"/>
          <w:iCs/>
          <w:sz w:val="20"/>
          <w:szCs w:val="20"/>
        </w:rPr>
      </w:pPr>
      <w:bookmarkStart w:id="16" w:name="_Ref15038732"/>
      <w:r w:rsidRPr="005244BD">
        <w:rPr>
          <w:rFonts w:ascii="Times New Roman" w:eastAsiaTheme="minorEastAsia" w:hAnsi="Times New Roman" w:cs="Times New Roman"/>
          <w:b/>
          <w:bCs/>
          <w:iCs/>
          <w:sz w:val="20"/>
          <w:szCs w:val="20"/>
        </w:rPr>
        <w:t xml:space="preserve">Figure </w:t>
      </w:r>
      <w:r w:rsidRPr="005244BD">
        <w:rPr>
          <w:rFonts w:ascii="Times New Roman" w:eastAsiaTheme="minorEastAsia" w:hAnsi="Times New Roman" w:cs="Times New Roman"/>
          <w:b/>
          <w:bCs/>
          <w:iCs/>
          <w:sz w:val="20"/>
          <w:szCs w:val="20"/>
        </w:rPr>
        <w:fldChar w:fldCharType="begin"/>
      </w:r>
      <w:r w:rsidRPr="005244BD">
        <w:rPr>
          <w:rFonts w:ascii="Times New Roman" w:eastAsiaTheme="minorEastAsia" w:hAnsi="Times New Roman" w:cs="Times New Roman"/>
          <w:b/>
          <w:bCs/>
          <w:iCs/>
          <w:sz w:val="20"/>
          <w:szCs w:val="20"/>
        </w:rPr>
        <w:instrText xml:space="preserve"> SEQ Figure \* ARABIC </w:instrText>
      </w:r>
      <w:r w:rsidRPr="005244BD">
        <w:rPr>
          <w:rFonts w:ascii="Times New Roman" w:eastAsiaTheme="minorEastAsia" w:hAnsi="Times New Roman" w:cs="Times New Roman"/>
          <w:b/>
          <w:bCs/>
          <w:iCs/>
          <w:sz w:val="20"/>
          <w:szCs w:val="20"/>
        </w:rPr>
        <w:fldChar w:fldCharType="separate"/>
      </w:r>
      <w:r w:rsidR="00EE0F85">
        <w:rPr>
          <w:rFonts w:ascii="Times New Roman" w:eastAsiaTheme="minorEastAsia" w:hAnsi="Times New Roman" w:cs="Times New Roman"/>
          <w:b/>
          <w:bCs/>
          <w:iCs/>
          <w:noProof/>
          <w:sz w:val="20"/>
          <w:szCs w:val="20"/>
        </w:rPr>
        <w:t>7</w:t>
      </w:r>
      <w:r w:rsidRPr="005244BD">
        <w:rPr>
          <w:rFonts w:ascii="Times New Roman" w:eastAsiaTheme="minorEastAsia" w:hAnsi="Times New Roman" w:cs="Times New Roman"/>
          <w:b/>
          <w:bCs/>
          <w:iCs/>
          <w:sz w:val="20"/>
          <w:szCs w:val="20"/>
        </w:rPr>
        <w:fldChar w:fldCharType="end"/>
      </w:r>
      <w:bookmarkEnd w:id="16"/>
      <w:r w:rsidRPr="005244BD">
        <w:rPr>
          <w:rFonts w:ascii="Times New Roman" w:eastAsiaTheme="minorEastAsia" w:hAnsi="Times New Roman" w:cs="Times New Roman"/>
          <w:b/>
          <w:bCs/>
          <w:iCs/>
          <w:sz w:val="20"/>
          <w:szCs w:val="20"/>
        </w:rPr>
        <w:t>.</w:t>
      </w:r>
      <w:r w:rsidRPr="005244BD">
        <w:rPr>
          <w:rFonts w:ascii="Times New Roman" w:eastAsiaTheme="minorEastAsia" w:hAnsi="Times New Roman" w:cs="Times New Roman"/>
          <w:iCs/>
          <w:sz w:val="20"/>
          <w:szCs w:val="20"/>
        </w:rPr>
        <w:t xml:space="preserve"> (a) Permeability with considering of biofilm (assumed as an impermeable/solid phase) relative to </w:t>
      </w:r>
      <w:r w:rsidR="008F4943" w:rsidRPr="005244BD">
        <w:rPr>
          <w:rFonts w:ascii="Times New Roman" w:eastAsiaTheme="minorEastAsia" w:hAnsi="Times New Roman" w:cs="Times New Roman"/>
          <w:iCs/>
          <w:sz w:val="20"/>
          <w:szCs w:val="20"/>
        </w:rPr>
        <w:t xml:space="preserve">the </w:t>
      </w:r>
      <w:r w:rsidRPr="005244BD">
        <w:rPr>
          <w:rFonts w:ascii="Times New Roman" w:eastAsiaTheme="minorEastAsia" w:hAnsi="Times New Roman" w:cs="Times New Roman"/>
          <w:iCs/>
          <w:sz w:val="20"/>
          <w:szCs w:val="20"/>
        </w:rPr>
        <w:t>initial absolute permeability, i</w:t>
      </w:r>
      <w:r w:rsidRPr="005244BD">
        <w:rPr>
          <w:rFonts w:asciiTheme="majorBidi" w:eastAsiaTheme="minorEastAsia" w:hAnsiTheme="majorBidi" w:cstheme="majorBidi"/>
          <w:iCs/>
          <w:sz w:val="20"/>
          <w:szCs w:val="20"/>
        </w:rPr>
        <w:t>nset: permeability with</w:t>
      </w:r>
      <w:r w:rsidR="008F4943" w:rsidRPr="005244BD">
        <w:rPr>
          <w:rFonts w:asciiTheme="majorBidi" w:eastAsiaTheme="minorEastAsia" w:hAnsiTheme="majorBidi" w:cstheme="majorBidi"/>
          <w:iCs/>
          <w:sz w:val="20"/>
          <w:szCs w:val="20"/>
        </w:rPr>
        <w:t xml:space="preserve"> </w:t>
      </w:r>
      <w:r w:rsidRPr="005244BD">
        <w:rPr>
          <w:rFonts w:asciiTheme="majorBidi" w:eastAsiaTheme="minorEastAsia" w:hAnsiTheme="majorBidi" w:cstheme="majorBidi"/>
          <w:iCs/>
          <w:sz w:val="20"/>
          <w:szCs w:val="20"/>
        </w:rPr>
        <w:t xml:space="preserve">considering </w:t>
      </w:r>
      <w:r w:rsidR="008F4943" w:rsidRPr="005244BD">
        <w:rPr>
          <w:rFonts w:asciiTheme="majorBidi" w:eastAsiaTheme="minorEastAsia" w:hAnsiTheme="majorBidi" w:cstheme="majorBidi"/>
          <w:iCs/>
          <w:sz w:val="20"/>
          <w:szCs w:val="20"/>
        </w:rPr>
        <w:t>the</w:t>
      </w:r>
      <w:r w:rsidRPr="005244BD">
        <w:rPr>
          <w:rFonts w:asciiTheme="majorBidi" w:eastAsiaTheme="minorEastAsia" w:hAnsiTheme="majorBidi" w:cstheme="majorBidi"/>
          <w:iCs/>
          <w:sz w:val="20"/>
          <w:szCs w:val="20"/>
        </w:rPr>
        <w:t xml:space="preserve"> biofilm </w:t>
      </w:r>
      <w:r w:rsidR="008F4943" w:rsidRPr="005244BD">
        <w:rPr>
          <w:rFonts w:asciiTheme="majorBidi" w:eastAsiaTheme="minorEastAsia" w:hAnsiTheme="majorBidi" w:cstheme="majorBidi"/>
          <w:iCs/>
          <w:sz w:val="20"/>
          <w:szCs w:val="20"/>
        </w:rPr>
        <w:t>as</w:t>
      </w:r>
      <w:r w:rsidRPr="005244BD">
        <w:rPr>
          <w:rFonts w:asciiTheme="majorBidi" w:eastAsiaTheme="minorEastAsia" w:hAnsiTheme="majorBidi" w:cstheme="majorBidi"/>
          <w:iCs/>
          <w:sz w:val="20"/>
          <w:szCs w:val="20"/>
        </w:rPr>
        <w:t xml:space="preserve"> a high</w:t>
      </w:r>
      <w:r w:rsidR="008F4943" w:rsidRPr="005244BD">
        <w:rPr>
          <w:rFonts w:asciiTheme="majorBidi" w:eastAsiaTheme="minorEastAsia" w:hAnsiTheme="majorBidi" w:cstheme="majorBidi"/>
          <w:iCs/>
          <w:sz w:val="20"/>
          <w:szCs w:val="20"/>
        </w:rPr>
        <w:t>ly</w:t>
      </w:r>
      <w:r w:rsidRPr="005244BD">
        <w:rPr>
          <w:rFonts w:asciiTheme="majorBidi" w:eastAsiaTheme="minorEastAsia" w:hAnsiTheme="majorBidi" w:cstheme="majorBidi"/>
          <w:iCs/>
          <w:sz w:val="20"/>
          <w:szCs w:val="20"/>
        </w:rPr>
        <w:t xml:space="preserve"> permeable phase relative to </w:t>
      </w:r>
      <w:r w:rsidRPr="005244BD">
        <w:rPr>
          <w:rFonts w:ascii="Times New Roman" w:eastAsiaTheme="minorEastAsia" w:hAnsi="Times New Roman" w:cs="Times New Roman"/>
          <w:iCs/>
          <w:sz w:val="20"/>
          <w:szCs w:val="20"/>
        </w:rPr>
        <w:t>initial absolute permeability, and (b) porosity</w:t>
      </w:r>
      <w:r w:rsidR="00CC3052" w:rsidRPr="005244BD">
        <w:rPr>
          <w:rFonts w:ascii="Times New Roman" w:eastAsiaTheme="minorEastAsia" w:hAnsi="Times New Roman" w:cs="Times New Roman"/>
          <w:iCs/>
          <w:sz w:val="20"/>
          <w:szCs w:val="20"/>
        </w:rPr>
        <w:t xml:space="preserve"> relative to the initial porosity</w:t>
      </w:r>
      <w:r w:rsidRPr="005244BD">
        <w:rPr>
          <w:rFonts w:ascii="Times New Roman" w:eastAsiaTheme="minorEastAsia" w:hAnsi="Times New Roman" w:cs="Times New Roman"/>
          <w:iCs/>
          <w:sz w:val="20"/>
          <w:szCs w:val="20"/>
        </w:rPr>
        <w:t xml:space="preserve"> as a function of </w:t>
      </w:r>
      <w:r w:rsidR="00700CF9" w:rsidRPr="005244BD">
        <w:rPr>
          <w:rFonts w:ascii="Times New Roman" w:eastAsiaTheme="minorEastAsia" w:hAnsi="Times New Roman" w:cs="Times New Roman"/>
          <w:iCs/>
          <w:sz w:val="20"/>
          <w:szCs w:val="20"/>
        </w:rPr>
        <w:t>PVI</w:t>
      </w:r>
      <w:r w:rsidRPr="005244BD">
        <w:rPr>
          <w:rFonts w:ascii="Times New Roman" w:eastAsiaTheme="minorEastAsia" w:hAnsi="Times New Roman" w:cs="Times New Roman"/>
          <w:iCs/>
          <w:sz w:val="20"/>
          <w:szCs w:val="20"/>
        </w:rPr>
        <w:t xml:space="preserve"> for different pore network structures.</w:t>
      </w:r>
      <w:r w:rsidR="00CC3052" w:rsidRPr="005244BD">
        <w:rPr>
          <w:rFonts w:ascii="Times New Roman" w:eastAsiaTheme="minorEastAsia" w:hAnsi="Times New Roman" w:cs="Times New Roman"/>
          <w:iCs/>
          <w:sz w:val="20"/>
          <w:szCs w:val="20"/>
        </w:rPr>
        <w:t xml:space="preserve"> </w:t>
      </w:r>
      <w:r w:rsidR="00CC3052" w:rsidRPr="005244BD">
        <w:rPr>
          <w:rFonts w:asciiTheme="majorBidi" w:eastAsiaTheme="minorEastAsia" w:hAnsiTheme="majorBidi" w:cstheme="majorBidi"/>
          <w:iCs/>
          <w:sz w:val="20"/>
          <w:szCs w:val="20"/>
        </w:rPr>
        <w:t xml:space="preserve">The initial permeability and porosity </w:t>
      </w:r>
      <w:r w:rsidR="001D5A48" w:rsidRPr="005244BD">
        <w:rPr>
          <w:rFonts w:asciiTheme="majorBidi" w:eastAsiaTheme="minorEastAsia" w:hAnsiTheme="majorBidi" w:cstheme="majorBidi"/>
          <w:iCs/>
          <w:sz w:val="20"/>
          <w:szCs w:val="20"/>
        </w:rPr>
        <w:t xml:space="preserve">refer to the permeability and porosity </w:t>
      </w:r>
      <w:r w:rsidR="00246775">
        <w:rPr>
          <w:rFonts w:asciiTheme="majorBidi" w:eastAsiaTheme="minorEastAsia" w:hAnsiTheme="majorBidi" w:cstheme="majorBidi"/>
          <w:iCs/>
          <w:sz w:val="20"/>
          <w:szCs w:val="20"/>
        </w:rPr>
        <w:t xml:space="preserve">at the time </w:t>
      </w:r>
      <w:r w:rsidR="00CC3052" w:rsidRPr="005244BD">
        <w:rPr>
          <w:rFonts w:asciiTheme="majorBidi" w:eastAsiaTheme="minorEastAsia" w:hAnsiTheme="majorBidi" w:cstheme="majorBidi"/>
          <w:iCs/>
          <w:sz w:val="20"/>
          <w:szCs w:val="20"/>
        </w:rPr>
        <w:t xml:space="preserve">PVI=0 when the flow is started to inject. </w:t>
      </w:r>
    </w:p>
    <w:p w14:paraId="6DC0813D" w14:textId="5869051C" w:rsidR="004B1D05" w:rsidRPr="005244BD" w:rsidRDefault="004B1D05" w:rsidP="007E3CAF">
      <w:pPr>
        <w:spacing w:line="480" w:lineRule="auto"/>
        <w:jc w:val="both"/>
        <w:rPr>
          <w:rFonts w:asciiTheme="majorBidi" w:hAnsiTheme="majorBidi"/>
        </w:rPr>
      </w:pPr>
      <w:r w:rsidRPr="005244BD">
        <w:rPr>
          <w:rFonts w:asciiTheme="majorBidi" w:hAnsiTheme="majorBidi"/>
        </w:rPr>
        <w:fldChar w:fldCharType="begin"/>
      </w:r>
      <w:r w:rsidRPr="005244BD">
        <w:rPr>
          <w:rFonts w:asciiTheme="majorBidi" w:hAnsiTheme="majorBidi"/>
        </w:rPr>
        <w:instrText xml:space="preserve"> REF _Ref21683266 \h </w:instrText>
      </w:r>
      <w:r w:rsidR="00BD2684" w:rsidRPr="005244BD">
        <w:rPr>
          <w:rFonts w:asciiTheme="majorBidi" w:hAnsiTheme="majorBidi"/>
        </w:rPr>
        <w:instrText xml:space="preserve"> \* MERGEFORMAT </w:instrText>
      </w:r>
      <w:r w:rsidRPr="005244BD">
        <w:rPr>
          <w:rFonts w:asciiTheme="majorBidi" w:hAnsiTheme="majorBidi"/>
        </w:rPr>
      </w:r>
      <w:r w:rsidRPr="005244BD">
        <w:rPr>
          <w:rFonts w:asciiTheme="majorBidi" w:hAnsiTheme="majorBidi"/>
        </w:rPr>
        <w:fldChar w:fldCharType="separate"/>
      </w:r>
      <w:r w:rsidR="00EE0F85" w:rsidRPr="00EE0F85">
        <w:rPr>
          <w:rFonts w:asciiTheme="majorBidi" w:eastAsiaTheme="minorEastAsia" w:hAnsiTheme="majorBidi" w:cstheme="majorBidi"/>
          <w:b/>
          <w:bCs/>
          <w:iCs/>
        </w:rPr>
        <w:t>Figure 8</w:t>
      </w:r>
      <w:r w:rsidRPr="005244BD">
        <w:rPr>
          <w:rFonts w:asciiTheme="majorBidi" w:hAnsiTheme="majorBidi"/>
        </w:rPr>
        <w:fldChar w:fldCharType="end"/>
      </w:r>
      <w:r w:rsidRPr="005244BD">
        <w:rPr>
          <w:rFonts w:asciiTheme="majorBidi" w:hAnsiTheme="majorBidi"/>
        </w:rPr>
        <w:t xml:space="preserve"> shows the </w:t>
      </w:r>
      <w:r w:rsidR="00A10FB2" w:rsidRPr="005244BD">
        <w:rPr>
          <w:rFonts w:asciiTheme="majorBidi" w:hAnsiTheme="majorBidi"/>
        </w:rPr>
        <w:t>change of absolute permeability</w:t>
      </w:r>
      <w:r w:rsidR="00F94B67" w:rsidRPr="005244BD">
        <w:rPr>
          <w:rFonts w:asciiTheme="majorBidi" w:hAnsiTheme="majorBidi"/>
        </w:rPr>
        <w:t xml:space="preserve"> relative to the initial absolute permeability</w:t>
      </w:r>
      <w:r w:rsidR="00A10FB2" w:rsidRPr="005244BD">
        <w:rPr>
          <w:rFonts w:asciiTheme="majorBidi" w:hAnsiTheme="majorBidi"/>
        </w:rPr>
        <w:t xml:space="preserve"> as a function biomass/porosity change. As </w:t>
      </w:r>
      <w:r w:rsidR="006B2878" w:rsidRPr="005244BD">
        <w:rPr>
          <w:rFonts w:asciiTheme="majorBidi" w:hAnsiTheme="majorBidi"/>
        </w:rPr>
        <w:t>biomass increased,</w:t>
      </w:r>
      <w:r w:rsidR="00A10FB2" w:rsidRPr="005244BD">
        <w:rPr>
          <w:rFonts w:asciiTheme="majorBidi" w:hAnsiTheme="majorBidi"/>
        </w:rPr>
        <w:t xml:space="preserve"> </w:t>
      </w:r>
      <w:r w:rsidR="006B2878" w:rsidRPr="005244BD">
        <w:rPr>
          <w:rFonts w:asciiTheme="majorBidi" w:hAnsiTheme="majorBidi"/>
        </w:rPr>
        <w:t>the porosity reduced resulting in absolute permeability reduction.</w:t>
      </w:r>
      <w:r w:rsidR="0075024F" w:rsidRPr="005244BD">
        <w:rPr>
          <w:rFonts w:asciiTheme="majorBidi" w:hAnsiTheme="majorBidi"/>
        </w:rPr>
        <w:t xml:space="preserve"> Kozeny-Carman is one the simple model for the permeability-porosity relationship </w:t>
      </w:r>
      <w:r w:rsidR="00BE0B2B" w:rsidRPr="005244BD">
        <w:rPr>
          <w:rFonts w:asciiTheme="majorBidi" w:hAnsiTheme="majorBidi"/>
        </w:rPr>
        <w:t xml:space="preserve">which has the general form of Eq. 17 </w:t>
      </w:r>
      <w:r w:rsidR="00BE0B2B" w:rsidRPr="005244BD">
        <w:rPr>
          <w:rFonts w:asciiTheme="majorBidi" w:hAnsiTheme="majorBidi"/>
        </w:rPr>
        <w:fldChar w:fldCharType="begin" w:fldLock="1"/>
      </w:r>
      <w:r w:rsidR="00BF6D87" w:rsidRPr="005244BD">
        <w:rPr>
          <w:rFonts w:asciiTheme="majorBidi" w:hAnsiTheme="majorBidi"/>
        </w:rPr>
        <w:instrText>ADDIN CSL_CITATION {"citationItems":[{"id":"ITEM-1","itemData":{"author":[{"dropping-particle":"","family":"Rodriguez","given":"E","non-dropping-particle":"","parse-names":false,"suffix":""},{"dropping-particle":"","family":"Giacomelli","given":"F","non-dropping-particle":"","parse-names":false,"suffix":""},{"dropping-particle":"","family":"Vazquez","given":"A","non-dropping-particle":"","parse-names":false,"suffix":""}],"container-title":"Journal of composite materials","id":"ITEM-1","issue":"3","issued":{"date-parts":[["2004"]]},"page":"259-268","publisher":"Sage Publications Sage CA: Thousand Oaks, CA","title":"Permeability-porosity relationship in RTM for different fiberglass and natural reinforcements","type":"article-journal","volume":"38"},"uris":["http://www.mendeley.com/documents/?uuid=5e11c093-2705-4535-ad4d-2fdf277a1daf","http://www.mendeley.com/documents/?uuid=67c5bf31-cdd2-4871-8179-ce220c56977e"]}],"mendeley":{"formattedCitation":"(Rodriguez et al., 2004)","plainTextFormattedCitation":"(Rodriguez et al., 2004)","previouslyFormattedCitation":"(Rodriguez et al., 2004)"},"properties":{"noteIndex":0},"schema":"https://github.com/citation-style-language/schema/raw/master/csl-citation.json"}</w:instrText>
      </w:r>
      <w:r w:rsidR="00BE0B2B" w:rsidRPr="005244BD">
        <w:rPr>
          <w:rFonts w:asciiTheme="majorBidi" w:hAnsiTheme="majorBidi"/>
        </w:rPr>
        <w:fldChar w:fldCharType="separate"/>
      </w:r>
      <w:r w:rsidR="007E3CAF" w:rsidRPr="005244BD">
        <w:rPr>
          <w:rFonts w:asciiTheme="majorBidi" w:hAnsiTheme="majorBidi"/>
          <w:noProof/>
        </w:rPr>
        <w:t>(Rodriguez et al., 2004)</w:t>
      </w:r>
      <w:r w:rsidR="00BE0B2B" w:rsidRPr="005244BD">
        <w:rPr>
          <w:rFonts w:asciiTheme="majorBidi" w:hAnsiTheme="majorBidi"/>
        </w:rPr>
        <w:fldChar w:fldCharType="end"/>
      </w:r>
      <w:r w:rsidR="00BE0B2B" w:rsidRPr="005244BD">
        <w:rPr>
          <w:rFonts w:asciiTheme="majorBidi" w:hAnsiTheme="majorBidi"/>
        </w:rPr>
        <w:t>.</w:t>
      </w:r>
    </w:p>
    <w:p w14:paraId="0F7F3FD4" w14:textId="25E1D120" w:rsidR="009D55C4" w:rsidRPr="005244BD" w:rsidRDefault="007E5EE0" w:rsidP="00E50D2F">
      <w:pPr>
        <w:spacing w:line="480" w:lineRule="auto"/>
        <w:jc w:val="center"/>
        <w:rPr>
          <w:rFonts w:asciiTheme="majorBidi" w:eastAsiaTheme="minorEastAsia" w:hAnsiTheme="majorBidi"/>
        </w:rPr>
      </w:pPr>
      <m:oMath>
        <m:sSub>
          <m:sSubPr>
            <m:ctrlPr>
              <w:rPr>
                <w:rFonts w:ascii="Cambria Math" w:hAnsi="Cambria Math"/>
                <w:i/>
              </w:rPr>
            </m:ctrlPr>
          </m:sSubPr>
          <m:e>
            <m:r>
              <w:rPr>
                <w:rFonts w:ascii="Cambria Math" w:hAnsi="Cambria Math"/>
              </w:rPr>
              <m:t>K</m:t>
            </m:r>
          </m:e>
          <m:sub>
            <m:r>
              <w:rPr>
                <w:rFonts w:ascii="Cambria Math" w:hAnsi="Cambria Math"/>
              </w:rPr>
              <m:t>abs</m:t>
            </m:r>
          </m:sub>
        </m:sSub>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f>
          <m:fPr>
            <m:ctrlPr>
              <w:rPr>
                <w:rFonts w:ascii="Cambria Math" w:hAnsi="Cambria Math"/>
                <w:i/>
              </w:rPr>
            </m:ctrlPr>
          </m:fPr>
          <m:num>
            <m:sSup>
              <m:sSupPr>
                <m:ctrlPr>
                  <w:rPr>
                    <w:rFonts w:ascii="Cambria Math" w:hAnsi="Cambria Math"/>
                    <w:i/>
                  </w:rPr>
                </m:ctrlPr>
              </m:sSupPr>
              <m:e>
                <m:r>
                  <w:rPr>
                    <w:rFonts w:ascii="Cambria Math" w:hAnsi="Cambria Math" w:cstheme="majorBidi"/>
                    <w:color w:val="000000"/>
                    <w:lang w:eastAsia="en-GB"/>
                  </w:rPr>
                  <m:t>ϕ</m:t>
                </m:r>
              </m:e>
              <m:sup>
                <m:r>
                  <w:rPr>
                    <w:rFonts w:ascii="Cambria Math" w:hAnsi="Cambria Math"/>
                  </w:rPr>
                  <m:t>n+1</m:t>
                </m:r>
              </m:sup>
            </m:sSup>
          </m:num>
          <m:den>
            <m:sSup>
              <m:sSupPr>
                <m:ctrlPr>
                  <w:rPr>
                    <w:rFonts w:ascii="Cambria Math" w:hAnsi="Cambria Math"/>
                    <w:i/>
                  </w:rPr>
                </m:ctrlPr>
              </m:sSupPr>
              <m:e>
                <m:r>
                  <w:rPr>
                    <w:rFonts w:ascii="Cambria Math" w:hAnsi="Cambria Math"/>
                  </w:rPr>
                  <m:t>(1-</m:t>
                </m:r>
                <m:r>
                  <w:rPr>
                    <w:rFonts w:ascii="Cambria Math" w:hAnsi="Cambria Math" w:cstheme="majorBidi"/>
                    <w:color w:val="000000"/>
                    <w:lang w:eastAsia="en-GB"/>
                  </w:rPr>
                  <m:t>ϕ</m:t>
                </m:r>
                <m:r>
                  <w:rPr>
                    <w:rFonts w:ascii="Cambria Math" w:hAnsi="Cambria Math"/>
                  </w:rPr>
                  <m:t>)</m:t>
                </m:r>
              </m:e>
              <m:sup>
                <m:r>
                  <w:rPr>
                    <w:rFonts w:ascii="Cambria Math" w:hAnsi="Cambria Math"/>
                  </w:rPr>
                  <m:t>n</m:t>
                </m:r>
              </m:sup>
            </m:sSup>
          </m:den>
        </m:f>
        <m:r>
          <w:rPr>
            <w:rFonts w:ascii="Cambria Math" w:hAnsi="Cambria Math"/>
          </w:rPr>
          <m:t xml:space="preserve"> </m:t>
        </m:r>
      </m:oMath>
      <w:r w:rsidR="00E50D2F" w:rsidRPr="005244BD">
        <w:rPr>
          <w:rFonts w:asciiTheme="majorBidi" w:eastAsiaTheme="minorEastAsia" w:hAnsiTheme="majorBidi"/>
        </w:rPr>
        <w:tab/>
      </w:r>
      <w:r w:rsidR="00E50D2F" w:rsidRPr="005244BD">
        <w:rPr>
          <w:rFonts w:asciiTheme="majorBidi" w:eastAsiaTheme="minorEastAsia" w:hAnsiTheme="majorBidi"/>
        </w:rPr>
        <w:tab/>
      </w:r>
      <w:r w:rsidR="00E50D2F" w:rsidRPr="005244BD">
        <w:rPr>
          <w:rFonts w:asciiTheme="majorBidi" w:eastAsiaTheme="minorEastAsia" w:hAnsiTheme="majorBidi"/>
        </w:rPr>
        <w:tab/>
      </w:r>
      <w:r w:rsidR="009D55C4" w:rsidRPr="005244BD">
        <w:rPr>
          <w:rFonts w:asciiTheme="majorBidi" w:eastAsiaTheme="minorEastAsia" w:hAnsiTheme="majorBidi"/>
        </w:rPr>
        <w:t>Eq. 17</w:t>
      </w:r>
    </w:p>
    <w:p w14:paraId="281D0847" w14:textId="7729D61A" w:rsidR="009F4290" w:rsidRPr="005244BD" w:rsidRDefault="009D55C4" w:rsidP="00B20623">
      <w:pPr>
        <w:spacing w:line="480" w:lineRule="auto"/>
        <w:jc w:val="both"/>
        <w:rPr>
          <w:rFonts w:asciiTheme="majorBidi" w:eastAsiaTheme="minorEastAsia" w:hAnsiTheme="majorBidi"/>
          <w:lang w:bidi="fa-IR"/>
        </w:rPr>
      </w:pPr>
      <w:r w:rsidRPr="005244BD">
        <w:rPr>
          <w:rFonts w:asciiTheme="majorBidi" w:eastAsiaTheme="minorEastAsia" w:hAnsiTheme="majorBidi"/>
        </w:rPr>
        <w:t xml:space="preserve">where </w:t>
      </w:r>
      <m:oMath>
        <m:r>
          <w:rPr>
            <w:rFonts w:ascii="Cambria Math" w:eastAsiaTheme="minorEastAsia" w:hAnsi="Cambria Math"/>
          </w:rPr>
          <m:t>n</m:t>
        </m:r>
      </m:oMath>
      <w:r w:rsidRPr="005244BD">
        <w:rPr>
          <w:rFonts w:asciiTheme="majorBidi" w:eastAsiaTheme="minorEastAsia" w:hAnsiTheme="majorBidi"/>
        </w:rPr>
        <w:t xml:space="preserve"> and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Pr="005244BD">
        <w:rPr>
          <w:rFonts w:asciiTheme="majorBidi" w:eastAsiaTheme="minorEastAsia" w:hAnsiTheme="majorBidi"/>
        </w:rPr>
        <w:t xml:space="preserve"> are empirical parameters. </w:t>
      </w:r>
      <w:r w:rsidR="00BD2684" w:rsidRPr="005244BD">
        <w:rPr>
          <w:rFonts w:asciiTheme="majorBidi" w:eastAsiaTheme="minorEastAsia" w:hAnsiTheme="majorBidi"/>
        </w:rPr>
        <w:t>T</w:t>
      </w:r>
      <w:r w:rsidR="006C1134" w:rsidRPr="005244BD">
        <w:rPr>
          <w:rFonts w:asciiTheme="majorBidi" w:eastAsiaTheme="minorEastAsia" w:hAnsiTheme="majorBidi"/>
        </w:rPr>
        <w:t>he absolute permeability</w:t>
      </w:r>
      <w:r w:rsidR="00BD2684" w:rsidRPr="005244BD">
        <w:rPr>
          <w:rFonts w:asciiTheme="majorBidi" w:eastAsiaTheme="minorEastAsia" w:hAnsiTheme="majorBidi"/>
        </w:rPr>
        <w:t xml:space="preserve"> of pore network due to the change of porosity/biomass is predicted using Eq. 17 as shown in </w:t>
      </w:r>
      <w:r w:rsidR="00BD2684" w:rsidRPr="005244BD">
        <w:rPr>
          <w:rFonts w:asciiTheme="majorBidi" w:hAnsiTheme="majorBidi"/>
        </w:rPr>
        <w:fldChar w:fldCharType="begin"/>
      </w:r>
      <w:r w:rsidR="00BD2684" w:rsidRPr="005244BD">
        <w:rPr>
          <w:rFonts w:asciiTheme="majorBidi" w:hAnsiTheme="majorBidi"/>
        </w:rPr>
        <w:instrText xml:space="preserve"> REF _Ref21683266 \h  \* MERGEFORMAT </w:instrText>
      </w:r>
      <w:r w:rsidR="00BD2684" w:rsidRPr="005244BD">
        <w:rPr>
          <w:rFonts w:asciiTheme="majorBidi" w:hAnsiTheme="majorBidi"/>
        </w:rPr>
      </w:r>
      <w:r w:rsidR="00BD2684" w:rsidRPr="005244BD">
        <w:rPr>
          <w:rFonts w:asciiTheme="majorBidi" w:hAnsiTheme="majorBidi"/>
        </w:rPr>
        <w:fldChar w:fldCharType="separate"/>
      </w:r>
      <w:r w:rsidR="00EE0F85" w:rsidRPr="00EE0F85">
        <w:rPr>
          <w:rFonts w:asciiTheme="majorBidi" w:eastAsiaTheme="minorEastAsia" w:hAnsiTheme="majorBidi" w:cstheme="majorBidi"/>
          <w:b/>
          <w:bCs/>
          <w:iCs/>
        </w:rPr>
        <w:t>Figure 8</w:t>
      </w:r>
      <w:r w:rsidR="00BD2684" w:rsidRPr="005244BD">
        <w:rPr>
          <w:rFonts w:asciiTheme="majorBidi" w:hAnsiTheme="majorBidi"/>
        </w:rPr>
        <w:fldChar w:fldCharType="end"/>
      </w:r>
      <w:r w:rsidR="00BD2684" w:rsidRPr="005244BD">
        <w:rPr>
          <w:rFonts w:asciiTheme="majorBidi" w:eastAsiaTheme="minorEastAsia" w:hAnsiTheme="majorBidi"/>
        </w:rPr>
        <w:t xml:space="preserve"> (assuming </w:t>
      </w:r>
      <m:oMath>
        <m:r>
          <w:rPr>
            <w:rFonts w:ascii="Cambria Math" w:eastAsiaTheme="minorEastAsia" w:hAnsi="Cambria Math"/>
          </w:rPr>
          <m:t>n=2</m:t>
        </m:r>
      </m:oMath>
      <w:r w:rsidR="00BD2684" w:rsidRPr="005244BD">
        <w:rPr>
          <w:rFonts w:asciiTheme="majorBidi" w:eastAsiaTheme="minorEastAsia" w:hAnsiTheme="majorBidi"/>
        </w:rPr>
        <w:t xml:space="preserve">, and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00BD2684" w:rsidRPr="005244BD">
        <w:rPr>
          <w:rFonts w:asciiTheme="majorBidi" w:eastAsiaTheme="minorEastAsia" w:hAnsiTheme="majorBidi"/>
        </w:rPr>
        <w:t xml:space="preserve"> was calculated using the initial absolute permeability and porosity of pore network as listed in </w:t>
      </w:r>
      <w:r w:rsidR="00BD2684" w:rsidRPr="005244BD">
        <w:rPr>
          <w:rFonts w:asciiTheme="majorBidi" w:eastAsiaTheme="minorEastAsia" w:hAnsiTheme="majorBidi"/>
          <w:b/>
          <w:bCs/>
        </w:rPr>
        <w:fldChar w:fldCharType="begin"/>
      </w:r>
      <w:r w:rsidR="00BD2684" w:rsidRPr="005244BD">
        <w:rPr>
          <w:rFonts w:asciiTheme="majorBidi" w:eastAsiaTheme="minorEastAsia" w:hAnsiTheme="majorBidi"/>
          <w:b/>
          <w:bCs/>
        </w:rPr>
        <w:instrText xml:space="preserve"> REF _Ref21687348 \h  \* MERGEFORMAT </w:instrText>
      </w:r>
      <w:r w:rsidR="00BD2684" w:rsidRPr="005244BD">
        <w:rPr>
          <w:rFonts w:asciiTheme="majorBidi" w:eastAsiaTheme="minorEastAsia" w:hAnsiTheme="majorBidi"/>
          <w:b/>
          <w:bCs/>
        </w:rPr>
      </w:r>
      <w:r w:rsidR="00BD2684" w:rsidRPr="005244BD">
        <w:rPr>
          <w:rFonts w:asciiTheme="majorBidi" w:eastAsiaTheme="minorEastAsia" w:hAnsiTheme="majorBidi"/>
          <w:b/>
          <w:bCs/>
        </w:rPr>
        <w:fldChar w:fldCharType="separate"/>
      </w:r>
      <w:r w:rsidR="00EE0F85" w:rsidRPr="00EE0F85">
        <w:rPr>
          <w:rFonts w:asciiTheme="majorBidi" w:eastAsiaTheme="minorEastAsia" w:hAnsiTheme="majorBidi"/>
          <w:b/>
          <w:bCs/>
        </w:rPr>
        <w:t xml:space="preserve">Table </w:t>
      </w:r>
      <w:r w:rsidR="00EE0F85" w:rsidRPr="00EE0F85">
        <w:rPr>
          <w:rFonts w:asciiTheme="majorBidi" w:eastAsiaTheme="minorEastAsia" w:hAnsiTheme="majorBidi"/>
          <w:b/>
          <w:bCs/>
        </w:rPr>
        <w:lastRenderedPageBreak/>
        <w:t>1</w:t>
      </w:r>
      <w:r w:rsidR="00BD2684" w:rsidRPr="005244BD">
        <w:rPr>
          <w:rFonts w:asciiTheme="majorBidi" w:eastAsiaTheme="minorEastAsia" w:hAnsiTheme="majorBidi"/>
          <w:b/>
          <w:bCs/>
        </w:rPr>
        <w:fldChar w:fldCharType="end"/>
      </w:r>
      <w:r w:rsidR="00BD2684" w:rsidRPr="005244BD">
        <w:rPr>
          <w:rFonts w:asciiTheme="majorBidi" w:eastAsiaTheme="minorEastAsia" w:hAnsiTheme="majorBidi"/>
        </w:rPr>
        <w:t xml:space="preserve">). As shown in </w:t>
      </w:r>
      <w:r w:rsidR="00BD2684" w:rsidRPr="005244BD">
        <w:rPr>
          <w:rFonts w:asciiTheme="majorBidi" w:hAnsiTheme="majorBidi"/>
        </w:rPr>
        <w:fldChar w:fldCharType="begin"/>
      </w:r>
      <w:r w:rsidR="00BD2684" w:rsidRPr="005244BD">
        <w:rPr>
          <w:rFonts w:asciiTheme="majorBidi" w:hAnsiTheme="majorBidi"/>
        </w:rPr>
        <w:instrText xml:space="preserve"> REF _Ref21683266 \h  \* MERGEFORMAT </w:instrText>
      </w:r>
      <w:r w:rsidR="00BD2684" w:rsidRPr="005244BD">
        <w:rPr>
          <w:rFonts w:asciiTheme="majorBidi" w:hAnsiTheme="majorBidi"/>
        </w:rPr>
      </w:r>
      <w:r w:rsidR="00BD2684" w:rsidRPr="005244BD">
        <w:rPr>
          <w:rFonts w:asciiTheme="majorBidi" w:hAnsiTheme="majorBidi"/>
        </w:rPr>
        <w:fldChar w:fldCharType="separate"/>
      </w:r>
      <w:r w:rsidR="00EE0F85" w:rsidRPr="00EE0F85">
        <w:rPr>
          <w:rFonts w:asciiTheme="majorBidi" w:eastAsiaTheme="minorEastAsia" w:hAnsiTheme="majorBidi" w:cstheme="majorBidi"/>
          <w:b/>
          <w:bCs/>
          <w:iCs/>
        </w:rPr>
        <w:t>Figure 8</w:t>
      </w:r>
      <w:r w:rsidR="00BD2684" w:rsidRPr="005244BD">
        <w:rPr>
          <w:rFonts w:asciiTheme="majorBidi" w:hAnsiTheme="majorBidi"/>
        </w:rPr>
        <w:fldChar w:fldCharType="end"/>
      </w:r>
      <w:r w:rsidR="00BD2684" w:rsidRPr="005244BD">
        <w:rPr>
          <w:rFonts w:asciiTheme="majorBidi" w:hAnsiTheme="majorBidi"/>
        </w:rPr>
        <w:t xml:space="preserve">, the range of changes in porosity </w:t>
      </w:r>
      <w:r w:rsidR="00BD2684" w:rsidRPr="005244BD">
        <w:rPr>
          <w:rFonts w:asciiTheme="majorBidi" w:hAnsiTheme="majorBidi"/>
          <w:lang w:bidi="fa-IR"/>
        </w:rPr>
        <w:t xml:space="preserve">is small, </w:t>
      </w:r>
      <w:r w:rsidR="00F56130" w:rsidRPr="005244BD">
        <w:rPr>
          <w:rFonts w:asciiTheme="majorBidi" w:hAnsiTheme="majorBidi"/>
          <w:lang w:bidi="fa-IR"/>
        </w:rPr>
        <w:t xml:space="preserve">so the </w:t>
      </w:r>
      <w:r w:rsidR="00F56130" w:rsidRPr="005244BD">
        <w:rPr>
          <w:rFonts w:asciiTheme="majorBidi" w:hAnsiTheme="majorBidi"/>
        </w:rPr>
        <w:t xml:space="preserve">Kozeny-Carman equation for permeability prediction due to the biofilm growth could not be re-examined in this way. However, the highlighted area in </w:t>
      </w:r>
      <w:r w:rsidR="00F56130" w:rsidRPr="005244BD">
        <w:rPr>
          <w:rFonts w:asciiTheme="majorBidi" w:hAnsiTheme="majorBidi"/>
        </w:rPr>
        <w:fldChar w:fldCharType="begin"/>
      </w:r>
      <w:r w:rsidR="00F56130" w:rsidRPr="005244BD">
        <w:rPr>
          <w:rFonts w:asciiTheme="majorBidi" w:hAnsiTheme="majorBidi"/>
        </w:rPr>
        <w:instrText xml:space="preserve"> REF _Ref21683266 \h  \* MERGEFORMAT </w:instrText>
      </w:r>
      <w:r w:rsidR="00F56130" w:rsidRPr="005244BD">
        <w:rPr>
          <w:rFonts w:asciiTheme="majorBidi" w:hAnsiTheme="majorBidi"/>
        </w:rPr>
      </w:r>
      <w:r w:rsidR="00F56130" w:rsidRPr="005244BD">
        <w:rPr>
          <w:rFonts w:asciiTheme="majorBidi" w:hAnsiTheme="majorBidi"/>
        </w:rPr>
        <w:fldChar w:fldCharType="separate"/>
      </w:r>
      <w:r w:rsidR="00EE0F85" w:rsidRPr="00EE0F85">
        <w:rPr>
          <w:rFonts w:asciiTheme="majorBidi" w:eastAsiaTheme="minorEastAsia" w:hAnsiTheme="majorBidi" w:cstheme="majorBidi"/>
          <w:b/>
          <w:bCs/>
          <w:iCs/>
        </w:rPr>
        <w:t>Figure 8</w:t>
      </w:r>
      <w:r w:rsidR="00F56130" w:rsidRPr="005244BD">
        <w:rPr>
          <w:rFonts w:asciiTheme="majorBidi" w:hAnsiTheme="majorBidi"/>
        </w:rPr>
        <w:fldChar w:fldCharType="end"/>
      </w:r>
      <w:r w:rsidR="00F56130" w:rsidRPr="005244BD">
        <w:rPr>
          <w:rFonts w:asciiTheme="majorBidi" w:hAnsiTheme="majorBidi"/>
        </w:rPr>
        <w:t xml:space="preserve"> indicate</w:t>
      </w:r>
      <w:r w:rsidR="00DC6201" w:rsidRPr="005244BD">
        <w:rPr>
          <w:rFonts w:asciiTheme="majorBidi" w:hAnsiTheme="majorBidi"/>
        </w:rPr>
        <w:t>s</w:t>
      </w:r>
      <w:r w:rsidR="00F56130" w:rsidRPr="005244BD">
        <w:rPr>
          <w:rFonts w:asciiTheme="majorBidi" w:hAnsiTheme="majorBidi"/>
        </w:rPr>
        <w:t xml:space="preserve"> that the Kozeny-Carman equation could not be applicable in the case </w:t>
      </w:r>
      <w:r w:rsidR="009D3EA0" w:rsidRPr="005244BD">
        <w:rPr>
          <w:rFonts w:asciiTheme="majorBidi" w:hAnsiTheme="majorBidi"/>
        </w:rPr>
        <w:t>o</w:t>
      </w:r>
      <w:r w:rsidR="00F56130" w:rsidRPr="005244BD">
        <w:rPr>
          <w:rFonts w:asciiTheme="majorBidi" w:hAnsiTheme="majorBidi"/>
        </w:rPr>
        <w:t>f the permeability changes due to biofilm growth/extinction</w:t>
      </w:r>
      <w:r w:rsidR="00400BD0" w:rsidRPr="005244BD">
        <w:rPr>
          <w:rFonts w:asciiTheme="majorBidi" w:hAnsiTheme="majorBidi"/>
        </w:rPr>
        <w:t xml:space="preserve"> as with decrease of porosity the deviation from the Kozeny-Carman equation increases</w:t>
      </w:r>
      <w:r w:rsidR="00F56130" w:rsidRPr="005244BD">
        <w:rPr>
          <w:rFonts w:asciiTheme="majorBidi" w:hAnsiTheme="majorBidi"/>
        </w:rPr>
        <w:t xml:space="preserve">. </w:t>
      </w:r>
      <w:r w:rsidR="00E97CDF" w:rsidRPr="005244BD">
        <w:rPr>
          <w:rFonts w:asciiTheme="majorBidi" w:hAnsiTheme="majorBidi"/>
        </w:rPr>
        <w:t xml:space="preserve">The highlighted area shows that the absolute permeability increased </w:t>
      </w:r>
      <w:r w:rsidR="004B5AB3" w:rsidRPr="005244BD">
        <w:rPr>
          <w:rFonts w:asciiTheme="majorBidi" w:hAnsiTheme="majorBidi"/>
        </w:rPr>
        <w:t>after the reduction (indicating biofilm extinction). This highlighted area illustrate</w:t>
      </w:r>
      <w:r w:rsidR="00DC6201" w:rsidRPr="005244BD">
        <w:rPr>
          <w:rFonts w:asciiTheme="majorBidi" w:hAnsiTheme="majorBidi"/>
        </w:rPr>
        <w:t>s</w:t>
      </w:r>
      <w:r w:rsidR="004B5AB3" w:rsidRPr="005244BD">
        <w:rPr>
          <w:rFonts w:asciiTheme="majorBidi" w:hAnsiTheme="majorBidi"/>
        </w:rPr>
        <w:t xml:space="preserve"> a hysteresis for </w:t>
      </w:r>
      <w:r w:rsidR="00F94B67" w:rsidRPr="005244BD">
        <w:rPr>
          <w:rFonts w:asciiTheme="majorBidi" w:hAnsiTheme="majorBidi"/>
        </w:rPr>
        <w:t xml:space="preserve">the </w:t>
      </w:r>
      <w:r w:rsidR="004B5AB3" w:rsidRPr="005244BD">
        <w:rPr>
          <w:rFonts w:asciiTheme="majorBidi" w:hAnsiTheme="majorBidi"/>
        </w:rPr>
        <w:t xml:space="preserve">absolute permeability due to biofilm extinction which </w:t>
      </w:r>
      <w:r w:rsidR="00400BD0" w:rsidRPr="005244BD">
        <w:rPr>
          <w:rFonts w:asciiTheme="majorBidi" w:hAnsiTheme="majorBidi"/>
        </w:rPr>
        <w:t xml:space="preserve">cannot be captured in </w:t>
      </w:r>
      <w:r w:rsidR="004B5AB3" w:rsidRPr="005244BD">
        <w:rPr>
          <w:rFonts w:asciiTheme="majorBidi" w:hAnsiTheme="majorBidi"/>
        </w:rPr>
        <w:t xml:space="preserve">Kozeny-Carman equation </w:t>
      </w:r>
      <w:r w:rsidR="00400BD0" w:rsidRPr="005244BD">
        <w:rPr>
          <w:rFonts w:asciiTheme="majorBidi" w:hAnsiTheme="majorBidi"/>
        </w:rPr>
        <w:t>by a single set of parameters</w:t>
      </w:r>
      <w:r w:rsidR="000437E0" w:rsidRPr="005244BD">
        <w:rPr>
          <w:rFonts w:asciiTheme="majorBidi" w:hAnsiTheme="majorBidi"/>
        </w:rPr>
        <w:t>.</w:t>
      </w:r>
      <w:r w:rsidR="00772167" w:rsidRPr="00772167">
        <w:rPr>
          <w:rFonts w:asciiTheme="majorBidi" w:hAnsiTheme="majorBidi"/>
        </w:rPr>
        <w:t xml:space="preserve"> </w:t>
      </w:r>
      <w:r w:rsidR="00772167">
        <w:rPr>
          <w:rFonts w:asciiTheme="majorBidi" w:hAnsiTheme="majorBidi"/>
        </w:rPr>
        <w:t>Nevertheless</w:t>
      </w:r>
      <w:r w:rsidR="009F4290">
        <w:rPr>
          <w:rFonts w:asciiTheme="majorBidi" w:hAnsiTheme="majorBidi"/>
        </w:rPr>
        <w:t xml:space="preserve">, </w:t>
      </w:r>
      <w:r w:rsidR="009F4290">
        <w:rPr>
          <w:rFonts w:asciiTheme="majorBidi" w:hAnsiTheme="majorBidi"/>
        </w:rPr>
        <w:fldChar w:fldCharType="begin" w:fldLock="1"/>
      </w:r>
      <w:r w:rsidR="00520B13">
        <w:rPr>
          <w:rFonts w:asciiTheme="majorBidi" w:hAnsiTheme="majorBidi"/>
        </w:rPr>
        <w:instrText>ADDIN CSL_CITATION {"citationItems":[{"id":"ITEM-1","itemData":{"author":[{"dropping-particle":"","family":"Chu","given":"M","non-dropping-particle":"","parse-names":false,"suffix":""},{"dropping-particle":"","family":"Kitanidis","given":"P K","non-dropping-particle":"","parse-names":false,"suffix":""},{"dropping-particle":"","family":"McCarty","given":"P L","non-dropping-particle":"","parse-names":false,"suffix":""}],"container-title":"Journal of Contaminant Hydrology","id":"ITEM-1","issue":"1-2","issued":{"date-parts":[["2003"]]},"page":"79-100","publisher":"Elsevier","title":"Effects of biomass accumulation on microbially enhanced dissolution of a PCE pool: a numerical simulation","type":"article-journal","volume":"65"},"uris":["http://www.mendeley.com/documents/?uuid=6ed3dd00-d1b0-4084-a24f-dad7eb422072"]}],"mendeley":{"formattedCitation":"(Chu et al., 2003)","manualFormatting":"Chu et al., 2003,","plainTextFormattedCitation":"(Chu et al., 2003)","previouslyFormattedCitation":"(Chu et al., 2003)"},"properties":{"noteIndex":0},"schema":"https://github.com/citation-style-language/schema/raw/master/csl-citation.json"}</w:instrText>
      </w:r>
      <w:r w:rsidR="009F4290">
        <w:rPr>
          <w:rFonts w:asciiTheme="majorBidi" w:hAnsiTheme="majorBidi"/>
        </w:rPr>
        <w:fldChar w:fldCharType="separate"/>
      </w:r>
      <w:r w:rsidR="009F4290" w:rsidRPr="00234BF0">
        <w:rPr>
          <w:rFonts w:asciiTheme="majorBidi" w:hAnsiTheme="majorBidi"/>
          <w:noProof/>
        </w:rPr>
        <w:t>Chu et al., 2003</w:t>
      </w:r>
      <w:r w:rsidR="009F4290">
        <w:rPr>
          <w:rFonts w:asciiTheme="majorBidi" w:hAnsiTheme="majorBidi"/>
          <w:noProof/>
        </w:rPr>
        <w:t>,</w:t>
      </w:r>
      <w:r w:rsidR="009F4290">
        <w:rPr>
          <w:rFonts w:asciiTheme="majorBidi" w:hAnsiTheme="majorBidi"/>
        </w:rPr>
        <w:fldChar w:fldCharType="end"/>
      </w:r>
      <w:r w:rsidR="009F4290">
        <w:rPr>
          <w:rFonts w:asciiTheme="majorBidi" w:hAnsiTheme="majorBidi"/>
        </w:rPr>
        <w:t xml:space="preserve"> showed that biologging can significantly reduce the hydraulic conductivity and </w:t>
      </w:r>
      <w:r w:rsidR="009F4290">
        <w:rPr>
          <w:rFonts w:asciiTheme="majorBidi" w:hAnsiTheme="majorBidi"/>
        </w:rPr>
        <w:fldChar w:fldCharType="begin" w:fldLock="1"/>
      </w:r>
      <w:r w:rsidR="00520B13">
        <w:rPr>
          <w:rFonts w:asciiTheme="majorBidi" w:hAnsiTheme="majorBidi"/>
        </w:rPr>
        <w:instrText>ADDIN CSL_CITATION {"citationItems":[{"id":"ITEM-1","itemData":{"author":[{"dropping-particle":"","family":"Chu","given":"M","non-dropping-particle":"","parse-names":false,"suffix":""},{"dropping-particle":"","family":"Kitanidis","given":"P K","non-dropping-particle":"","parse-names":false,"suffix":""},{"dropping-particle":"","family":"McCarty","given":"Perry L","non-dropping-particle":"","parse-names":false,"suffix":""}],"container-title":"Advances in Water Resources","id":"ITEM-1","issue":"6","issued":{"date-parts":[["2004"]]},"page":"601-615","publisher":"Elsevier","title":"Possible factors controlling the effectiveness of bioenhanced dissolution of non-aqueous phase tetrachloroethene","type":"article-journal","volume":"27"},"uris":["http://www.mendeley.com/documents/?uuid=87dae3c7-4c8e-48a2-9ace-b91b56de6f83"]}],"mendeley":{"formattedCitation":"(Chu et al., 2004)","manualFormatting":"Chu et al., 2004,","plainTextFormattedCitation":"(Chu et al., 2004)","previouslyFormattedCitation":"(Chu et al., 2004)"},"properties":{"noteIndex":0},"schema":"https://github.com/citation-style-language/schema/raw/master/csl-citation.json"}</w:instrText>
      </w:r>
      <w:r w:rsidR="009F4290">
        <w:rPr>
          <w:rFonts w:asciiTheme="majorBidi" w:hAnsiTheme="majorBidi"/>
        </w:rPr>
        <w:fldChar w:fldCharType="separate"/>
      </w:r>
      <w:r w:rsidR="009F4290" w:rsidRPr="00234BF0">
        <w:rPr>
          <w:rFonts w:asciiTheme="majorBidi" w:hAnsiTheme="majorBidi"/>
          <w:noProof/>
        </w:rPr>
        <w:t>Chu et al., 2004</w:t>
      </w:r>
      <w:r w:rsidR="009F4290">
        <w:rPr>
          <w:rFonts w:asciiTheme="majorBidi" w:hAnsiTheme="majorBidi"/>
          <w:noProof/>
        </w:rPr>
        <w:t>,</w:t>
      </w:r>
      <w:r w:rsidR="009F4290">
        <w:rPr>
          <w:rFonts w:asciiTheme="majorBidi" w:hAnsiTheme="majorBidi"/>
        </w:rPr>
        <w:fldChar w:fldCharType="end"/>
      </w:r>
      <w:r w:rsidR="009F4290">
        <w:rPr>
          <w:rFonts w:asciiTheme="majorBidi" w:hAnsiTheme="majorBidi"/>
        </w:rPr>
        <w:t xml:space="preserve"> pointed out that the hydraulic conductivity of porous media could be described as function of biomass. However, the distribution and morphology of the bacteria</w:t>
      </w:r>
      <w:r w:rsidR="009F4290">
        <w:rPr>
          <w:rFonts w:asciiTheme="majorBidi" w:hAnsiTheme="majorBidi"/>
          <w:lang w:bidi="fa-IR"/>
        </w:rPr>
        <w:t xml:space="preserve"> have a significant impact on the relationship between conductivity and biomass</w:t>
      </w:r>
      <w:r w:rsidR="009F4290">
        <w:rPr>
          <w:rFonts w:asciiTheme="majorBidi" w:hAnsiTheme="majorBidi"/>
        </w:rPr>
        <w:t xml:space="preserve"> </w:t>
      </w:r>
      <w:r w:rsidR="009F4290">
        <w:rPr>
          <w:rFonts w:asciiTheme="majorBidi" w:hAnsiTheme="majorBidi"/>
        </w:rPr>
        <w:fldChar w:fldCharType="begin" w:fldLock="1"/>
      </w:r>
      <w:r w:rsidR="00520B13">
        <w:rPr>
          <w:rFonts w:asciiTheme="majorBidi" w:hAnsiTheme="majorBidi"/>
        </w:rPr>
        <w:instrText>ADDIN CSL_CITATION {"citationItems":[{"id":"ITEM-1","itemData":{"author":[{"dropping-particle":"","family":"Dupin","given":"Hubert J","non-dropping-particle":"","parse-names":false,"suffix":""},{"dropping-particle":"","family":"McCarty","given":"Perry L","non-dropping-particle":"","parse-names":false,"suffix":""}],"container-title":"Environmental science &amp; technology","id":"ITEM-1","issue":"8","issued":{"date-parts":[["2000"]]},"page":"1513-1520","publisher":"ACS Publications","title":"Impact of colony morphologies and disinfection on biological clogging in porous media","type":"article-journal","volume":"34"},"uris":["http://www.mendeley.com/documents/?uuid=f909e89e-5bec-4def-bda0-9bc86a6f1e2b"]}],"mendeley":{"formattedCitation":"(Dupin &amp; McCarty, 2000)","manualFormatting":"(Dupin &amp; McCarty, 2000,","plainTextFormattedCitation":"(Dupin &amp; McCarty, 2000)","previouslyFormattedCitation":"(Dupin &amp; McCarty, 2000)"},"properties":{"noteIndex":0},"schema":"https://github.com/citation-style-language/schema/raw/master/csl-citation.json"}</w:instrText>
      </w:r>
      <w:r w:rsidR="009F4290">
        <w:rPr>
          <w:rFonts w:asciiTheme="majorBidi" w:hAnsiTheme="majorBidi"/>
        </w:rPr>
        <w:fldChar w:fldCharType="separate"/>
      </w:r>
      <w:r w:rsidR="009F4290" w:rsidRPr="00234BF0">
        <w:rPr>
          <w:rFonts w:asciiTheme="majorBidi" w:hAnsiTheme="majorBidi"/>
          <w:noProof/>
        </w:rPr>
        <w:t>(Dupin &amp; McCarty, 2000</w:t>
      </w:r>
      <w:r w:rsidR="009F4290">
        <w:rPr>
          <w:rFonts w:asciiTheme="majorBidi" w:hAnsiTheme="majorBidi"/>
          <w:noProof/>
        </w:rPr>
        <w:t>,</w:t>
      </w:r>
      <w:r w:rsidR="009F4290">
        <w:rPr>
          <w:rFonts w:asciiTheme="majorBidi" w:hAnsiTheme="majorBidi"/>
        </w:rPr>
        <w:fldChar w:fldCharType="end"/>
      </w:r>
      <w:r w:rsidR="009F4290">
        <w:rPr>
          <w:rFonts w:asciiTheme="majorBidi" w:hAnsiTheme="majorBidi"/>
        </w:rPr>
        <w:t xml:space="preserve"> </w:t>
      </w:r>
      <w:r w:rsidR="009F4290">
        <w:rPr>
          <w:rFonts w:asciiTheme="majorBidi" w:hAnsiTheme="majorBidi"/>
        </w:rPr>
        <w:fldChar w:fldCharType="begin" w:fldLock="1"/>
      </w:r>
      <w:r w:rsidR="00520B13">
        <w:rPr>
          <w:rFonts w:asciiTheme="majorBidi" w:hAnsiTheme="majorBidi"/>
        </w:rPr>
        <w:instrText>ADDIN CSL_CITATION {"citationItems":[{"id":"ITEM-1","itemData":{"author":[{"dropping-particle":"","family":"Dupin","given":"Hubert J","non-dropping-particle":"","parse-names":false,"suffix":""},{"dropping-particle":"","family":"Kitanidis","given":"Peter K","non-dropping-particle":"","parse-names":false,"suffix":""},{"dropping-particle":"","family":"McCarty","given":"Perry L","non-dropping-particle":"","parse-names":false,"suffix":""}],"container-title":"Water resources research","id":"ITEM-1","issue":"12","issued":{"date-parts":[["2001"]]},"page":"2981-2994","publisher":"Wiley Online Library","title":"Simulations of two-dimensional modeling of biomass aggregate growth in network models","type":"article-journal","volume":"37"},"uris":["http://www.mendeley.com/documents/?uuid=b8fc870a-2a58-4490-bdab-cda408765ed5"]}],"mendeley":{"formattedCitation":"(Dupin et al., 2001)","manualFormatting":"Dupin et al., 2001)","plainTextFormattedCitation":"(Dupin et al., 2001)","previouslyFormattedCitation":"(Dupin et al., 2001)"},"properties":{"noteIndex":0},"schema":"https://github.com/citation-style-language/schema/raw/master/csl-citation.json"}</w:instrText>
      </w:r>
      <w:r w:rsidR="009F4290">
        <w:rPr>
          <w:rFonts w:asciiTheme="majorBidi" w:hAnsiTheme="majorBidi"/>
        </w:rPr>
        <w:fldChar w:fldCharType="separate"/>
      </w:r>
      <w:r w:rsidR="009F4290" w:rsidRPr="00234BF0">
        <w:rPr>
          <w:rFonts w:asciiTheme="majorBidi" w:hAnsiTheme="majorBidi"/>
          <w:noProof/>
        </w:rPr>
        <w:t>Dupin et al., 2001)</w:t>
      </w:r>
      <w:r w:rsidR="009F4290">
        <w:rPr>
          <w:rFonts w:asciiTheme="majorBidi" w:hAnsiTheme="majorBidi"/>
        </w:rPr>
        <w:fldChar w:fldCharType="end"/>
      </w:r>
      <w:r w:rsidR="009F4290">
        <w:rPr>
          <w:rFonts w:asciiTheme="majorBidi" w:hAnsiTheme="majorBidi"/>
        </w:rPr>
        <w:t>.</w:t>
      </w:r>
    </w:p>
    <w:p w14:paraId="65327D8D" w14:textId="44F28D21" w:rsidR="009D55C4" w:rsidRPr="005244BD" w:rsidRDefault="009D55C4" w:rsidP="009F4290">
      <w:pPr>
        <w:spacing w:line="480" w:lineRule="auto"/>
        <w:jc w:val="both"/>
        <w:rPr>
          <w:rFonts w:asciiTheme="majorBidi" w:eastAsiaTheme="minorEastAsia" w:hAnsiTheme="majorBidi"/>
          <w:lang w:bidi="fa-IR"/>
        </w:rPr>
      </w:pPr>
    </w:p>
    <w:p w14:paraId="5EA47552" w14:textId="7C8297DC" w:rsidR="00273260" w:rsidRPr="005244BD" w:rsidRDefault="00F94B67" w:rsidP="00273260">
      <w:pPr>
        <w:keepNext/>
        <w:spacing w:after="0" w:line="480" w:lineRule="auto"/>
        <w:jc w:val="center"/>
      </w:pPr>
      <w:r w:rsidRPr="005244BD">
        <w:rPr>
          <w:noProof/>
          <w:lang w:eastAsia="en-GB"/>
        </w:rPr>
        <w:drawing>
          <wp:inline distT="0" distB="0" distL="0" distR="0" wp14:anchorId="3C55A7D7" wp14:editId="7C9D47FF">
            <wp:extent cx="4901914" cy="284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1914" cy="2844000"/>
                    </a:xfrm>
                    <a:prstGeom prst="rect">
                      <a:avLst/>
                    </a:prstGeom>
                    <a:noFill/>
                  </pic:spPr>
                </pic:pic>
              </a:graphicData>
            </a:graphic>
          </wp:inline>
        </w:drawing>
      </w:r>
    </w:p>
    <w:p w14:paraId="06ED1AC8" w14:textId="0316FA06" w:rsidR="000C0BBA" w:rsidRDefault="00273260" w:rsidP="00FF05F4">
      <w:pPr>
        <w:spacing w:line="480" w:lineRule="auto"/>
        <w:jc w:val="both"/>
        <w:rPr>
          <w:rFonts w:asciiTheme="majorBidi" w:eastAsiaTheme="minorEastAsia" w:hAnsiTheme="majorBidi" w:cstheme="majorBidi"/>
          <w:iCs/>
          <w:sz w:val="20"/>
          <w:szCs w:val="20"/>
        </w:rPr>
      </w:pPr>
      <w:bookmarkStart w:id="17" w:name="_Ref21683266"/>
      <w:r w:rsidRPr="005244BD">
        <w:rPr>
          <w:rFonts w:asciiTheme="majorBidi" w:eastAsiaTheme="minorEastAsia" w:hAnsiTheme="majorBidi" w:cstheme="majorBidi"/>
          <w:b/>
          <w:bCs/>
          <w:iCs/>
          <w:sz w:val="20"/>
          <w:szCs w:val="20"/>
        </w:rPr>
        <w:t xml:space="preserve">Figure </w:t>
      </w:r>
      <w:r w:rsidRPr="005244BD">
        <w:rPr>
          <w:rFonts w:asciiTheme="majorBidi" w:eastAsiaTheme="minorEastAsia" w:hAnsiTheme="majorBidi" w:cstheme="majorBidi"/>
          <w:b/>
          <w:bCs/>
          <w:iCs/>
          <w:sz w:val="20"/>
          <w:szCs w:val="20"/>
        </w:rPr>
        <w:fldChar w:fldCharType="begin"/>
      </w:r>
      <w:r w:rsidRPr="005244BD">
        <w:rPr>
          <w:rFonts w:asciiTheme="majorBidi" w:eastAsiaTheme="minorEastAsia" w:hAnsiTheme="majorBidi" w:cstheme="majorBidi"/>
          <w:b/>
          <w:bCs/>
          <w:iCs/>
          <w:sz w:val="20"/>
          <w:szCs w:val="20"/>
        </w:rPr>
        <w:instrText xml:space="preserve"> SEQ Figure \* ARABIC </w:instrText>
      </w:r>
      <w:r w:rsidRPr="005244BD">
        <w:rPr>
          <w:rFonts w:asciiTheme="majorBidi" w:eastAsiaTheme="minorEastAsia" w:hAnsiTheme="majorBidi" w:cstheme="majorBidi"/>
          <w:b/>
          <w:bCs/>
          <w:iCs/>
          <w:sz w:val="20"/>
          <w:szCs w:val="20"/>
        </w:rPr>
        <w:fldChar w:fldCharType="separate"/>
      </w:r>
      <w:r w:rsidR="00EE0F85">
        <w:rPr>
          <w:rFonts w:asciiTheme="majorBidi" w:eastAsiaTheme="minorEastAsia" w:hAnsiTheme="majorBidi" w:cstheme="majorBidi"/>
          <w:b/>
          <w:bCs/>
          <w:iCs/>
          <w:noProof/>
          <w:sz w:val="20"/>
          <w:szCs w:val="20"/>
        </w:rPr>
        <w:t>8</w:t>
      </w:r>
      <w:r w:rsidRPr="005244BD">
        <w:rPr>
          <w:rFonts w:asciiTheme="majorBidi" w:eastAsiaTheme="minorEastAsia" w:hAnsiTheme="majorBidi" w:cstheme="majorBidi"/>
          <w:b/>
          <w:bCs/>
          <w:iCs/>
          <w:sz w:val="20"/>
          <w:szCs w:val="20"/>
        </w:rPr>
        <w:fldChar w:fldCharType="end"/>
      </w:r>
      <w:bookmarkEnd w:id="17"/>
      <w:r w:rsidRPr="005244BD">
        <w:rPr>
          <w:rFonts w:asciiTheme="majorBidi" w:eastAsiaTheme="minorEastAsia" w:hAnsiTheme="majorBidi" w:cstheme="majorBidi"/>
          <w:b/>
          <w:bCs/>
          <w:iCs/>
          <w:sz w:val="20"/>
          <w:szCs w:val="20"/>
        </w:rPr>
        <w:t>.</w:t>
      </w:r>
      <w:r w:rsidR="009746CD" w:rsidRPr="005244BD">
        <w:rPr>
          <w:rFonts w:asciiTheme="majorBidi" w:eastAsiaTheme="minorEastAsia" w:hAnsiTheme="majorBidi" w:cstheme="majorBidi"/>
          <w:b/>
          <w:bCs/>
          <w:iCs/>
          <w:sz w:val="20"/>
          <w:szCs w:val="20"/>
        </w:rPr>
        <w:t xml:space="preserve"> </w:t>
      </w:r>
      <w:r w:rsidR="002F0328" w:rsidRPr="005244BD">
        <w:rPr>
          <w:rFonts w:asciiTheme="majorBidi" w:eastAsiaTheme="minorEastAsia" w:hAnsiTheme="majorBidi" w:cstheme="majorBidi"/>
          <w:iCs/>
          <w:sz w:val="20"/>
          <w:szCs w:val="20"/>
        </w:rPr>
        <w:t xml:space="preserve">Main figure: </w:t>
      </w:r>
      <w:r w:rsidR="002F0328" w:rsidRPr="005244BD">
        <w:rPr>
          <w:rFonts w:ascii="Times New Roman" w:eastAsiaTheme="minorEastAsia" w:hAnsi="Times New Roman" w:cs="Times New Roman"/>
          <w:iCs/>
          <w:sz w:val="20"/>
          <w:szCs w:val="20"/>
        </w:rPr>
        <w:t>a</w:t>
      </w:r>
      <w:r w:rsidR="009746CD" w:rsidRPr="005244BD">
        <w:rPr>
          <w:rFonts w:ascii="Times New Roman" w:eastAsiaTheme="minorEastAsia" w:hAnsi="Times New Roman" w:cs="Times New Roman"/>
          <w:iCs/>
          <w:sz w:val="20"/>
          <w:szCs w:val="20"/>
        </w:rPr>
        <w:t xml:space="preserve">bsolute permeability as a function of porosity, </w:t>
      </w:r>
      <w:r w:rsidR="00461732" w:rsidRPr="00461732">
        <w:rPr>
          <w:rFonts w:ascii="Times New Roman" w:eastAsiaTheme="minorEastAsia" w:hAnsi="Times New Roman" w:cs="Times New Roman"/>
          <w:iCs/>
          <w:sz w:val="20"/>
          <w:szCs w:val="20"/>
        </w:rPr>
        <w:t>where</w:t>
      </w:r>
      <w:r w:rsidR="009746CD" w:rsidRPr="005244BD">
        <w:rPr>
          <w:rFonts w:ascii="Times New Roman" w:eastAsiaTheme="minorEastAsia" w:hAnsi="Times New Roman" w:cs="Times New Roman"/>
          <w:iCs/>
          <w:sz w:val="20"/>
          <w:szCs w:val="20"/>
        </w:rPr>
        <w:t xml:space="preserve"> biofilm is assumed as a</w:t>
      </w:r>
      <w:r w:rsidR="003764ED" w:rsidRPr="005244BD">
        <w:rPr>
          <w:rFonts w:ascii="Times New Roman" w:eastAsiaTheme="minorEastAsia" w:hAnsi="Times New Roman" w:cs="Times New Roman"/>
          <w:iCs/>
          <w:sz w:val="20"/>
          <w:szCs w:val="20"/>
        </w:rPr>
        <w:t>n</w:t>
      </w:r>
      <w:r w:rsidR="009746CD" w:rsidRPr="005244BD">
        <w:rPr>
          <w:rFonts w:ascii="Times New Roman" w:eastAsiaTheme="minorEastAsia" w:hAnsi="Times New Roman" w:cs="Times New Roman"/>
          <w:iCs/>
          <w:sz w:val="20"/>
          <w:szCs w:val="20"/>
        </w:rPr>
        <w:t xml:space="preserve"> </w:t>
      </w:r>
      <w:r w:rsidR="003764ED" w:rsidRPr="005244BD">
        <w:rPr>
          <w:rFonts w:ascii="Times New Roman" w:eastAsiaTheme="minorEastAsia" w:hAnsi="Times New Roman" w:cs="Times New Roman"/>
          <w:iCs/>
          <w:sz w:val="20"/>
          <w:szCs w:val="20"/>
        </w:rPr>
        <w:t xml:space="preserve">impermeable </w:t>
      </w:r>
      <w:r w:rsidR="009746CD" w:rsidRPr="005244BD">
        <w:rPr>
          <w:rFonts w:ascii="Times New Roman" w:eastAsiaTheme="minorEastAsia" w:hAnsi="Times New Roman" w:cs="Times New Roman"/>
          <w:iCs/>
          <w:sz w:val="20"/>
          <w:szCs w:val="20"/>
        </w:rPr>
        <w:t>/solid phase which adhere</w:t>
      </w:r>
      <w:r w:rsidR="002F0328" w:rsidRPr="005244BD">
        <w:rPr>
          <w:rFonts w:ascii="Times New Roman" w:eastAsiaTheme="minorEastAsia" w:hAnsi="Times New Roman" w:cs="Times New Roman"/>
          <w:iCs/>
          <w:sz w:val="20"/>
          <w:szCs w:val="20"/>
        </w:rPr>
        <w:t>s</w:t>
      </w:r>
      <w:r w:rsidR="009746CD" w:rsidRPr="005244BD">
        <w:rPr>
          <w:rFonts w:ascii="Times New Roman" w:eastAsiaTheme="minorEastAsia" w:hAnsi="Times New Roman" w:cs="Times New Roman"/>
          <w:iCs/>
          <w:sz w:val="20"/>
          <w:szCs w:val="20"/>
        </w:rPr>
        <w:t xml:space="preserve"> to the pore and throat surfaces, resulting in porosity reduction</w:t>
      </w:r>
      <w:r w:rsidR="002F0328" w:rsidRPr="005244BD">
        <w:rPr>
          <w:rFonts w:ascii="Times New Roman" w:eastAsiaTheme="minorEastAsia" w:hAnsi="Times New Roman" w:cs="Times New Roman"/>
          <w:iCs/>
          <w:sz w:val="20"/>
          <w:szCs w:val="20"/>
        </w:rPr>
        <w:t>.</w:t>
      </w:r>
      <w:r w:rsidR="009746CD" w:rsidRPr="005244BD">
        <w:rPr>
          <w:rFonts w:ascii="Times New Roman" w:eastAsiaTheme="minorEastAsia" w:hAnsi="Times New Roman" w:cs="Times New Roman"/>
          <w:iCs/>
          <w:sz w:val="20"/>
          <w:szCs w:val="20"/>
        </w:rPr>
        <w:t xml:space="preserve"> </w:t>
      </w:r>
      <w:r w:rsidR="002F0328" w:rsidRPr="005244BD">
        <w:rPr>
          <w:rFonts w:ascii="Times New Roman" w:eastAsiaTheme="minorEastAsia" w:hAnsi="Times New Roman" w:cs="Times New Roman"/>
          <w:iCs/>
          <w:sz w:val="20"/>
          <w:szCs w:val="20"/>
        </w:rPr>
        <w:t>I</w:t>
      </w:r>
      <w:r w:rsidR="009746CD" w:rsidRPr="005244BD">
        <w:rPr>
          <w:rFonts w:ascii="Times New Roman" w:eastAsiaTheme="minorEastAsia" w:hAnsi="Times New Roman" w:cs="Times New Roman"/>
          <w:iCs/>
          <w:sz w:val="20"/>
          <w:szCs w:val="20"/>
        </w:rPr>
        <w:t>nset: absolute permeability as a function of biomass.</w:t>
      </w:r>
      <w:r w:rsidR="00AF50D9" w:rsidRPr="005244BD">
        <w:rPr>
          <w:rFonts w:ascii="Times New Roman" w:eastAsiaTheme="minorEastAsia" w:hAnsi="Times New Roman" w:cs="Times New Roman"/>
          <w:iCs/>
          <w:sz w:val="20"/>
          <w:szCs w:val="20"/>
        </w:rPr>
        <w:t xml:space="preserve"> KC</w:t>
      </w:r>
      <w:r w:rsidR="002F0328" w:rsidRPr="005244BD">
        <w:rPr>
          <w:rFonts w:ascii="Times New Roman" w:eastAsiaTheme="minorEastAsia" w:hAnsi="Times New Roman" w:cs="Times New Roman"/>
          <w:iCs/>
          <w:sz w:val="20"/>
          <w:szCs w:val="20"/>
        </w:rPr>
        <w:t xml:space="preserve"> stands for</w:t>
      </w:r>
      <w:r w:rsidR="00AF50D9" w:rsidRPr="005244BD">
        <w:rPr>
          <w:rFonts w:ascii="Times New Roman" w:eastAsiaTheme="minorEastAsia" w:hAnsi="Times New Roman" w:cs="Times New Roman"/>
          <w:iCs/>
          <w:sz w:val="20"/>
          <w:szCs w:val="20"/>
        </w:rPr>
        <w:t xml:space="preserve"> Kozeny-Carman</w:t>
      </w:r>
      <w:r w:rsidR="002F0328" w:rsidRPr="005244BD">
        <w:rPr>
          <w:rFonts w:ascii="Times New Roman" w:eastAsiaTheme="minorEastAsia" w:hAnsi="Times New Roman" w:cs="Times New Roman"/>
          <w:iCs/>
          <w:sz w:val="20"/>
          <w:szCs w:val="20"/>
        </w:rPr>
        <w:t>.</w:t>
      </w:r>
      <w:r w:rsidR="001D5A48" w:rsidRPr="005244BD">
        <w:rPr>
          <w:rFonts w:ascii="Times New Roman" w:eastAsiaTheme="minorEastAsia" w:hAnsi="Times New Roman" w:cs="Times New Roman"/>
          <w:iCs/>
          <w:sz w:val="20"/>
          <w:szCs w:val="20"/>
        </w:rPr>
        <w:t xml:space="preserve"> </w:t>
      </w:r>
      <w:r w:rsidR="001D5A48" w:rsidRPr="005244BD">
        <w:rPr>
          <w:rFonts w:asciiTheme="majorBidi" w:eastAsiaTheme="minorEastAsia" w:hAnsiTheme="majorBidi" w:cstheme="majorBidi"/>
          <w:iCs/>
          <w:sz w:val="20"/>
          <w:szCs w:val="20"/>
        </w:rPr>
        <w:t>The initial permeability and porosity refer to the permeab</w:t>
      </w:r>
      <w:r w:rsidR="00246775">
        <w:rPr>
          <w:rFonts w:asciiTheme="majorBidi" w:eastAsiaTheme="minorEastAsia" w:hAnsiTheme="majorBidi" w:cstheme="majorBidi"/>
          <w:iCs/>
          <w:sz w:val="20"/>
          <w:szCs w:val="20"/>
        </w:rPr>
        <w:t xml:space="preserve">ility and porosity at the time </w:t>
      </w:r>
      <w:r w:rsidR="001D5A48" w:rsidRPr="005244BD">
        <w:rPr>
          <w:rFonts w:asciiTheme="majorBidi" w:eastAsiaTheme="minorEastAsia" w:hAnsiTheme="majorBidi" w:cstheme="majorBidi"/>
          <w:iCs/>
          <w:sz w:val="20"/>
          <w:szCs w:val="20"/>
        </w:rPr>
        <w:t>PVI=0 when the flow is started to inject.</w:t>
      </w:r>
    </w:p>
    <w:p w14:paraId="79846045" w14:textId="2C9BCBA1" w:rsidR="00FF05F4" w:rsidRPr="005244BD" w:rsidRDefault="00FF05F4" w:rsidP="00FF05F4">
      <w:pPr>
        <w:spacing w:line="480" w:lineRule="auto"/>
        <w:jc w:val="both"/>
        <w:rPr>
          <w:rFonts w:ascii="Times New Roman" w:eastAsiaTheme="minorEastAsia" w:hAnsi="Times New Roman" w:cs="Times New Roman"/>
          <w:iCs/>
          <w:sz w:val="20"/>
          <w:szCs w:val="20"/>
        </w:rPr>
      </w:pPr>
      <w:r w:rsidRPr="005244BD">
        <w:rPr>
          <w:rFonts w:asciiTheme="majorBidi" w:hAnsiTheme="majorBidi"/>
        </w:rPr>
        <w:lastRenderedPageBreak/>
        <w:t xml:space="preserve">The results also indicate that the permeability of uncorrelated pore networks was reduced more than that of correlated pore networks. This behaviour follows the trend of the amount of grown bacteria in the pore networks as shown in </w:t>
      </w:r>
      <w:r w:rsidRPr="005244BD">
        <w:rPr>
          <w:rFonts w:asciiTheme="majorBidi" w:hAnsiTheme="majorBidi"/>
          <w:b/>
          <w:bCs/>
        </w:rPr>
        <w:fldChar w:fldCharType="begin"/>
      </w:r>
      <w:r w:rsidRPr="005244BD">
        <w:rPr>
          <w:rFonts w:asciiTheme="majorBidi" w:hAnsiTheme="majorBidi"/>
          <w:b/>
          <w:bCs/>
        </w:rPr>
        <w:instrText xml:space="preserve"> REF _Ref15026069 \h  \* MERGEFORMAT </w:instrText>
      </w:r>
      <w:r w:rsidRPr="005244BD">
        <w:rPr>
          <w:rFonts w:asciiTheme="majorBidi" w:hAnsiTheme="majorBidi"/>
          <w:b/>
          <w:bCs/>
        </w:rPr>
      </w:r>
      <w:r w:rsidRPr="005244BD">
        <w:rPr>
          <w:rFonts w:asciiTheme="majorBidi" w:hAnsiTheme="majorBidi"/>
          <w:b/>
          <w:bCs/>
        </w:rPr>
        <w:fldChar w:fldCharType="separate"/>
      </w:r>
      <w:r w:rsidR="00EE0F85" w:rsidRPr="00EE0F85">
        <w:rPr>
          <w:rFonts w:asciiTheme="majorBidi" w:hAnsiTheme="majorBidi"/>
          <w:b/>
          <w:bCs/>
        </w:rPr>
        <w:t>Figure 5</w:t>
      </w:r>
      <w:r w:rsidRPr="005244BD">
        <w:rPr>
          <w:rFonts w:asciiTheme="majorBidi" w:hAnsiTheme="majorBidi"/>
          <w:b/>
          <w:bCs/>
        </w:rPr>
        <w:fldChar w:fldCharType="end"/>
      </w:r>
      <w:r w:rsidRPr="005244BD">
        <w:rPr>
          <w:rFonts w:asciiTheme="majorBidi" w:hAnsiTheme="majorBidi"/>
          <w:b/>
          <w:bCs/>
        </w:rPr>
        <w:t>.</w:t>
      </w:r>
      <w:r w:rsidRPr="005244BD">
        <w:rPr>
          <w:rFonts w:asciiTheme="majorBidi" w:hAnsiTheme="majorBidi"/>
        </w:rPr>
        <w:t xml:space="preserve"> This also corresponds to the volume change shown in </w:t>
      </w:r>
      <w:r w:rsidRPr="005244BD">
        <w:rPr>
          <w:rFonts w:asciiTheme="majorBidi" w:hAnsiTheme="majorBidi"/>
        </w:rPr>
        <w:fldChar w:fldCharType="begin"/>
      </w:r>
      <w:r w:rsidRPr="005244BD">
        <w:rPr>
          <w:rFonts w:asciiTheme="majorBidi" w:hAnsiTheme="majorBidi"/>
        </w:rPr>
        <w:instrText xml:space="preserve"> REF _Ref15044677 \h  \* MERGEFORMAT </w:instrText>
      </w:r>
      <w:r w:rsidRPr="005244BD">
        <w:rPr>
          <w:rFonts w:asciiTheme="majorBidi" w:hAnsiTheme="majorBidi"/>
        </w:rPr>
      </w:r>
      <w:r w:rsidRPr="005244BD">
        <w:rPr>
          <w:rFonts w:asciiTheme="majorBidi" w:hAnsiTheme="majorBidi"/>
        </w:rPr>
        <w:fldChar w:fldCharType="separate"/>
      </w:r>
      <w:r w:rsidR="00EE0F85" w:rsidRPr="00EE0F85">
        <w:rPr>
          <w:rFonts w:asciiTheme="majorBidi" w:eastAsiaTheme="minorEastAsia" w:hAnsiTheme="majorBidi" w:cstheme="majorBidi"/>
          <w:b/>
          <w:bCs/>
          <w:iCs/>
        </w:rPr>
        <w:t xml:space="preserve">Figure </w:t>
      </w:r>
      <w:r w:rsidR="00EE0F85" w:rsidRPr="00EE0F85">
        <w:rPr>
          <w:rFonts w:asciiTheme="majorBidi" w:eastAsiaTheme="minorEastAsia" w:hAnsiTheme="majorBidi" w:cstheme="majorBidi"/>
          <w:b/>
          <w:bCs/>
          <w:iCs/>
          <w:noProof/>
        </w:rPr>
        <w:t>9</w:t>
      </w:r>
      <w:r w:rsidRPr="005244BD">
        <w:rPr>
          <w:rFonts w:asciiTheme="majorBidi" w:hAnsiTheme="majorBidi"/>
        </w:rPr>
        <w:fldChar w:fldCharType="end"/>
      </w:r>
      <w:r w:rsidRPr="005244BD">
        <w:rPr>
          <w:rFonts w:asciiTheme="majorBidi" w:hAnsiTheme="majorBidi"/>
        </w:rPr>
        <w:t xml:space="preserve">. </w:t>
      </w:r>
      <w:r w:rsidRPr="005244BD">
        <w:rPr>
          <w:rFonts w:asciiTheme="majorBidi" w:hAnsiTheme="majorBidi"/>
        </w:rPr>
        <w:fldChar w:fldCharType="begin"/>
      </w:r>
      <w:r w:rsidRPr="005244BD">
        <w:rPr>
          <w:rFonts w:asciiTheme="majorBidi" w:hAnsiTheme="majorBidi"/>
        </w:rPr>
        <w:instrText xml:space="preserve"> REF _Ref15044677 \h  \* MERGEFORMAT </w:instrText>
      </w:r>
      <w:r w:rsidRPr="005244BD">
        <w:rPr>
          <w:rFonts w:asciiTheme="majorBidi" w:hAnsiTheme="majorBidi"/>
        </w:rPr>
      </w:r>
      <w:r w:rsidRPr="005244BD">
        <w:rPr>
          <w:rFonts w:asciiTheme="majorBidi" w:hAnsiTheme="majorBidi"/>
        </w:rPr>
        <w:fldChar w:fldCharType="separate"/>
      </w:r>
      <w:r w:rsidR="00EE0F85" w:rsidRPr="00EE0F85">
        <w:rPr>
          <w:rFonts w:asciiTheme="majorBidi" w:eastAsiaTheme="minorEastAsia" w:hAnsiTheme="majorBidi" w:cstheme="majorBidi"/>
          <w:b/>
          <w:bCs/>
          <w:iCs/>
        </w:rPr>
        <w:t xml:space="preserve">Figure </w:t>
      </w:r>
      <w:r w:rsidR="00EE0F85" w:rsidRPr="00EE0F85">
        <w:rPr>
          <w:rFonts w:asciiTheme="majorBidi" w:eastAsiaTheme="minorEastAsia" w:hAnsiTheme="majorBidi" w:cstheme="majorBidi"/>
          <w:b/>
          <w:bCs/>
          <w:iCs/>
          <w:noProof/>
        </w:rPr>
        <w:t>9</w:t>
      </w:r>
      <w:r w:rsidRPr="005244BD">
        <w:rPr>
          <w:rFonts w:asciiTheme="majorBidi" w:hAnsiTheme="majorBidi"/>
        </w:rPr>
        <w:fldChar w:fldCharType="end"/>
      </w:r>
      <w:r w:rsidRPr="005244BD">
        <w:rPr>
          <w:rFonts w:asciiTheme="majorBidi" w:hAnsiTheme="majorBidi"/>
        </w:rPr>
        <w:t xml:space="preserve"> shows the histogram of the percentage of pore/throat volume decrement changes (at the end of the simulation when 99% of NAPL was recovered) relative to their initial volumes for different pore network structures. It clearly points out that the number of pore/throats which underwent more volume reduction in the correlated pore networks are less than uncorrelated pore networks. For example, while </w:t>
      </w:r>
      <m:oMath>
        <m:r>
          <w:rPr>
            <w:rFonts w:ascii="Cambria Math" w:hAnsi="Cambria Math"/>
          </w:rPr>
          <m:t>~</m:t>
        </m:r>
      </m:oMath>
      <w:r w:rsidRPr="005244BD">
        <w:rPr>
          <w:rFonts w:asciiTheme="majorBidi" w:hAnsiTheme="majorBidi"/>
        </w:rPr>
        <w:t xml:space="preserve">56% of pores have a reduction of their volumes by &lt;5% in the correlated pore networks, the reduction happened for less than </w:t>
      </w:r>
      <m:oMath>
        <m:r>
          <w:rPr>
            <w:rFonts w:ascii="Cambria Math" w:hAnsi="Cambria Math"/>
          </w:rPr>
          <m:t>~</m:t>
        </m:r>
      </m:oMath>
      <w:r w:rsidRPr="005244BD">
        <w:rPr>
          <w:rFonts w:asciiTheme="majorBidi" w:hAnsiTheme="majorBidi"/>
        </w:rPr>
        <w:t xml:space="preserve">15% of pores in the uncorrelated pore network. This indicates that the bio-growth was higher in the uncorrelated pore networks which results in more reduction in their porous space.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81936" w:rsidRPr="005244BD" w14:paraId="15CD4826" w14:textId="77777777" w:rsidTr="00F81936">
        <w:tc>
          <w:tcPr>
            <w:tcW w:w="4621" w:type="dxa"/>
          </w:tcPr>
          <w:p w14:paraId="65EAE447" w14:textId="77777777" w:rsidR="00F81936" w:rsidRPr="005244BD" w:rsidRDefault="00971480" w:rsidP="00F81936">
            <w:pPr>
              <w:spacing w:after="0" w:line="240" w:lineRule="auto"/>
              <w:jc w:val="both"/>
              <w:rPr>
                <w:rFonts w:asciiTheme="majorBidi" w:eastAsiaTheme="minorEastAsia" w:hAnsiTheme="majorBidi" w:cstheme="majorBidi"/>
                <w:iCs/>
                <w:sz w:val="20"/>
                <w:szCs w:val="20"/>
              </w:rPr>
            </w:pPr>
            <w:r w:rsidRPr="005244BD">
              <w:rPr>
                <w:rFonts w:asciiTheme="majorBidi" w:eastAsiaTheme="minorEastAsia" w:hAnsiTheme="majorBidi" w:cstheme="majorBidi"/>
                <w:iCs/>
                <w:noProof/>
                <w:sz w:val="20"/>
                <w:szCs w:val="20"/>
                <w:lang w:eastAsia="en-GB"/>
              </w:rPr>
              <w:drawing>
                <wp:inline distT="0" distB="0" distL="0" distR="0" wp14:anchorId="142D7F32" wp14:editId="01A1CBF2">
                  <wp:extent cx="2862000" cy="166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2000" cy="1663200"/>
                          </a:xfrm>
                          <a:prstGeom prst="rect">
                            <a:avLst/>
                          </a:prstGeom>
                          <a:noFill/>
                        </pic:spPr>
                      </pic:pic>
                    </a:graphicData>
                  </a:graphic>
                </wp:inline>
              </w:drawing>
            </w:r>
          </w:p>
          <w:p w14:paraId="1034C974" w14:textId="5E45BA68" w:rsidR="00971480" w:rsidRPr="005244BD" w:rsidRDefault="00971480" w:rsidP="00F81936">
            <w:pPr>
              <w:spacing w:after="0" w:line="240" w:lineRule="auto"/>
              <w:jc w:val="both"/>
              <w:rPr>
                <w:rFonts w:asciiTheme="majorBidi" w:eastAsiaTheme="minorEastAsia" w:hAnsiTheme="majorBidi" w:cstheme="majorBidi"/>
                <w:iCs/>
                <w:sz w:val="20"/>
                <w:szCs w:val="20"/>
              </w:rPr>
            </w:pPr>
          </w:p>
        </w:tc>
        <w:tc>
          <w:tcPr>
            <w:tcW w:w="4621" w:type="dxa"/>
          </w:tcPr>
          <w:p w14:paraId="54211FC9" w14:textId="7E690399" w:rsidR="00F81936" w:rsidRPr="005244BD" w:rsidRDefault="00971480" w:rsidP="00F81936">
            <w:pPr>
              <w:spacing w:after="0" w:line="240" w:lineRule="auto"/>
              <w:jc w:val="both"/>
              <w:rPr>
                <w:rFonts w:asciiTheme="majorBidi" w:eastAsiaTheme="minorEastAsia" w:hAnsiTheme="majorBidi" w:cstheme="majorBidi"/>
                <w:iCs/>
                <w:sz w:val="20"/>
                <w:szCs w:val="20"/>
              </w:rPr>
            </w:pPr>
            <w:r w:rsidRPr="005244BD">
              <w:rPr>
                <w:rFonts w:asciiTheme="majorBidi" w:eastAsiaTheme="minorEastAsia" w:hAnsiTheme="majorBidi" w:cstheme="majorBidi"/>
                <w:iCs/>
                <w:noProof/>
                <w:sz w:val="20"/>
                <w:szCs w:val="20"/>
                <w:lang w:eastAsia="en-GB"/>
              </w:rPr>
              <w:drawing>
                <wp:inline distT="0" distB="0" distL="0" distR="0" wp14:anchorId="38F15BEC" wp14:editId="5894E2E4">
                  <wp:extent cx="2862000" cy="1663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2000" cy="1663200"/>
                          </a:xfrm>
                          <a:prstGeom prst="rect">
                            <a:avLst/>
                          </a:prstGeom>
                          <a:noFill/>
                        </pic:spPr>
                      </pic:pic>
                    </a:graphicData>
                  </a:graphic>
                </wp:inline>
              </w:drawing>
            </w:r>
          </w:p>
        </w:tc>
      </w:tr>
      <w:tr w:rsidR="00F81936" w:rsidRPr="005244BD" w14:paraId="5D2AA839" w14:textId="77777777" w:rsidTr="00F81936">
        <w:tc>
          <w:tcPr>
            <w:tcW w:w="4621" w:type="dxa"/>
          </w:tcPr>
          <w:p w14:paraId="7F55A361" w14:textId="7816B04E" w:rsidR="00F81936" w:rsidRPr="005244BD" w:rsidRDefault="00F81936" w:rsidP="00F81936">
            <w:pPr>
              <w:spacing w:after="0" w:line="240" w:lineRule="auto"/>
              <w:jc w:val="center"/>
              <w:rPr>
                <w:rFonts w:asciiTheme="majorBidi" w:eastAsiaTheme="minorEastAsia" w:hAnsiTheme="majorBidi" w:cstheme="majorBidi"/>
                <w:b/>
                <w:iCs/>
                <w:sz w:val="20"/>
                <w:szCs w:val="20"/>
              </w:rPr>
            </w:pPr>
            <w:r w:rsidRPr="005244BD">
              <w:rPr>
                <w:rFonts w:asciiTheme="majorBidi" w:eastAsiaTheme="minorEastAsia" w:hAnsiTheme="majorBidi" w:cstheme="majorBidi"/>
                <w:b/>
                <w:iCs/>
                <w:sz w:val="20"/>
                <w:szCs w:val="20"/>
              </w:rPr>
              <w:t>(a)</w:t>
            </w:r>
          </w:p>
        </w:tc>
        <w:tc>
          <w:tcPr>
            <w:tcW w:w="4621" w:type="dxa"/>
          </w:tcPr>
          <w:p w14:paraId="1369CEAE" w14:textId="2EF95C79" w:rsidR="00F81936" w:rsidRPr="005244BD" w:rsidRDefault="00F81936" w:rsidP="00F81936">
            <w:pPr>
              <w:spacing w:after="0" w:line="240" w:lineRule="auto"/>
              <w:jc w:val="center"/>
              <w:rPr>
                <w:rFonts w:asciiTheme="majorBidi" w:eastAsiaTheme="minorEastAsia" w:hAnsiTheme="majorBidi" w:cstheme="majorBidi"/>
                <w:b/>
                <w:iCs/>
                <w:sz w:val="20"/>
                <w:szCs w:val="20"/>
              </w:rPr>
            </w:pPr>
            <w:r w:rsidRPr="005244BD">
              <w:rPr>
                <w:rFonts w:asciiTheme="majorBidi" w:eastAsiaTheme="minorEastAsia" w:hAnsiTheme="majorBidi" w:cstheme="majorBidi"/>
                <w:b/>
                <w:iCs/>
                <w:sz w:val="20"/>
                <w:szCs w:val="20"/>
              </w:rPr>
              <w:t>(b)</w:t>
            </w:r>
          </w:p>
        </w:tc>
      </w:tr>
    </w:tbl>
    <w:p w14:paraId="714F4225" w14:textId="1B07A4ED" w:rsidR="001E68C9" w:rsidRDefault="00A614C3" w:rsidP="00772167">
      <w:pPr>
        <w:spacing w:after="0" w:line="480" w:lineRule="auto"/>
        <w:jc w:val="both"/>
        <w:rPr>
          <w:rFonts w:asciiTheme="majorBidi" w:eastAsiaTheme="minorEastAsia" w:hAnsiTheme="majorBidi" w:cstheme="majorBidi"/>
          <w:iCs/>
          <w:sz w:val="20"/>
          <w:szCs w:val="20"/>
        </w:rPr>
      </w:pPr>
      <w:bookmarkStart w:id="18" w:name="_Ref15044677"/>
      <w:r w:rsidRPr="005244BD">
        <w:rPr>
          <w:rFonts w:asciiTheme="majorBidi" w:eastAsiaTheme="minorEastAsia" w:hAnsiTheme="majorBidi" w:cstheme="majorBidi"/>
          <w:b/>
          <w:bCs/>
          <w:iCs/>
          <w:sz w:val="20"/>
          <w:szCs w:val="20"/>
        </w:rPr>
        <w:t xml:space="preserve">Figure </w:t>
      </w:r>
      <w:r w:rsidRPr="005244BD">
        <w:rPr>
          <w:rFonts w:asciiTheme="majorBidi" w:eastAsiaTheme="minorEastAsia" w:hAnsiTheme="majorBidi" w:cstheme="majorBidi"/>
          <w:b/>
          <w:bCs/>
          <w:iCs/>
          <w:sz w:val="20"/>
          <w:szCs w:val="20"/>
        </w:rPr>
        <w:fldChar w:fldCharType="begin"/>
      </w:r>
      <w:r w:rsidRPr="005244BD">
        <w:rPr>
          <w:rFonts w:asciiTheme="majorBidi" w:eastAsiaTheme="minorEastAsia" w:hAnsiTheme="majorBidi" w:cstheme="majorBidi"/>
          <w:b/>
          <w:bCs/>
          <w:iCs/>
          <w:sz w:val="20"/>
          <w:szCs w:val="20"/>
        </w:rPr>
        <w:instrText xml:space="preserve"> SEQ Figure \* ARABIC </w:instrText>
      </w:r>
      <w:r w:rsidRPr="005244BD">
        <w:rPr>
          <w:rFonts w:asciiTheme="majorBidi" w:eastAsiaTheme="minorEastAsia" w:hAnsiTheme="majorBidi" w:cstheme="majorBidi"/>
          <w:b/>
          <w:bCs/>
          <w:iCs/>
          <w:sz w:val="20"/>
          <w:szCs w:val="20"/>
        </w:rPr>
        <w:fldChar w:fldCharType="separate"/>
      </w:r>
      <w:r w:rsidR="00EE0F85">
        <w:rPr>
          <w:rFonts w:asciiTheme="majorBidi" w:eastAsiaTheme="minorEastAsia" w:hAnsiTheme="majorBidi" w:cstheme="majorBidi"/>
          <w:b/>
          <w:bCs/>
          <w:iCs/>
          <w:noProof/>
          <w:sz w:val="20"/>
          <w:szCs w:val="20"/>
        </w:rPr>
        <w:t>9</w:t>
      </w:r>
      <w:r w:rsidRPr="005244BD">
        <w:rPr>
          <w:rFonts w:asciiTheme="majorBidi" w:eastAsiaTheme="minorEastAsia" w:hAnsiTheme="majorBidi" w:cstheme="majorBidi"/>
          <w:b/>
          <w:bCs/>
          <w:iCs/>
          <w:sz w:val="20"/>
          <w:szCs w:val="20"/>
        </w:rPr>
        <w:fldChar w:fldCharType="end"/>
      </w:r>
      <w:bookmarkEnd w:id="18"/>
      <w:r w:rsidRPr="005244BD">
        <w:rPr>
          <w:rFonts w:asciiTheme="majorBidi" w:eastAsiaTheme="minorEastAsia" w:hAnsiTheme="majorBidi" w:cstheme="majorBidi"/>
          <w:b/>
          <w:bCs/>
          <w:iCs/>
          <w:sz w:val="20"/>
          <w:szCs w:val="20"/>
        </w:rPr>
        <w:t>.</w:t>
      </w:r>
      <w:r w:rsidRPr="005244BD">
        <w:rPr>
          <w:rFonts w:asciiTheme="majorBidi" w:eastAsiaTheme="minorEastAsia" w:hAnsiTheme="majorBidi" w:cstheme="majorBidi"/>
          <w:iCs/>
          <w:sz w:val="20"/>
          <w:szCs w:val="20"/>
        </w:rPr>
        <w:t xml:space="preserve"> Histogram of </w:t>
      </w:r>
      <w:r w:rsidR="00E4078A" w:rsidRPr="005244BD">
        <w:rPr>
          <w:rFonts w:asciiTheme="majorBidi" w:eastAsiaTheme="minorEastAsia" w:hAnsiTheme="majorBidi" w:cstheme="majorBidi"/>
          <w:iCs/>
          <w:sz w:val="20"/>
          <w:szCs w:val="20"/>
        </w:rPr>
        <w:t xml:space="preserve">the </w:t>
      </w:r>
      <w:r w:rsidRPr="005244BD">
        <w:rPr>
          <w:rFonts w:asciiTheme="majorBidi" w:eastAsiaTheme="minorEastAsia" w:hAnsiTheme="majorBidi" w:cstheme="majorBidi"/>
          <w:iCs/>
          <w:sz w:val="20"/>
          <w:szCs w:val="20"/>
        </w:rPr>
        <w:t xml:space="preserve">percentage of volume change reduction (at the end of </w:t>
      </w:r>
      <w:r w:rsidR="00A45EF5" w:rsidRPr="005244BD">
        <w:rPr>
          <w:rFonts w:asciiTheme="majorBidi" w:eastAsiaTheme="minorEastAsia" w:hAnsiTheme="majorBidi" w:cstheme="majorBidi"/>
          <w:iCs/>
          <w:sz w:val="20"/>
          <w:szCs w:val="20"/>
        </w:rPr>
        <w:t xml:space="preserve">the </w:t>
      </w:r>
      <w:r w:rsidR="00E4078A" w:rsidRPr="005244BD">
        <w:rPr>
          <w:rFonts w:asciiTheme="majorBidi" w:eastAsiaTheme="minorEastAsia" w:hAnsiTheme="majorBidi" w:cstheme="majorBidi"/>
          <w:iCs/>
          <w:sz w:val="20"/>
          <w:szCs w:val="20"/>
        </w:rPr>
        <w:t>simulation when</w:t>
      </w:r>
      <w:r w:rsidRPr="005244BD">
        <w:rPr>
          <w:rFonts w:asciiTheme="majorBidi" w:eastAsiaTheme="minorEastAsia" w:hAnsiTheme="majorBidi" w:cstheme="majorBidi"/>
          <w:iCs/>
          <w:sz w:val="20"/>
          <w:szCs w:val="20"/>
        </w:rPr>
        <w:t xml:space="preserve"> 99% of NAPL was recovered) relative to the initial volume for (a) pore bodies, and (b) pore throats for different pore network structures</w:t>
      </w:r>
      <w:r w:rsidR="006F3BAD" w:rsidRPr="005244BD">
        <w:rPr>
          <w:rFonts w:asciiTheme="majorBidi" w:eastAsiaTheme="minorEastAsia" w:hAnsiTheme="majorBidi" w:cstheme="majorBidi"/>
          <w:iCs/>
          <w:sz w:val="20"/>
          <w:szCs w:val="20"/>
        </w:rPr>
        <w:t xml:space="preserve"> with an initial NAPL saturation of 40%.</w:t>
      </w:r>
      <w:r w:rsidRPr="005244BD">
        <w:rPr>
          <w:rFonts w:asciiTheme="majorBidi" w:eastAsiaTheme="minorEastAsia" w:hAnsiTheme="majorBidi" w:cstheme="majorBidi"/>
          <w:iCs/>
          <w:sz w:val="20"/>
          <w:szCs w:val="20"/>
        </w:rPr>
        <w:t xml:space="preserve"> </w:t>
      </w:r>
    </w:p>
    <w:p w14:paraId="2124FD37" w14:textId="2D987091" w:rsidR="00B73987" w:rsidRPr="005244BD" w:rsidRDefault="007049CE" w:rsidP="00F557CD">
      <w:pPr>
        <w:pStyle w:val="Heading1"/>
        <w:spacing w:line="480" w:lineRule="auto"/>
        <w:rPr>
          <w:rFonts w:asciiTheme="majorBidi" w:hAnsiTheme="majorBidi"/>
        </w:rPr>
      </w:pPr>
      <w:r w:rsidRPr="005244BD">
        <w:rPr>
          <w:rFonts w:asciiTheme="majorBidi" w:hAnsiTheme="majorBidi"/>
        </w:rPr>
        <w:t>4</w:t>
      </w:r>
      <w:r w:rsidR="00B73987" w:rsidRPr="005244BD">
        <w:rPr>
          <w:rFonts w:asciiTheme="majorBidi" w:hAnsiTheme="majorBidi"/>
        </w:rPr>
        <w:t xml:space="preserve"> – </w:t>
      </w:r>
      <w:r w:rsidR="00F557CD">
        <w:rPr>
          <w:rFonts w:asciiTheme="majorBidi" w:hAnsiTheme="majorBidi"/>
        </w:rPr>
        <w:t>Discussions about assumptions, c</w:t>
      </w:r>
      <w:r w:rsidR="00B73987" w:rsidRPr="005244BD">
        <w:rPr>
          <w:rFonts w:asciiTheme="majorBidi" w:hAnsiTheme="majorBidi"/>
        </w:rPr>
        <w:t>onclusion</w:t>
      </w:r>
      <w:r w:rsidR="0079567A" w:rsidRPr="005244BD">
        <w:rPr>
          <w:rFonts w:asciiTheme="majorBidi" w:hAnsiTheme="majorBidi"/>
        </w:rPr>
        <w:t>s</w:t>
      </w:r>
      <w:r w:rsidR="00B73987" w:rsidRPr="005244BD">
        <w:rPr>
          <w:rFonts w:asciiTheme="majorBidi" w:hAnsiTheme="majorBidi"/>
        </w:rPr>
        <w:t xml:space="preserve"> </w:t>
      </w:r>
      <w:r w:rsidR="00D31554">
        <w:rPr>
          <w:rFonts w:asciiTheme="majorBidi" w:hAnsiTheme="majorBidi"/>
        </w:rPr>
        <w:t>and future works</w:t>
      </w:r>
    </w:p>
    <w:p w14:paraId="5EB5944B" w14:textId="6B28CF35" w:rsidR="00427C38" w:rsidRPr="00290179" w:rsidRDefault="006B7287" w:rsidP="006B7287">
      <w:pPr>
        <w:spacing w:line="480" w:lineRule="auto"/>
        <w:jc w:val="both"/>
        <w:rPr>
          <w:rFonts w:ascii="Times New Roman" w:hAnsi="Times New Roman" w:cs="Times New Roman"/>
        </w:rPr>
      </w:pPr>
      <w:r>
        <w:rPr>
          <w:rFonts w:asciiTheme="majorBidi" w:hAnsiTheme="majorBidi" w:cstheme="majorBidi"/>
        </w:rPr>
        <w:t>In this work, n</w:t>
      </w:r>
      <w:r w:rsidR="000F0AFC" w:rsidRPr="00290179">
        <w:rPr>
          <w:rFonts w:asciiTheme="majorBidi" w:hAnsiTheme="majorBidi" w:cstheme="majorBidi"/>
        </w:rPr>
        <w:t>atural bioremediation and dissolution</w:t>
      </w:r>
      <w:r w:rsidR="000F0AFC" w:rsidRPr="00290179">
        <w:rPr>
          <w:rFonts w:ascii="Times New Roman" w:hAnsi="Times New Roman" w:cs="Times New Roman"/>
        </w:rPr>
        <w:t xml:space="preserve"> of NAPL were investigated using three-dimensional pore network modelling. Firstly an idealized condition was assumed where t</w:t>
      </w:r>
      <w:r w:rsidR="00290179">
        <w:rPr>
          <w:rFonts w:ascii="Times New Roman" w:hAnsi="Times New Roman" w:cs="Times New Roman"/>
        </w:rPr>
        <w:t>he pores were fully NAPL-filled</w:t>
      </w:r>
      <w:r w:rsidR="001F0A5C">
        <w:rPr>
          <w:rFonts w:ascii="Times New Roman" w:hAnsi="Times New Roman" w:cs="Times New Roman"/>
        </w:rPr>
        <w:t xml:space="preserve"> and </w:t>
      </w:r>
      <w:r w:rsidR="001F0A5C">
        <w:rPr>
          <w:rFonts w:asciiTheme="majorBidi" w:eastAsiaTheme="minorEastAsia" w:hAnsiTheme="majorBidi" w:cstheme="majorBidi"/>
          <w:iCs/>
          <w:szCs w:val="18"/>
        </w:rPr>
        <w:t>a</w:t>
      </w:r>
      <w:r w:rsidR="001F0A5C" w:rsidRPr="005D1CF6">
        <w:rPr>
          <w:rFonts w:asciiTheme="majorBidi" w:eastAsiaTheme="minorEastAsia" w:hAnsiTheme="majorBidi" w:cstheme="majorBidi"/>
          <w:iCs/>
          <w:szCs w:val="18"/>
        </w:rPr>
        <w:t xml:space="preserve"> large excess of electron acceptor (</w:t>
      </w:r>
      <w:r w:rsidR="001F0A5C" w:rsidRPr="005D1CF6">
        <w:rPr>
          <w:rFonts w:asciiTheme="majorBidi" w:eastAsiaTheme="minorEastAsia" w:hAnsiTheme="majorBidi" w:cstheme="majorBidi"/>
          <w:i/>
          <w:szCs w:val="18"/>
        </w:rPr>
        <w:t>e.g.</w:t>
      </w:r>
      <w:r w:rsidR="001F0A5C" w:rsidRPr="005D1CF6">
        <w:rPr>
          <w:rFonts w:asciiTheme="majorBidi" w:eastAsiaTheme="minorEastAsia" w:hAnsiTheme="majorBidi" w:cstheme="majorBidi"/>
          <w:iCs/>
          <w:szCs w:val="18"/>
        </w:rPr>
        <w:t xml:space="preserve"> Oxygen)</w:t>
      </w:r>
      <w:r w:rsidR="001F0A5C">
        <w:rPr>
          <w:rFonts w:asciiTheme="majorBidi" w:eastAsiaTheme="minorEastAsia" w:hAnsiTheme="majorBidi" w:cstheme="majorBidi"/>
          <w:iCs/>
          <w:szCs w:val="18"/>
        </w:rPr>
        <w:t xml:space="preserve"> is available, leading to </w:t>
      </w:r>
      <w:r w:rsidR="00290179">
        <w:rPr>
          <w:rFonts w:ascii="Times New Roman" w:hAnsi="Times New Roman" w:cs="Times New Roman"/>
        </w:rPr>
        <w:t>overestimation of biodegradation in our modelling</w:t>
      </w:r>
      <w:r w:rsidR="001F0A5C">
        <w:rPr>
          <w:rFonts w:ascii="Times New Roman" w:hAnsi="Times New Roman" w:cs="Times New Roman"/>
        </w:rPr>
        <w:t>. However</w:t>
      </w:r>
      <w:r>
        <w:rPr>
          <w:rFonts w:ascii="Times New Roman" w:hAnsi="Times New Roman" w:cs="Times New Roman"/>
        </w:rPr>
        <w:t>,</w:t>
      </w:r>
      <w:r w:rsidR="00290179">
        <w:rPr>
          <w:rFonts w:ascii="Times New Roman" w:hAnsi="Times New Roman" w:cs="Times New Roman"/>
        </w:rPr>
        <w:t xml:space="preserve"> we ignored corner flow </w:t>
      </w:r>
      <w:r w:rsidR="00290179" w:rsidRPr="00290179">
        <w:rPr>
          <w:rFonts w:ascii="Times New Roman" w:eastAsiaTheme="minorEastAsia" w:hAnsi="Times New Roman" w:cs="Times New Roman"/>
          <w:lang w:val="en-US"/>
        </w:rPr>
        <w:t>(</w:t>
      </w:r>
      <w:r w:rsidR="00290179" w:rsidRPr="00290179">
        <w:rPr>
          <w:rFonts w:asciiTheme="majorBidi" w:eastAsiaTheme="minorEastAsia" w:hAnsiTheme="majorBidi" w:cstheme="majorBidi"/>
          <w:iCs/>
        </w:rPr>
        <w:t>allowing for flow of water along the corners of pores and throats containing trapped NAPL ganglia</w:t>
      </w:r>
      <w:r w:rsidR="00290179" w:rsidRPr="00290179">
        <w:rPr>
          <w:rFonts w:ascii="Times New Roman" w:eastAsiaTheme="minorEastAsia" w:hAnsi="Times New Roman" w:cs="Times New Roman"/>
          <w:lang w:val="en-US"/>
        </w:rPr>
        <w:t>)</w:t>
      </w:r>
      <w:r w:rsidR="00290179">
        <w:rPr>
          <w:rFonts w:ascii="Times New Roman" w:hAnsi="Times New Roman" w:cs="Times New Roman"/>
        </w:rPr>
        <w:t xml:space="preserve">, and by doing </w:t>
      </w:r>
      <w:r w:rsidR="00290179">
        <w:rPr>
          <w:rFonts w:ascii="Times New Roman" w:hAnsi="Times New Roman" w:cs="Times New Roman"/>
        </w:rPr>
        <w:lastRenderedPageBreak/>
        <w:t xml:space="preserve">so the biodegradation rate </w:t>
      </w:r>
      <w:r w:rsidR="001F0A5C">
        <w:rPr>
          <w:rFonts w:ascii="Times New Roman" w:hAnsi="Times New Roman" w:cs="Times New Roman"/>
        </w:rPr>
        <w:t>was</w:t>
      </w:r>
      <w:r w:rsidR="00290179">
        <w:rPr>
          <w:rFonts w:ascii="Times New Roman" w:hAnsi="Times New Roman" w:cs="Times New Roman"/>
        </w:rPr>
        <w:t xml:space="preserve"> adversely affected. </w:t>
      </w:r>
      <w:r>
        <w:rPr>
          <w:rFonts w:ascii="Times New Roman" w:eastAsiaTheme="minorEastAsia" w:hAnsi="Times New Roman" w:cs="Times New Roman"/>
          <w:lang w:val="en-US"/>
        </w:rPr>
        <w:t>In presence of</w:t>
      </w:r>
      <w:r w:rsidR="000F0AFC" w:rsidRPr="00290179">
        <w:rPr>
          <w:rFonts w:ascii="Times New Roman" w:eastAsiaTheme="minorEastAsia" w:hAnsi="Times New Roman" w:cs="Times New Roman"/>
          <w:lang w:val="en-US"/>
        </w:rPr>
        <w:t xml:space="preserve"> th</w:t>
      </w:r>
      <w:r w:rsidR="001F0A5C">
        <w:rPr>
          <w:rFonts w:ascii="Times New Roman" w:eastAsiaTheme="minorEastAsia" w:hAnsi="Times New Roman" w:cs="Times New Roman"/>
          <w:lang w:val="en-US"/>
        </w:rPr>
        <w:t>ese</w:t>
      </w:r>
      <w:r w:rsidR="000F0AFC" w:rsidRPr="00290179">
        <w:rPr>
          <w:rFonts w:ascii="Times New Roman" w:eastAsiaTheme="minorEastAsia" w:hAnsi="Times New Roman" w:cs="Times New Roman"/>
          <w:lang w:val="en-US"/>
        </w:rPr>
        <w:t xml:space="preserve"> </w:t>
      </w:r>
      <w:r>
        <w:rPr>
          <w:rFonts w:ascii="Times New Roman" w:eastAsiaTheme="minorEastAsia" w:hAnsi="Times New Roman" w:cs="Times New Roman"/>
          <w:lang w:val="en-US"/>
        </w:rPr>
        <w:t>limiting</w:t>
      </w:r>
      <w:r w:rsidR="000F0AFC" w:rsidRPr="00290179">
        <w:rPr>
          <w:rFonts w:ascii="Times New Roman" w:eastAsiaTheme="minorEastAsia" w:hAnsi="Times New Roman" w:cs="Times New Roman"/>
          <w:lang w:val="en-US"/>
        </w:rPr>
        <w:t xml:space="preserve"> assumption</w:t>
      </w:r>
      <w:r w:rsidR="001F0A5C">
        <w:rPr>
          <w:rFonts w:ascii="Times New Roman" w:eastAsiaTheme="minorEastAsia" w:hAnsi="Times New Roman" w:cs="Times New Roman"/>
          <w:lang w:val="en-US"/>
        </w:rPr>
        <w:t>s</w:t>
      </w:r>
      <w:r w:rsidR="000F0AFC" w:rsidRPr="00290179">
        <w:rPr>
          <w:rFonts w:ascii="Times New Roman" w:eastAsiaTheme="minorEastAsia" w:hAnsi="Times New Roman" w:cs="Times New Roman"/>
          <w:lang w:val="en-US"/>
        </w:rPr>
        <w:t xml:space="preserve">, </w:t>
      </w:r>
      <w:r w:rsidR="00290179">
        <w:rPr>
          <w:rFonts w:ascii="Times New Roman" w:eastAsiaTheme="minorEastAsia" w:hAnsi="Times New Roman" w:cs="Times New Roman"/>
          <w:lang w:val="en-US"/>
        </w:rPr>
        <w:t>we</w:t>
      </w:r>
      <w:r w:rsidR="00427C38" w:rsidRPr="00290179">
        <w:rPr>
          <w:rFonts w:ascii="Times New Roman" w:hAnsi="Times New Roman" w:cs="Times New Roman"/>
        </w:rPr>
        <w:t xml:space="preserve"> found that structure</w:t>
      </w:r>
      <w:r w:rsidR="00A81516" w:rsidRPr="00290179">
        <w:rPr>
          <w:rFonts w:ascii="Times New Roman" w:hAnsi="Times New Roman" w:cs="Times New Roman"/>
        </w:rPr>
        <w:t>s</w:t>
      </w:r>
      <w:r w:rsidR="00427C38" w:rsidRPr="00290179">
        <w:rPr>
          <w:rFonts w:ascii="Times New Roman" w:hAnsi="Times New Roman" w:cs="Times New Roman"/>
        </w:rPr>
        <w:t xml:space="preserve"> </w:t>
      </w:r>
      <w:r w:rsidR="0088590B" w:rsidRPr="00290179">
        <w:rPr>
          <w:rFonts w:ascii="Times New Roman" w:hAnsi="Times New Roman" w:cs="Times New Roman"/>
        </w:rPr>
        <w:t xml:space="preserve">of pore network (in </w:t>
      </w:r>
      <w:r w:rsidR="000F0AFC" w:rsidRPr="00290179">
        <w:rPr>
          <w:rFonts w:ascii="Times New Roman" w:hAnsi="Times New Roman" w:cs="Times New Roman"/>
        </w:rPr>
        <w:t xml:space="preserve">the form of </w:t>
      </w:r>
      <w:r w:rsidR="00451451" w:rsidRPr="00290179">
        <w:rPr>
          <w:rFonts w:ascii="Times New Roman" w:hAnsi="Times New Roman" w:cs="Times New Roman"/>
        </w:rPr>
        <w:t xml:space="preserve">different </w:t>
      </w:r>
      <w:r w:rsidR="00427C38" w:rsidRPr="00290179">
        <w:rPr>
          <w:rFonts w:ascii="Times New Roman" w:hAnsi="Times New Roman" w:cs="Times New Roman"/>
        </w:rPr>
        <w:t>pore radii correlation lengths</w:t>
      </w:r>
      <w:r w:rsidR="0088590B" w:rsidRPr="00290179">
        <w:rPr>
          <w:rFonts w:ascii="Times New Roman" w:hAnsi="Times New Roman" w:cs="Times New Roman"/>
        </w:rPr>
        <w:t>)</w:t>
      </w:r>
      <w:r w:rsidR="00A81516" w:rsidRPr="00290179">
        <w:rPr>
          <w:rFonts w:ascii="Times New Roman" w:hAnsi="Times New Roman" w:cs="Times New Roman"/>
        </w:rPr>
        <w:t xml:space="preserve"> ha</w:t>
      </w:r>
      <w:r w:rsidR="001F0A5C">
        <w:rPr>
          <w:rFonts w:ascii="Times New Roman" w:hAnsi="Times New Roman" w:cs="Times New Roman"/>
        </w:rPr>
        <w:t>d</w:t>
      </w:r>
      <w:r w:rsidR="00A81516" w:rsidRPr="00290179">
        <w:rPr>
          <w:rFonts w:ascii="Times New Roman" w:hAnsi="Times New Roman" w:cs="Times New Roman"/>
        </w:rPr>
        <w:t xml:space="preserve"> a significant effect on the natural attenuation process. The results show</w:t>
      </w:r>
      <w:r w:rsidR="00FE20B0" w:rsidRPr="00290179">
        <w:rPr>
          <w:rFonts w:ascii="Times New Roman" w:hAnsi="Times New Roman" w:cs="Times New Roman"/>
        </w:rPr>
        <w:t>ed</w:t>
      </w:r>
      <w:r w:rsidR="00A81516" w:rsidRPr="00290179">
        <w:rPr>
          <w:rFonts w:ascii="Times New Roman" w:hAnsi="Times New Roman" w:cs="Times New Roman"/>
        </w:rPr>
        <w:t xml:space="preserve"> enhancement of natural attenuation process in the uncorrelated pore networks </w:t>
      </w:r>
      <w:r w:rsidR="0018134A" w:rsidRPr="00290179">
        <w:rPr>
          <w:rFonts w:ascii="Times New Roman" w:hAnsi="Times New Roman" w:cs="Times New Roman"/>
        </w:rPr>
        <w:t xml:space="preserve">due to the NAPL </w:t>
      </w:r>
      <w:r w:rsidR="0018134A">
        <w:rPr>
          <w:rFonts w:ascii="Times New Roman" w:hAnsi="Times New Roman" w:cs="Times New Roman"/>
        </w:rPr>
        <w:t xml:space="preserve">being well-distributed </w:t>
      </w:r>
      <w:r w:rsidR="0018134A" w:rsidRPr="00290179">
        <w:rPr>
          <w:rFonts w:ascii="Times New Roman" w:hAnsi="Times New Roman" w:cs="Times New Roman"/>
        </w:rPr>
        <w:t>through the pore network</w:t>
      </w:r>
      <w:r w:rsidR="00A81516" w:rsidRPr="00290179">
        <w:rPr>
          <w:rFonts w:ascii="Times New Roman" w:hAnsi="Times New Roman" w:cs="Times New Roman"/>
        </w:rPr>
        <w:t xml:space="preserve">. Two processes </w:t>
      </w:r>
      <w:r w:rsidR="001F0A5C">
        <w:rPr>
          <w:rFonts w:ascii="Times New Roman" w:hAnsi="Times New Roman" w:cs="Times New Roman"/>
        </w:rPr>
        <w:t>we</w:t>
      </w:r>
      <w:r w:rsidR="00A81516" w:rsidRPr="00290179">
        <w:rPr>
          <w:rFonts w:ascii="Times New Roman" w:hAnsi="Times New Roman" w:cs="Times New Roman"/>
        </w:rPr>
        <w:t>re suggested as being the root of the enhanced process of natural attenuation in the uncorrelated pore networks</w:t>
      </w:r>
      <w:r w:rsidR="0018134A">
        <w:rPr>
          <w:rFonts w:ascii="Times New Roman" w:hAnsi="Times New Roman" w:cs="Times New Roman"/>
        </w:rPr>
        <w:t xml:space="preserve"> </w:t>
      </w:r>
      <w:r w:rsidR="00D749AE">
        <w:rPr>
          <w:rFonts w:ascii="Times New Roman" w:hAnsi="Times New Roman" w:cs="Times New Roman"/>
        </w:rPr>
        <w:t>─</w:t>
      </w:r>
      <w:r w:rsidR="0018134A">
        <w:rPr>
          <w:rFonts w:ascii="Times New Roman" w:hAnsi="Times New Roman" w:cs="Times New Roman"/>
        </w:rPr>
        <w:t>that due to simplifying assumptions behave similar to batch-type biodegradation at idealized condition</w:t>
      </w:r>
      <w:r w:rsidR="00A81516" w:rsidRPr="00290179">
        <w:rPr>
          <w:rFonts w:ascii="Times New Roman" w:hAnsi="Times New Roman" w:cs="Times New Roman"/>
        </w:rPr>
        <w:t>: (1) enhancement in NAPL dissolution and (2) enhancement in biodegradation.</w:t>
      </w:r>
      <w:r w:rsidR="00E726CA" w:rsidRPr="00290179">
        <w:rPr>
          <w:rFonts w:ascii="Times New Roman" w:hAnsi="Times New Roman" w:cs="Times New Roman"/>
        </w:rPr>
        <w:t xml:space="preserve"> While NAPL biodegradation in the uncorrelated pore network</w:t>
      </w:r>
      <w:r w:rsidR="005E4170" w:rsidRPr="00290179">
        <w:rPr>
          <w:rFonts w:ascii="Times New Roman" w:hAnsi="Times New Roman" w:cs="Times New Roman"/>
        </w:rPr>
        <w:t xml:space="preserve"> was</w:t>
      </w:r>
      <w:r w:rsidR="00E726CA" w:rsidRPr="00290179">
        <w:rPr>
          <w:rFonts w:ascii="Times New Roman" w:hAnsi="Times New Roman" w:cs="Times New Roman"/>
        </w:rPr>
        <w:t xml:space="preserve"> higher</w:t>
      </w:r>
      <w:r w:rsidR="005E4170" w:rsidRPr="00290179">
        <w:rPr>
          <w:rFonts w:ascii="Times New Roman" w:hAnsi="Times New Roman" w:cs="Times New Roman"/>
        </w:rPr>
        <w:t xml:space="preserve"> than correlated pore network, more reduction was observed in the physical properties of uncorrelated pore network (</w:t>
      </w:r>
      <w:r w:rsidR="005E4170" w:rsidRPr="00290179">
        <w:rPr>
          <w:rFonts w:ascii="Times New Roman" w:hAnsi="Times New Roman" w:cs="Times New Roman"/>
          <w:i/>
          <w:iCs/>
        </w:rPr>
        <w:t>e.g.</w:t>
      </w:r>
      <w:r w:rsidR="00FE20B0" w:rsidRPr="00290179">
        <w:rPr>
          <w:rFonts w:ascii="Times New Roman" w:hAnsi="Times New Roman" w:cs="Times New Roman"/>
        </w:rPr>
        <w:t>,</w:t>
      </w:r>
      <w:r w:rsidR="005E4170" w:rsidRPr="00290179">
        <w:rPr>
          <w:rFonts w:ascii="Times New Roman" w:hAnsi="Times New Roman" w:cs="Times New Roman"/>
        </w:rPr>
        <w:t xml:space="preserve"> permeability and porosity) as more biomass was formed.</w:t>
      </w:r>
      <w:r w:rsidR="00C77EAF" w:rsidRPr="00290179">
        <w:rPr>
          <w:rFonts w:ascii="Times New Roman" w:hAnsi="Times New Roman" w:cs="Times New Roman"/>
        </w:rPr>
        <w:t xml:space="preserve"> </w:t>
      </w:r>
    </w:p>
    <w:p w14:paraId="4E96B3D2" w14:textId="2C14654A" w:rsidR="00D31554" w:rsidRDefault="006B7287" w:rsidP="00F557CD">
      <w:pPr>
        <w:spacing w:line="480" w:lineRule="auto"/>
        <w:jc w:val="both"/>
        <w:rPr>
          <w:rFonts w:ascii="Times New Roman" w:hAnsi="Times New Roman" w:cs="Times New Roman"/>
        </w:rPr>
      </w:pPr>
      <w:r>
        <w:rPr>
          <w:rFonts w:ascii="Times New Roman" w:hAnsi="Times New Roman" w:cs="Times New Roman"/>
        </w:rPr>
        <w:t>R</w:t>
      </w:r>
      <w:r w:rsidR="00C77EAF" w:rsidRPr="00290179">
        <w:rPr>
          <w:rFonts w:ascii="Times New Roman" w:hAnsi="Times New Roman" w:cs="Times New Roman"/>
        </w:rPr>
        <w:t xml:space="preserve">esults </w:t>
      </w:r>
      <w:r>
        <w:rPr>
          <w:rFonts w:ascii="Times New Roman" w:hAnsi="Times New Roman" w:cs="Times New Roman"/>
        </w:rPr>
        <w:t xml:space="preserve">also </w:t>
      </w:r>
      <w:r w:rsidR="00C77EAF" w:rsidRPr="00290179">
        <w:rPr>
          <w:rFonts w:ascii="Times New Roman" w:hAnsi="Times New Roman" w:cs="Times New Roman"/>
        </w:rPr>
        <w:t>indicate</w:t>
      </w:r>
      <w:r w:rsidR="00DE046B" w:rsidRPr="00290179">
        <w:rPr>
          <w:rFonts w:ascii="Times New Roman" w:hAnsi="Times New Roman" w:cs="Times New Roman"/>
        </w:rPr>
        <w:t>d</w:t>
      </w:r>
      <w:r w:rsidR="00C77EAF" w:rsidRPr="00290179">
        <w:rPr>
          <w:rFonts w:ascii="Times New Roman" w:hAnsi="Times New Roman" w:cs="Times New Roman"/>
        </w:rPr>
        <w:t xml:space="preserve"> that </w:t>
      </w:r>
      <w:r w:rsidR="00C77EAF" w:rsidRPr="005244BD">
        <w:rPr>
          <w:rFonts w:ascii="Times New Roman" w:hAnsi="Times New Roman" w:cs="Times New Roman"/>
        </w:rPr>
        <w:t xml:space="preserve">average </w:t>
      </w:r>
      <w:r w:rsidR="00BD17E3">
        <w:rPr>
          <w:rFonts w:asciiTheme="majorBidi" w:hAnsiTheme="majorBidi"/>
        </w:rPr>
        <w:t>specific bio-</w:t>
      </w:r>
      <w:r w:rsidR="00173781" w:rsidRPr="005244BD">
        <w:rPr>
          <w:rFonts w:asciiTheme="majorBidi" w:hAnsiTheme="majorBidi"/>
        </w:rPr>
        <w:t xml:space="preserve">growth rate </w:t>
      </w:r>
      <w:r w:rsidR="00C77EAF" w:rsidRPr="005244BD">
        <w:rPr>
          <w:rFonts w:ascii="Times New Roman" w:hAnsi="Times New Roman" w:cs="Times New Roman"/>
        </w:rPr>
        <w:t>deviate</w:t>
      </w:r>
      <w:r w:rsidR="00753198" w:rsidRPr="005244BD">
        <w:rPr>
          <w:rFonts w:ascii="Times New Roman" w:hAnsi="Times New Roman" w:cs="Times New Roman"/>
        </w:rPr>
        <w:t>d</w:t>
      </w:r>
      <w:r w:rsidR="00C77EAF" w:rsidRPr="005244BD">
        <w:rPr>
          <w:rFonts w:ascii="Times New Roman" w:hAnsi="Times New Roman" w:cs="Times New Roman"/>
        </w:rPr>
        <w:t xml:space="preserve"> from the </w:t>
      </w:r>
      <w:r w:rsidR="00753198" w:rsidRPr="005244BD">
        <w:rPr>
          <w:rFonts w:ascii="Times New Roman" w:hAnsi="Times New Roman" w:cs="Times New Roman"/>
        </w:rPr>
        <w:t xml:space="preserve">intrinsic </w:t>
      </w:r>
      <w:r w:rsidR="00173781" w:rsidRPr="005244BD">
        <w:rPr>
          <w:rFonts w:asciiTheme="majorBidi" w:hAnsiTheme="majorBidi"/>
        </w:rPr>
        <w:t xml:space="preserve">specific growth rate </w:t>
      </w:r>
      <w:r w:rsidR="00753198" w:rsidRPr="005244BD">
        <w:rPr>
          <w:rFonts w:ascii="Times New Roman" w:hAnsi="Times New Roman" w:cs="Times New Roman"/>
        </w:rPr>
        <w:t>in various pore network structures and</w:t>
      </w:r>
      <w:r w:rsidR="00C77EAF" w:rsidRPr="005244BD">
        <w:rPr>
          <w:rFonts w:ascii="Times New Roman" w:hAnsi="Times New Roman" w:cs="Times New Roman"/>
        </w:rPr>
        <w:t xml:space="preserve"> de</w:t>
      </w:r>
      <w:r w:rsidR="00FE20B0" w:rsidRPr="005244BD">
        <w:rPr>
          <w:rFonts w:ascii="Times New Roman" w:hAnsi="Times New Roman" w:cs="Times New Roman"/>
        </w:rPr>
        <w:t>creased with pore radii</w:t>
      </w:r>
      <w:r w:rsidR="00753198" w:rsidRPr="005244BD">
        <w:rPr>
          <w:rFonts w:ascii="Times New Roman" w:hAnsi="Times New Roman" w:cs="Times New Roman"/>
        </w:rPr>
        <w:t xml:space="preserve"> correlation length. Therefore, i</w:t>
      </w:r>
      <w:r w:rsidR="00C77EAF" w:rsidRPr="005244BD">
        <w:rPr>
          <w:rFonts w:ascii="Times New Roman" w:hAnsi="Times New Roman" w:cs="Times New Roman"/>
        </w:rPr>
        <w:t>n the real field</w:t>
      </w:r>
      <w:r w:rsidR="00753198" w:rsidRPr="005244BD">
        <w:rPr>
          <w:rFonts w:ascii="Times New Roman" w:hAnsi="Times New Roman" w:cs="Times New Roman"/>
        </w:rPr>
        <w:t xml:space="preserve"> application</w:t>
      </w:r>
      <w:r w:rsidR="00C77EAF" w:rsidRPr="005244BD">
        <w:rPr>
          <w:rFonts w:ascii="Times New Roman" w:hAnsi="Times New Roman" w:cs="Times New Roman"/>
        </w:rPr>
        <w:t xml:space="preserve">, </w:t>
      </w:r>
      <w:r w:rsidR="00753198" w:rsidRPr="005244BD">
        <w:rPr>
          <w:rFonts w:ascii="Times New Roman" w:hAnsi="Times New Roman" w:cs="Times New Roman"/>
        </w:rPr>
        <w:t xml:space="preserve">the parameters used for </w:t>
      </w:r>
      <w:r w:rsidR="00173781" w:rsidRPr="005244BD">
        <w:rPr>
          <w:rFonts w:asciiTheme="majorBidi" w:hAnsiTheme="majorBidi"/>
        </w:rPr>
        <w:t xml:space="preserve">specific </w:t>
      </w:r>
      <w:r w:rsidR="00B438D0">
        <w:rPr>
          <w:rFonts w:asciiTheme="majorBidi" w:hAnsiTheme="majorBidi"/>
        </w:rPr>
        <w:t>bio-</w:t>
      </w:r>
      <w:r w:rsidR="00173781" w:rsidRPr="005244BD">
        <w:rPr>
          <w:rFonts w:asciiTheme="majorBidi" w:hAnsiTheme="majorBidi"/>
        </w:rPr>
        <w:t xml:space="preserve">growth rate </w:t>
      </w:r>
      <w:r w:rsidR="00753198" w:rsidRPr="005244BD">
        <w:rPr>
          <w:rFonts w:ascii="Times New Roman" w:hAnsi="Times New Roman" w:cs="Times New Roman"/>
        </w:rPr>
        <w:t>(maximum reaction rate, inhibition coefficient, and half-saturation constant</w:t>
      </w:r>
      <w:r w:rsidR="00FE20B0" w:rsidRPr="005244BD">
        <w:rPr>
          <w:rFonts w:ascii="Times New Roman" w:hAnsi="Times New Roman" w:cs="Times New Roman"/>
        </w:rPr>
        <w:t>) should be up</w:t>
      </w:r>
      <w:r w:rsidR="00753198" w:rsidRPr="005244BD">
        <w:rPr>
          <w:rFonts w:ascii="Times New Roman" w:hAnsi="Times New Roman" w:cs="Times New Roman"/>
        </w:rPr>
        <w:t xml:space="preserve">scaled to be used in </w:t>
      </w:r>
      <w:r w:rsidR="00DE046B" w:rsidRPr="005244BD">
        <w:rPr>
          <w:rFonts w:ascii="Times New Roman" w:hAnsi="Times New Roman" w:cs="Times New Roman"/>
        </w:rPr>
        <w:t xml:space="preserve">the </w:t>
      </w:r>
      <w:r w:rsidR="00753198" w:rsidRPr="005244BD">
        <w:rPr>
          <w:rFonts w:ascii="Times New Roman" w:hAnsi="Times New Roman" w:cs="Times New Roman"/>
        </w:rPr>
        <w:t xml:space="preserve">continuum scale (Darcy scale) model </w:t>
      </w:r>
      <w:r w:rsidR="00B438D0">
        <w:rPr>
          <w:rFonts w:ascii="Times New Roman" w:hAnsi="Times New Roman" w:cs="Times New Roman"/>
        </w:rPr>
        <w:t xml:space="preserve">with respect to the </w:t>
      </w:r>
      <w:r w:rsidR="00753198" w:rsidRPr="005244BD">
        <w:rPr>
          <w:rFonts w:ascii="Times New Roman" w:hAnsi="Times New Roman" w:cs="Times New Roman"/>
        </w:rPr>
        <w:t xml:space="preserve">various </w:t>
      </w:r>
      <w:r w:rsidR="00B438D0">
        <w:rPr>
          <w:rFonts w:ascii="Times New Roman" w:hAnsi="Times New Roman" w:cs="Times New Roman"/>
        </w:rPr>
        <w:t xml:space="preserve">microscopic </w:t>
      </w:r>
      <w:r w:rsidR="00753198" w:rsidRPr="005244BD">
        <w:rPr>
          <w:rFonts w:ascii="Times New Roman" w:hAnsi="Times New Roman" w:cs="Times New Roman"/>
        </w:rPr>
        <w:t xml:space="preserve">heterogeneities of </w:t>
      </w:r>
      <w:r w:rsidR="00FE20B0" w:rsidRPr="005244BD">
        <w:rPr>
          <w:rFonts w:ascii="Times New Roman" w:hAnsi="Times New Roman" w:cs="Times New Roman"/>
        </w:rPr>
        <w:t xml:space="preserve">the </w:t>
      </w:r>
      <w:r w:rsidR="00753198" w:rsidRPr="005244BD">
        <w:rPr>
          <w:rFonts w:ascii="Times New Roman" w:hAnsi="Times New Roman" w:cs="Times New Roman"/>
        </w:rPr>
        <w:t xml:space="preserve">porous </w:t>
      </w:r>
      <w:r w:rsidR="00B438D0" w:rsidRPr="005244BD">
        <w:rPr>
          <w:rFonts w:ascii="Times New Roman" w:hAnsi="Times New Roman" w:cs="Times New Roman"/>
        </w:rPr>
        <w:t>medi</w:t>
      </w:r>
      <w:r w:rsidR="00B438D0">
        <w:rPr>
          <w:rFonts w:ascii="Times New Roman" w:hAnsi="Times New Roman" w:cs="Times New Roman"/>
        </w:rPr>
        <w:t>um</w:t>
      </w:r>
      <w:r w:rsidR="00753198" w:rsidRPr="005244BD">
        <w:rPr>
          <w:rFonts w:ascii="Times New Roman" w:hAnsi="Times New Roman" w:cs="Times New Roman"/>
        </w:rPr>
        <w:t xml:space="preserve">. </w:t>
      </w:r>
    </w:p>
    <w:p w14:paraId="0FBBF6BF" w14:textId="723FDE39" w:rsidR="00560FCC" w:rsidRDefault="001550C4" w:rsidP="006B7287">
      <w:pPr>
        <w:spacing w:after="0" w:line="480" w:lineRule="auto"/>
        <w:jc w:val="both"/>
        <w:rPr>
          <w:rFonts w:ascii="Times New Roman" w:hAnsi="Times New Roman" w:cs="Times New Roman"/>
        </w:rPr>
      </w:pPr>
      <w:r>
        <w:rPr>
          <w:rFonts w:asciiTheme="majorBidi" w:eastAsiaTheme="minorEastAsia" w:hAnsiTheme="majorBidi" w:cstheme="majorBidi"/>
          <w:iCs/>
        </w:rPr>
        <w:t xml:space="preserve">While in this work we showed how biofilm growth and NAPL dissolution </w:t>
      </w:r>
      <w:r w:rsidR="001F0A5C">
        <w:rPr>
          <w:rFonts w:asciiTheme="majorBidi" w:eastAsiaTheme="minorEastAsia" w:hAnsiTheme="majorBidi" w:cstheme="majorBidi"/>
          <w:iCs/>
        </w:rPr>
        <w:t>we</w:t>
      </w:r>
      <w:r>
        <w:rPr>
          <w:rFonts w:asciiTheme="majorBidi" w:eastAsiaTheme="minorEastAsia" w:hAnsiTheme="majorBidi" w:cstheme="majorBidi"/>
          <w:iCs/>
        </w:rPr>
        <w:t xml:space="preserve">re governed by microscopic heterogeneity of pore network structures (mainly through the initial distribution of NAPL in pores), this dependence will increase when more physically sound approaches for NAPL dissolution such as corner flow diffusion </w:t>
      </w:r>
      <w:r w:rsidR="001F0A5C">
        <w:rPr>
          <w:rFonts w:asciiTheme="majorBidi" w:eastAsiaTheme="minorEastAsia" w:hAnsiTheme="majorBidi" w:cstheme="majorBidi"/>
          <w:iCs/>
        </w:rPr>
        <w:t>or more realistic limitation for biodegradation</w:t>
      </w:r>
      <w:r w:rsidR="006B7287">
        <w:rPr>
          <w:rFonts w:asciiTheme="majorBidi" w:eastAsiaTheme="minorEastAsia" w:hAnsiTheme="majorBidi" w:cstheme="majorBidi"/>
          <w:iCs/>
        </w:rPr>
        <w:t xml:space="preserve"> (not all NAPL fully available to be remediated)</w:t>
      </w:r>
      <w:r w:rsidR="001F0A5C">
        <w:rPr>
          <w:rFonts w:asciiTheme="majorBidi" w:eastAsiaTheme="minorEastAsia" w:hAnsiTheme="majorBidi" w:cstheme="majorBidi"/>
          <w:iCs/>
        </w:rPr>
        <w:t xml:space="preserve"> are</w:t>
      </w:r>
      <w:r>
        <w:rPr>
          <w:rFonts w:asciiTheme="majorBidi" w:eastAsiaTheme="minorEastAsia" w:hAnsiTheme="majorBidi" w:cstheme="majorBidi"/>
          <w:iCs/>
        </w:rPr>
        <w:t xml:space="preserve"> considered. In such case</w:t>
      </w:r>
      <w:r w:rsidR="006B7287">
        <w:rPr>
          <w:rFonts w:asciiTheme="majorBidi" w:eastAsiaTheme="minorEastAsia" w:hAnsiTheme="majorBidi" w:cstheme="majorBidi"/>
          <w:iCs/>
        </w:rPr>
        <w:t>s</w:t>
      </w:r>
      <w:r>
        <w:rPr>
          <w:rFonts w:asciiTheme="majorBidi" w:eastAsiaTheme="minorEastAsia" w:hAnsiTheme="majorBidi" w:cstheme="majorBidi"/>
          <w:iCs/>
        </w:rPr>
        <w:t xml:space="preserve">, the difference </w:t>
      </w:r>
      <w:r w:rsidR="001F0A5C">
        <w:rPr>
          <w:rFonts w:asciiTheme="majorBidi" w:eastAsiaTheme="minorEastAsia" w:hAnsiTheme="majorBidi" w:cstheme="majorBidi"/>
          <w:iCs/>
        </w:rPr>
        <w:t xml:space="preserve">in </w:t>
      </w:r>
      <w:r>
        <w:rPr>
          <w:rFonts w:asciiTheme="majorBidi" w:eastAsiaTheme="minorEastAsia" w:hAnsiTheme="majorBidi" w:cstheme="majorBidi"/>
          <w:iCs/>
        </w:rPr>
        <w:t>the distribution pattern of NAPL ganglia will be more important as the throats can provide pathways for water flow to the pores that are filled with NAPL in clusters (correlated heterogeneity) rather than scattered blo</w:t>
      </w:r>
      <w:r w:rsidR="001F0A5C">
        <w:rPr>
          <w:rFonts w:asciiTheme="majorBidi" w:eastAsiaTheme="minorEastAsia" w:hAnsiTheme="majorBidi" w:cstheme="majorBidi"/>
          <w:iCs/>
        </w:rPr>
        <w:t xml:space="preserve">bs (uncorrelated heterogeneity), and also the limitation in biodegradation rate will lead to different interplay with NAPL dissolution for different structures. </w:t>
      </w:r>
      <w:r>
        <w:rPr>
          <w:rFonts w:asciiTheme="majorBidi" w:eastAsiaTheme="minorEastAsia" w:hAnsiTheme="majorBidi" w:cstheme="majorBidi"/>
          <w:iCs/>
        </w:rPr>
        <w:t>Therefore, t</w:t>
      </w:r>
      <w:r w:rsidR="00D31554">
        <w:rPr>
          <w:rFonts w:ascii="Times New Roman" w:hAnsi="Times New Roman" w:cs="Times New Roman"/>
        </w:rPr>
        <w:t>he future recommendation for a better prediction of pore scale biodegradation process is the use of dynamic pore network modelling</w:t>
      </w:r>
      <w:r w:rsidR="00461732">
        <w:rPr>
          <w:rFonts w:ascii="Times New Roman" w:hAnsi="Times New Roman" w:cs="Times New Roman"/>
        </w:rPr>
        <w:t xml:space="preserve"> </w:t>
      </w:r>
      <w:r w:rsidR="001F0A5C">
        <w:rPr>
          <w:rFonts w:ascii="Times New Roman" w:hAnsi="Times New Roman" w:cs="Times New Roman"/>
        </w:rPr>
        <w:t>and more realistic biodegradation models</w:t>
      </w:r>
      <w:r w:rsidR="00560FCC">
        <w:rPr>
          <w:rFonts w:ascii="Times New Roman" w:hAnsi="Times New Roman" w:cs="Times New Roman"/>
        </w:rPr>
        <w:t>.</w:t>
      </w:r>
    </w:p>
    <w:p w14:paraId="76753553" w14:textId="5A7C9647" w:rsidR="00461732" w:rsidRDefault="00560FCC" w:rsidP="00B82C3B">
      <w:pPr>
        <w:spacing w:after="0" w:line="480" w:lineRule="auto"/>
        <w:jc w:val="both"/>
        <w:rPr>
          <w:rFonts w:ascii="Times New Roman" w:hAnsi="Times New Roman" w:cs="Times New Roman"/>
        </w:rPr>
      </w:pPr>
      <w:r>
        <w:rPr>
          <w:rFonts w:ascii="Times New Roman" w:hAnsi="Times New Roman" w:cs="Times New Roman"/>
        </w:rPr>
        <w:lastRenderedPageBreak/>
        <w:t>Additionally the technical accuracy of the proposed model (or any future proposed models for water-NAPL-biofilm interplay) should be examined experimentally</w:t>
      </w:r>
      <w:r w:rsidR="007E4FA2">
        <w:rPr>
          <w:rFonts w:ascii="Times New Roman" w:hAnsi="Times New Roman" w:cs="Times New Roman"/>
        </w:rPr>
        <w:t xml:space="preserve"> and more in-depth by using</w:t>
      </w:r>
      <w:r w:rsidR="00D31554">
        <w:rPr>
          <w:rFonts w:ascii="Times New Roman" w:hAnsi="Times New Roman" w:cs="Times New Roman"/>
        </w:rPr>
        <w:t xml:space="preserve"> </w:t>
      </w:r>
      <w:r w:rsidR="007B7B61">
        <w:rPr>
          <w:rFonts w:ascii="Times New Roman" w:hAnsi="Times New Roman" w:cs="Times New Roman"/>
        </w:rPr>
        <w:t xml:space="preserve">x-ray microtomography imaging of </w:t>
      </w:r>
      <w:r w:rsidR="00BE5554">
        <w:rPr>
          <w:rFonts w:ascii="Times New Roman" w:hAnsi="Times New Roman" w:cs="Times New Roman"/>
        </w:rPr>
        <w:t xml:space="preserve">the </w:t>
      </w:r>
      <w:r w:rsidR="007B7B61">
        <w:rPr>
          <w:rFonts w:ascii="Times New Roman" w:hAnsi="Times New Roman" w:cs="Times New Roman"/>
        </w:rPr>
        <w:t xml:space="preserve">process in </w:t>
      </w:r>
      <w:r>
        <w:rPr>
          <w:rFonts w:ascii="Times New Roman" w:hAnsi="Times New Roman" w:cs="Times New Roman"/>
        </w:rPr>
        <w:t>microscopic set-ups</w:t>
      </w:r>
      <w:r w:rsidR="00E90789">
        <w:rPr>
          <w:rFonts w:ascii="Times New Roman" w:hAnsi="Times New Roman" w:cs="Times New Roman"/>
        </w:rPr>
        <w:t xml:space="preserve"> specially designed in such a way that heterogeneity at pore scale is representative</w:t>
      </w:r>
      <w:r w:rsidR="007B7B61">
        <w:rPr>
          <w:rFonts w:ascii="Times New Roman" w:hAnsi="Times New Roman" w:cs="Times New Roman"/>
        </w:rPr>
        <w:t>. This will lead t</w:t>
      </w:r>
      <w:r w:rsidR="007B7B61" w:rsidRPr="007B7B61">
        <w:rPr>
          <w:rFonts w:ascii="Times New Roman" w:hAnsi="Times New Roman" w:cs="Times New Roman"/>
        </w:rPr>
        <w:t xml:space="preserve">o </w:t>
      </w:r>
      <w:r w:rsidR="007B7B61">
        <w:rPr>
          <w:rFonts w:ascii="Times New Roman" w:hAnsi="Times New Roman" w:cs="Times New Roman"/>
        </w:rPr>
        <w:t xml:space="preserve">more </w:t>
      </w:r>
      <w:r w:rsidR="007B7B61" w:rsidRPr="007B7B61">
        <w:rPr>
          <w:rFonts w:ascii="Times New Roman" w:hAnsi="Times New Roman" w:cs="Times New Roman"/>
        </w:rPr>
        <w:t>insight</w:t>
      </w:r>
      <w:r w:rsidR="0062638D">
        <w:rPr>
          <w:rFonts w:ascii="Times New Roman" w:hAnsi="Times New Roman" w:cs="Times New Roman"/>
        </w:rPr>
        <w:t>s</w:t>
      </w:r>
      <w:r w:rsidR="007B7B61" w:rsidRPr="007B7B61">
        <w:rPr>
          <w:rFonts w:ascii="Times New Roman" w:hAnsi="Times New Roman" w:cs="Times New Roman"/>
        </w:rPr>
        <w:t xml:space="preserve"> into how fluid flow, transport phenomena and biofilms interact within </w:t>
      </w:r>
      <w:r w:rsidR="007B7B61">
        <w:rPr>
          <w:rFonts w:ascii="Times New Roman" w:hAnsi="Times New Roman" w:cs="Times New Roman"/>
        </w:rPr>
        <w:t>microscopically</w:t>
      </w:r>
      <w:r w:rsidR="007B7B61" w:rsidRPr="007B7B61">
        <w:rPr>
          <w:rFonts w:ascii="Times New Roman" w:hAnsi="Times New Roman" w:cs="Times New Roman"/>
        </w:rPr>
        <w:t xml:space="preserve"> heterogeneous structures</w:t>
      </w:r>
      <w:r w:rsidR="007B7B61">
        <w:rPr>
          <w:rFonts w:ascii="Times New Roman" w:hAnsi="Times New Roman" w:cs="Times New Roman"/>
        </w:rPr>
        <w:t>.</w:t>
      </w:r>
      <w:r w:rsidR="00461732">
        <w:rPr>
          <w:rFonts w:ascii="Times New Roman" w:hAnsi="Times New Roman" w:cs="Times New Roman"/>
        </w:rPr>
        <w:t xml:space="preserve"> </w:t>
      </w:r>
      <w:r w:rsidR="00150233">
        <w:rPr>
          <w:rFonts w:ascii="Times New Roman" w:hAnsi="Times New Roman" w:cs="Times New Roman"/>
        </w:rPr>
        <w:t xml:space="preserve">The current state-of-the-art imaging of biofilm growth simultaneous to NAPL dissolution faces multiple challenges as biofilms are </w:t>
      </w:r>
      <w:r w:rsidR="00150233" w:rsidRPr="00150233">
        <w:rPr>
          <w:rFonts w:ascii="Times New Roman" w:hAnsi="Times New Roman" w:cs="Times New Roman"/>
        </w:rPr>
        <w:t>difficult to detect due to the lack of biofilm-specific biomarkers and methods for non-destructive imaging</w:t>
      </w:r>
      <w:r w:rsidR="00150233">
        <w:rPr>
          <w:rFonts w:ascii="Times New Roman" w:hAnsi="Times New Roman" w:cs="Times New Roman"/>
        </w:rPr>
        <w:t xml:space="preserve"> (Xu et al., 2020). </w:t>
      </w:r>
    </w:p>
    <w:p w14:paraId="1B72DE56" w14:textId="48616743" w:rsidR="00461732" w:rsidRDefault="00461732" w:rsidP="00461732">
      <w:pPr>
        <w:pStyle w:val="Heading1"/>
        <w:spacing w:line="480" w:lineRule="auto"/>
        <w:rPr>
          <w:rFonts w:asciiTheme="majorBidi" w:hAnsiTheme="majorBidi"/>
        </w:rPr>
      </w:pPr>
      <w:r>
        <w:rPr>
          <w:rFonts w:asciiTheme="majorBidi" w:hAnsiTheme="majorBidi"/>
        </w:rPr>
        <w:t>Acknowledgement</w:t>
      </w:r>
    </w:p>
    <w:p w14:paraId="36B6F524" w14:textId="46AF5172" w:rsidR="005E4170" w:rsidRPr="005244BD" w:rsidRDefault="00461732" w:rsidP="008A4E96">
      <w:pPr>
        <w:spacing w:line="480" w:lineRule="auto"/>
        <w:jc w:val="both"/>
        <w:rPr>
          <w:rFonts w:ascii="Times New Roman" w:hAnsi="Times New Roman" w:cs="Times New Roman"/>
        </w:rPr>
      </w:pPr>
      <w:r w:rsidRPr="00461732">
        <w:rPr>
          <w:rFonts w:ascii="Times New Roman" w:hAnsi="Times New Roman" w:cs="Times New Roman"/>
        </w:rPr>
        <w:t xml:space="preserve">The authors sincerely thank the anonymous reviewers for their constructive comments during </w:t>
      </w:r>
      <w:r w:rsidR="001D64C3">
        <w:rPr>
          <w:rFonts w:ascii="Times New Roman" w:hAnsi="Times New Roman" w:cs="Times New Roman"/>
        </w:rPr>
        <w:t xml:space="preserve">the </w:t>
      </w:r>
      <w:r w:rsidRPr="00461732">
        <w:rPr>
          <w:rFonts w:ascii="Times New Roman" w:hAnsi="Times New Roman" w:cs="Times New Roman"/>
        </w:rPr>
        <w:t>revision process.</w:t>
      </w:r>
    </w:p>
    <w:p w14:paraId="3A99E855" w14:textId="12EE8433" w:rsidR="00C12ADC" w:rsidRPr="005244BD" w:rsidRDefault="00C12ADC" w:rsidP="00BE1E5D">
      <w:pPr>
        <w:pStyle w:val="Heading1"/>
        <w:spacing w:after="240"/>
      </w:pPr>
      <w:r w:rsidRPr="005244BD">
        <w:t>References</w:t>
      </w:r>
    </w:p>
    <w:p w14:paraId="592954F3" w14:textId="4F84B453" w:rsidR="003148BA" w:rsidRPr="003148BA" w:rsidRDefault="008377D6"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5244BD">
        <w:rPr>
          <w:rFonts w:ascii="Times New Roman" w:hAnsi="Times New Roman" w:cs="Times New Roman"/>
          <w:i/>
          <w:iCs/>
          <w:noProof/>
          <w:sz w:val="20"/>
          <w:szCs w:val="24"/>
        </w:rPr>
        <w:fldChar w:fldCharType="begin" w:fldLock="1"/>
      </w:r>
      <w:r w:rsidRPr="005244BD">
        <w:rPr>
          <w:rFonts w:ascii="Times New Roman" w:hAnsi="Times New Roman" w:cs="Times New Roman"/>
          <w:i/>
          <w:iCs/>
          <w:noProof/>
          <w:sz w:val="20"/>
          <w:szCs w:val="24"/>
        </w:rPr>
        <w:instrText xml:space="preserve">ADDIN Mendeley Bibliography CSL_BIBLIOGRAPHY </w:instrText>
      </w:r>
      <w:r w:rsidRPr="005244BD">
        <w:rPr>
          <w:rFonts w:ascii="Times New Roman" w:hAnsi="Times New Roman" w:cs="Times New Roman"/>
          <w:i/>
          <w:iCs/>
          <w:noProof/>
          <w:sz w:val="20"/>
          <w:szCs w:val="24"/>
        </w:rPr>
        <w:fldChar w:fldCharType="separate"/>
      </w:r>
      <w:r w:rsidR="003148BA" w:rsidRPr="003148BA">
        <w:rPr>
          <w:rFonts w:ascii="Times New Roman" w:hAnsi="Times New Roman" w:cs="Times New Roman"/>
          <w:noProof/>
          <w:sz w:val="20"/>
          <w:szCs w:val="24"/>
        </w:rPr>
        <w:t xml:space="preserve">Agaoglu, B., Scheytt, T., &amp; Copty, N. K. (2016). Impact of NAPL architecture on interphase mass transfer: A pore network study. </w:t>
      </w:r>
      <w:r w:rsidR="003148BA" w:rsidRPr="003148BA">
        <w:rPr>
          <w:rFonts w:ascii="Times New Roman" w:hAnsi="Times New Roman" w:cs="Times New Roman"/>
          <w:i/>
          <w:iCs/>
          <w:noProof/>
          <w:sz w:val="20"/>
          <w:szCs w:val="24"/>
        </w:rPr>
        <w:t>Advances in Water Resources</w:t>
      </w:r>
      <w:r w:rsidR="003148BA" w:rsidRPr="003148BA">
        <w:rPr>
          <w:rFonts w:ascii="Times New Roman" w:hAnsi="Times New Roman" w:cs="Times New Roman"/>
          <w:noProof/>
          <w:sz w:val="20"/>
          <w:szCs w:val="24"/>
        </w:rPr>
        <w:t xml:space="preserve">, </w:t>
      </w:r>
      <w:r w:rsidR="003148BA" w:rsidRPr="003148BA">
        <w:rPr>
          <w:rFonts w:ascii="Times New Roman" w:hAnsi="Times New Roman" w:cs="Times New Roman"/>
          <w:i/>
          <w:iCs/>
          <w:noProof/>
          <w:sz w:val="20"/>
          <w:szCs w:val="24"/>
        </w:rPr>
        <w:t>95</w:t>
      </w:r>
      <w:r w:rsidR="003148BA" w:rsidRPr="003148BA">
        <w:rPr>
          <w:rFonts w:ascii="Times New Roman" w:hAnsi="Times New Roman" w:cs="Times New Roman"/>
          <w:noProof/>
          <w:sz w:val="20"/>
          <w:szCs w:val="24"/>
        </w:rPr>
        <w:t>, 138–151.</w:t>
      </w:r>
    </w:p>
    <w:p w14:paraId="21ACD12F"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Aghaei, A., &amp; Piri, M. (2015). Direct pore-to-core up-scaling of displacement processes: Dynamic pore network modeling and experimentation. </w:t>
      </w:r>
      <w:r w:rsidRPr="003148BA">
        <w:rPr>
          <w:rFonts w:ascii="Times New Roman" w:hAnsi="Times New Roman" w:cs="Times New Roman"/>
          <w:i/>
          <w:iCs/>
          <w:noProof/>
          <w:sz w:val="20"/>
          <w:szCs w:val="24"/>
        </w:rPr>
        <w:t>Journal of Hydrology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522</w:t>
      </w:r>
      <w:r w:rsidRPr="003148BA">
        <w:rPr>
          <w:rFonts w:ascii="Times New Roman" w:hAnsi="Times New Roman" w:cs="Times New Roman"/>
          <w:noProof/>
          <w:sz w:val="20"/>
          <w:szCs w:val="24"/>
        </w:rPr>
        <w:t>, 488–509.</w:t>
      </w:r>
    </w:p>
    <w:p w14:paraId="7DE1C8EB"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Aminnaji, M., Fazeli, H., Bahramian, A., Gerami, S., &amp; Ghojavand, H. (2015). Wettability alteration of reservoir rocks from liquid wetting to gas wetting using nanofluid. </w:t>
      </w:r>
      <w:r w:rsidRPr="003148BA">
        <w:rPr>
          <w:rFonts w:ascii="Times New Roman" w:hAnsi="Times New Roman" w:cs="Times New Roman"/>
          <w:i/>
          <w:iCs/>
          <w:noProof/>
          <w:sz w:val="20"/>
          <w:szCs w:val="24"/>
        </w:rPr>
        <w:t>Transport in Porous Media</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109</w:t>
      </w:r>
      <w:r w:rsidRPr="003148BA">
        <w:rPr>
          <w:rFonts w:ascii="Times New Roman" w:hAnsi="Times New Roman" w:cs="Times New Roman"/>
          <w:noProof/>
          <w:sz w:val="20"/>
          <w:szCs w:val="24"/>
        </w:rPr>
        <w:t>(1), 201–216.</w:t>
      </w:r>
    </w:p>
    <w:p w14:paraId="59E5DF33"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Aminnaji, M., Rabbani, A., Niasar, V. J., &amp; Babaei, M. (2019). Effects of pore-scale heterogeneity on macroscopic NAPL dissolution efficiency: A two-scale numerical simulation study. </w:t>
      </w:r>
      <w:r w:rsidRPr="003148BA">
        <w:rPr>
          <w:rFonts w:ascii="Times New Roman" w:hAnsi="Times New Roman" w:cs="Times New Roman"/>
          <w:i/>
          <w:iCs/>
          <w:noProof/>
          <w:sz w:val="20"/>
          <w:szCs w:val="24"/>
        </w:rPr>
        <w:t>Water Resources Research</w:t>
      </w:r>
      <w:r w:rsidRPr="003148BA">
        <w:rPr>
          <w:rFonts w:ascii="Times New Roman" w:hAnsi="Times New Roman" w:cs="Times New Roman"/>
          <w:noProof/>
          <w:sz w:val="20"/>
          <w:szCs w:val="24"/>
        </w:rPr>
        <w:t>.</w:t>
      </w:r>
    </w:p>
    <w:p w14:paraId="62B07CB8"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Atlas, R. M. (1981). Microbial degradation of petroleum hydrocarbons: an environmental perspective. </w:t>
      </w:r>
      <w:r w:rsidRPr="003148BA">
        <w:rPr>
          <w:rFonts w:ascii="Times New Roman" w:hAnsi="Times New Roman" w:cs="Times New Roman"/>
          <w:i/>
          <w:iCs/>
          <w:noProof/>
          <w:sz w:val="20"/>
          <w:szCs w:val="24"/>
        </w:rPr>
        <w:t>Microbiological Reviews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45</w:t>
      </w:r>
      <w:r w:rsidRPr="003148BA">
        <w:rPr>
          <w:rFonts w:ascii="Times New Roman" w:hAnsi="Times New Roman" w:cs="Times New Roman"/>
          <w:noProof/>
          <w:sz w:val="20"/>
          <w:szCs w:val="24"/>
        </w:rPr>
        <w:t>(1), 180.</w:t>
      </w:r>
    </w:p>
    <w:p w14:paraId="27AD8CD7"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Babaei, M., &amp; Joekar-Niasar, V. (2016). A transport phase diagram for pore-level correlated porous media. </w:t>
      </w:r>
      <w:r w:rsidRPr="003148BA">
        <w:rPr>
          <w:rFonts w:ascii="Times New Roman" w:hAnsi="Times New Roman" w:cs="Times New Roman"/>
          <w:i/>
          <w:iCs/>
          <w:noProof/>
          <w:sz w:val="20"/>
          <w:szCs w:val="24"/>
        </w:rPr>
        <w:t>Advances in Water Resources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92</w:t>
      </w:r>
      <w:r w:rsidRPr="003148BA">
        <w:rPr>
          <w:rFonts w:ascii="Times New Roman" w:hAnsi="Times New Roman" w:cs="Times New Roman"/>
          <w:noProof/>
          <w:sz w:val="20"/>
          <w:szCs w:val="24"/>
        </w:rPr>
        <w:t>, 23–29.</w:t>
      </w:r>
    </w:p>
    <w:p w14:paraId="4800E075"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Bahar, T., Golfier, F., Oltéan, C., &amp; Benioug, M. (2016). An Upscaled Model for Bio-Enhanced NAPL Dissolution in Porous Media. </w:t>
      </w:r>
      <w:r w:rsidRPr="003148BA">
        <w:rPr>
          <w:rFonts w:ascii="Times New Roman" w:hAnsi="Times New Roman" w:cs="Times New Roman"/>
          <w:i/>
          <w:iCs/>
          <w:noProof/>
          <w:sz w:val="20"/>
          <w:szCs w:val="24"/>
        </w:rPr>
        <w:t>Transport in Porous Media</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113</w:t>
      </w:r>
      <w:r w:rsidRPr="003148BA">
        <w:rPr>
          <w:rFonts w:ascii="Times New Roman" w:hAnsi="Times New Roman" w:cs="Times New Roman"/>
          <w:noProof/>
          <w:sz w:val="20"/>
          <w:szCs w:val="24"/>
        </w:rPr>
        <w:t>(3), 653–693. https://doi.org/10.1007/s11242-016-0718-7</w:t>
      </w:r>
    </w:p>
    <w:p w14:paraId="64AFC5DD"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Banat, I. M. (1995). Biosurfactants production and possible uses in microbial enhanced oil recovery and oil pollution remediation: a review. </w:t>
      </w:r>
      <w:r w:rsidRPr="003148BA">
        <w:rPr>
          <w:rFonts w:ascii="Times New Roman" w:hAnsi="Times New Roman" w:cs="Times New Roman"/>
          <w:i/>
          <w:iCs/>
          <w:noProof/>
          <w:sz w:val="20"/>
          <w:szCs w:val="24"/>
        </w:rPr>
        <w:t>Bioresource Technology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51</w:t>
      </w:r>
      <w:r w:rsidRPr="003148BA">
        <w:rPr>
          <w:rFonts w:ascii="Times New Roman" w:hAnsi="Times New Roman" w:cs="Times New Roman"/>
          <w:noProof/>
          <w:sz w:val="20"/>
          <w:szCs w:val="24"/>
        </w:rPr>
        <w:t>(1), 1–12.</w:t>
      </w:r>
    </w:p>
    <w:p w14:paraId="46469590"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Baveye, P., &amp; Valocchi, A. (1989). An evaluation of mathematical models of the transport of biologically reacting solutes in saturated soils and aquifers. </w:t>
      </w:r>
      <w:r w:rsidRPr="003148BA">
        <w:rPr>
          <w:rFonts w:ascii="Times New Roman" w:hAnsi="Times New Roman" w:cs="Times New Roman"/>
          <w:i/>
          <w:iCs/>
          <w:noProof/>
          <w:sz w:val="20"/>
          <w:szCs w:val="24"/>
        </w:rPr>
        <w:t>Water Resources Research</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25</w:t>
      </w:r>
      <w:r w:rsidRPr="003148BA">
        <w:rPr>
          <w:rFonts w:ascii="Times New Roman" w:hAnsi="Times New Roman" w:cs="Times New Roman"/>
          <w:noProof/>
          <w:sz w:val="20"/>
          <w:szCs w:val="24"/>
        </w:rPr>
        <w:t>(6), 1413–1421.</w:t>
      </w:r>
    </w:p>
    <w:p w14:paraId="1CE48CD5"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Becker, J. G., &amp; Seagren, E. A. (2009). Modeling the effects of microbial competition and hydrodynamics on </w:t>
      </w:r>
      <w:r w:rsidRPr="003148BA">
        <w:rPr>
          <w:rFonts w:ascii="Times New Roman" w:hAnsi="Times New Roman" w:cs="Times New Roman"/>
          <w:noProof/>
          <w:sz w:val="20"/>
          <w:szCs w:val="24"/>
        </w:rPr>
        <w:lastRenderedPageBreak/>
        <w:t xml:space="preserve">the dissolution and detoxification of dense nonaqueous phase liquid contaminants. </w:t>
      </w:r>
      <w:r w:rsidRPr="003148BA">
        <w:rPr>
          <w:rFonts w:ascii="Times New Roman" w:hAnsi="Times New Roman" w:cs="Times New Roman"/>
          <w:i/>
          <w:iCs/>
          <w:noProof/>
          <w:sz w:val="20"/>
          <w:szCs w:val="24"/>
        </w:rPr>
        <w:t>Environmental Science &amp; Technology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43</w:t>
      </w:r>
      <w:r w:rsidRPr="003148BA">
        <w:rPr>
          <w:rFonts w:ascii="Times New Roman" w:hAnsi="Times New Roman" w:cs="Times New Roman"/>
          <w:noProof/>
          <w:sz w:val="20"/>
          <w:szCs w:val="24"/>
        </w:rPr>
        <w:t>(3), 870–877.</w:t>
      </w:r>
    </w:p>
    <w:p w14:paraId="06FB80DA"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Benioug, M., Golfier, F., Oltéan, C., Buès, M. A., Bahar, T., &amp; Cuny, J. (2017). An immersed boundary-lattice Boltzmann model for biofilm growth in porous media. </w:t>
      </w:r>
      <w:r w:rsidRPr="003148BA">
        <w:rPr>
          <w:rFonts w:ascii="Times New Roman" w:hAnsi="Times New Roman" w:cs="Times New Roman"/>
          <w:i/>
          <w:iCs/>
          <w:noProof/>
          <w:sz w:val="20"/>
          <w:szCs w:val="24"/>
        </w:rPr>
        <w:t>Advances in Water Resources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107</w:t>
      </w:r>
      <w:r w:rsidRPr="003148BA">
        <w:rPr>
          <w:rFonts w:ascii="Times New Roman" w:hAnsi="Times New Roman" w:cs="Times New Roman"/>
          <w:noProof/>
          <w:sz w:val="20"/>
          <w:szCs w:val="24"/>
        </w:rPr>
        <w:t>, 65–82.</w:t>
      </w:r>
    </w:p>
    <w:p w14:paraId="798AEAE2"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Benioug, M., Golfier, F., Fischer, P., Oltean, C., Buès, M. A., &amp; Yang, X. (2019). Interaction between biofilm growth and NAPL remediation: A pore-scale study. </w:t>
      </w:r>
      <w:r w:rsidRPr="003148BA">
        <w:rPr>
          <w:rFonts w:ascii="Times New Roman" w:hAnsi="Times New Roman" w:cs="Times New Roman"/>
          <w:i/>
          <w:iCs/>
          <w:noProof/>
          <w:sz w:val="20"/>
          <w:szCs w:val="24"/>
        </w:rPr>
        <w:t>Advances in Water Resources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125</w:t>
      </w:r>
      <w:r w:rsidRPr="003148BA">
        <w:rPr>
          <w:rFonts w:ascii="Times New Roman" w:hAnsi="Times New Roman" w:cs="Times New Roman"/>
          <w:noProof/>
          <w:sz w:val="20"/>
          <w:szCs w:val="24"/>
        </w:rPr>
        <w:t>, 82–97.</w:t>
      </w:r>
    </w:p>
    <w:p w14:paraId="6161C913"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Bhatnagar, S., &amp; Kumari, R. (2013). Bioremediation: a sustainable tool for environmental management--a review. </w:t>
      </w:r>
      <w:r w:rsidRPr="003148BA">
        <w:rPr>
          <w:rFonts w:ascii="Times New Roman" w:hAnsi="Times New Roman" w:cs="Times New Roman"/>
          <w:i/>
          <w:iCs/>
          <w:noProof/>
          <w:sz w:val="20"/>
          <w:szCs w:val="24"/>
        </w:rPr>
        <w:t>Annual Research &amp; Review in Biology</w:t>
      </w:r>
      <w:r w:rsidRPr="003148BA">
        <w:rPr>
          <w:rFonts w:ascii="Times New Roman" w:hAnsi="Times New Roman" w:cs="Times New Roman"/>
          <w:noProof/>
          <w:sz w:val="20"/>
          <w:szCs w:val="24"/>
        </w:rPr>
        <w:t>, 974–993.</w:t>
      </w:r>
    </w:p>
    <w:p w14:paraId="7F6BCA2C"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Bhatnagar, S., &amp; Kumari, R. (2015). Bioremediation: a sustainable tool for environmental management - A review. </w:t>
      </w:r>
      <w:r w:rsidRPr="003148BA">
        <w:rPr>
          <w:rFonts w:ascii="Times New Roman" w:hAnsi="Times New Roman" w:cs="Times New Roman"/>
          <w:i/>
          <w:iCs/>
          <w:noProof/>
          <w:sz w:val="20"/>
          <w:szCs w:val="24"/>
        </w:rPr>
        <w:t>Nature Environment and Pollution Technology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14</w:t>
      </w:r>
      <w:r w:rsidRPr="003148BA">
        <w:rPr>
          <w:rFonts w:ascii="Times New Roman" w:hAnsi="Times New Roman" w:cs="Times New Roman"/>
          <w:noProof/>
          <w:sz w:val="20"/>
          <w:szCs w:val="24"/>
        </w:rPr>
        <w:t>(1), 181–190.</w:t>
      </w:r>
    </w:p>
    <w:p w14:paraId="6537E5E1"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Bijeljic, B., Muggeridge, A. H., &amp; Blunt, M. J. (2004). Pore-scale modeling of longitudinal dispersion. </w:t>
      </w:r>
      <w:r w:rsidRPr="003148BA">
        <w:rPr>
          <w:rFonts w:ascii="Times New Roman" w:hAnsi="Times New Roman" w:cs="Times New Roman"/>
          <w:i/>
          <w:iCs/>
          <w:noProof/>
          <w:sz w:val="20"/>
          <w:szCs w:val="24"/>
        </w:rPr>
        <w:t>Water Resources Research</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40</w:t>
      </w:r>
      <w:r w:rsidRPr="003148BA">
        <w:rPr>
          <w:rFonts w:ascii="Times New Roman" w:hAnsi="Times New Roman" w:cs="Times New Roman"/>
          <w:noProof/>
          <w:sz w:val="20"/>
          <w:szCs w:val="24"/>
        </w:rPr>
        <w:t>(11).</w:t>
      </w:r>
    </w:p>
    <w:p w14:paraId="2C7AD828"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De Blanc, P. C., McKinney, D. C., &amp; Speitel Jr, G. E. (1996). Modeling subsurface biodegradation of non-aqueous phase liquids. In </w:t>
      </w:r>
      <w:r w:rsidRPr="003148BA">
        <w:rPr>
          <w:rFonts w:ascii="Times New Roman" w:hAnsi="Times New Roman" w:cs="Times New Roman"/>
          <w:i/>
          <w:iCs/>
          <w:noProof/>
          <w:sz w:val="20"/>
          <w:szCs w:val="24"/>
        </w:rPr>
        <w:t>Advances in porous media</w:t>
      </w:r>
      <w:r w:rsidRPr="003148BA">
        <w:rPr>
          <w:rFonts w:ascii="Times New Roman" w:hAnsi="Times New Roman" w:cs="Times New Roman"/>
          <w:noProof/>
          <w:sz w:val="20"/>
          <w:szCs w:val="24"/>
        </w:rPr>
        <w:t xml:space="preserve"> (Vol. 3, pp. 1–86). Elsevier.</w:t>
      </w:r>
    </w:p>
    <w:p w14:paraId="7FC35430"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Bordel, S., Muñoz, R., D\’\iaz, L. F., &amp; Villaverde, S. (2007). New insights on toluene biodegradation by Pseudomonas putida F1: influence of pollutant concentration and excreted metabolites. </w:t>
      </w:r>
      <w:r w:rsidRPr="003148BA">
        <w:rPr>
          <w:rFonts w:ascii="Times New Roman" w:hAnsi="Times New Roman" w:cs="Times New Roman"/>
          <w:i/>
          <w:iCs/>
          <w:noProof/>
          <w:sz w:val="20"/>
          <w:szCs w:val="24"/>
        </w:rPr>
        <w:t>Applied Microbiology and Biotechnology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74</w:t>
      </w:r>
      <w:r w:rsidRPr="003148BA">
        <w:rPr>
          <w:rFonts w:ascii="Times New Roman" w:hAnsi="Times New Roman" w:cs="Times New Roman"/>
          <w:noProof/>
          <w:sz w:val="20"/>
          <w:szCs w:val="24"/>
        </w:rPr>
        <w:t>(4), 857–866.</w:t>
      </w:r>
    </w:p>
    <w:p w14:paraId="0381B798"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Brauner, J. S., &amp; Widdowson, M. A. (2001). Numerical simulation of a natural attenuation experiment with a petroleum hydrocarbon NAPL source. </w:t>
      </w:r>
      <w:r w:rsidRPr="003148BA">
        <w:rPr>
          <w:rFonts w:ascii="Times New Roman" w:hAnsi="Times New Roman" w:cs="Times New Roman"/>
          <w:i/>
          <w:iCs/>
          <w:noProof/>
          <w:sz w:val="20"/>
          <w:szCs w:val="24"/>
        </w:rPr>
        <w:t>Groundwater</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39</w:t>
      </w:r>
      <w:r w:rsidRPr="003148BA">
        <w:rPr>
          <w:rFonts w:ascii="Times New Roman" w:hAnsi="Times New Roman" w:cs="Times New Roman"/>
          <w:noProof/>
          <w:sz w:val="20"/>
          <w:szCs w:val="24"/>
        </w:rPr>
        <w:t>(6), 939–952.</w:t>
      </w:r>
    </w:p>
    <w:p w14:paraId="226CE2F7"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Brown, L. R. (2010). Microbial enhanced oil recovery (MEOR). </w:t>
      </w:r>
      <w:r w:rsidRPr="003148BA">
        <w:rPr>
          <w:rFonts w:ascii="Times New Roman" w:hAnsi="Times New Roman" w:cs="Times New Roman"/>
          <w:i/>
          <w:iCs/>
          <w:noProof/>
          <w:sz w:val="20"/>
          <w:szCs w:val="24"/>
        </w:rPr>
        <w:t>Current Opinion in Microbiology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13</w:t>
      </w:r>
      <w:r w:rsidRPr="003148BA">
        <w:rPr>
          <w:rFonts w:ascii="Times New Roman" w:hAnsi="Times New Roman" w:cs="Times New Roman"/>
          <w:noProof/>
          <w:sz w:val="20"/>
          <w:szCs w:val="24"/>
        </w:rPr>
        <w:t>(3), 316–320.</w:t>
      </w:r>
    </w:p>
    <w:p w14:paraId="464BDFAB"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560FCC">
        <w:rPr>
          <w:rFonts w:ascii="Times New Roman" w:hAnsi="Times New Roman" w:cs="Times New Roman"/>
          <w:noProof/>
          <w:sz w:val="20"/>
          <w:szCs w:val="24"/>
          <w:lang w:val="es-MX"/>
        </w:rPr>
        <w:t xml:space="preserve">Câmara, J. M. D. A., Sousa, M., &amp; B Neto, E. L. (2019). </w:t>
      </w:r>
      <w:r w:rsidRPr="003148BA">
        <w:rPr>
          <w:rFonts w:ascii="Times New Roman" w:hAnsi="Times New Roman" w:cs="Times New Roman"/>
          <w:noProof/>
          <w:sz w:val="20"/>
          <w:szCs w:val="24"/>
        </w:rPr>
        <w:t xml:space="preserve">KINETICS OF THE BIODEGRADATION OF MONOAROMATICS BY Pseudomonas aeruginosa. </w:t>
      </w:r>
      <w:r w:rsidRPr="003148BA">
        <w:rPr>
          <w:rFonts w:ascii="Times New Roman" w:hAnsi="Times New Roman" w:cs="Times New Roman"/>
          <w:i/>
          <w:iCs/>
          <w:noProof/>
          <w:sz w:val="20"/>
          <w:szCs w:val="24"/>
        </w:rPr>
        <w:t>Brazilian Journal of Chemical Engineering</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36</w:t>
      </w:r>
      <w:r w:rsidRPr="003148BA">
        <w:rPr>
          <w:rFonts w:ascii="Times New Roman" w:hAnsi="Times New Roman" w:cs="Times New Roman"/>
          <w:noProof/>
          <w:sz w:val="20"/>
          <w:szCs w:val="24"/>
        </w:rPr>
        <w:t>(1), 65–72.</w:t>
      </w:r>
    </w:p>
    <w:p w14:paraId="67D076F7"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Chambon, J. C., Broholm, M. M., Binning, P. J., &amp; Bjerg, P. L. (2010). Modeling multi-component transport and enhanced anaerobic dechlorination processes in a single fracture--clay matrix system. </w:t>
      </w:r>
      <w:r w:rsidRPr="003148BA">
        <w:rPr>
          <w:rFonts w:ascii="Times New Roman" w:hAnsi="Times New Roman" w:cs="Times New Roman"/>
          <w:i/>
          <w:iCs/>
          <w:noProof/>
          <w:sz w:val="20"/>
          <w:szCs w:val="24"/>
        </w:rPr>
        <w:t>Journal of Contaminant Hydrology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112</w:t>
      </w:r>
      <w:r w:rsidRPr="003148BA">
        <w:rPr>
          <w:rFonts w:ascii="Times New Roman" w:hAnsi="Times New Roman" w:cs="Times New Roman"/>
          <w:noProof/>
          <w:sz w:val="20"/>
          <w:szCs w:val="24"/>
        </w:rPr>
        <w:t>(1–4), 77–90.</w:t>
      </w:r>
    </w:p>
    <w:p w14:paraId="4370C563"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Chatzis, I., Morrow, N. R., &amp; Lim, H. T. (1983). Magnitude and detailed structure of residual oil saturation. </w:t>
      </w:r>
      <w:r w:rsidRPr="003148BA">
        <w:rPr>
          <w:rFonts w:ascii="Times New Roman" w:hAnsi="Times New Roman" w:cs="Times New Roman"/>
          <w:i/>
          <w:iCs/>
          <w:noProof/>
          <w:sz w:val="20"/>
          <w:szCs w:val="24"/>
        </w:rPr>
        <w:t>Society of Petroleum Engineers Journal</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23</w:t>
      </w:r>
      <w:r w:rsidRPr="003148BA">
        <w:rPr>
          <w:rFonts w:ascii="Times New Roman" w:hAnsi="Times New Roman" w:cs="Times New Roman"/>
          <w:noProof/>
          <w:sz w:val="20"/>
          <w:szCs w:val="24"/>
        </w:rPr>
        <w:t>(02), 311–326.</w:t>
      </w:r>
    </w:p>
    <w:p w14:paraId="585130C5"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Chrysikopoulos, C. V, &amp; Vogler, E. T. (2006). Acoustically enhanced ganglia dissolution and mobilization in a monolayer of glass beads. </w:t>
      </w:r>
      <w:r w:rsidRPr="003148BA">
        <w:rPr>
          <w:rFonts w:ascii="Times New Roman" w:hAnsi="Times New Roman" w:cs="Times New Roman"/>
          <w:i/>
          <w:iCs/>
          <w:noProof/>
          <w:sz w:val="20"/>
          <w:szCs w:val="24"/>
        </w:rPr>
        <w:t>Transport in Porous Media</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64</w:t>
      </w:r>
      <w:r w:rsidRPr="003148BA">
        <w:rPr>
          <w:rFonts w:ascii="Times New Roman" w:hAnsi="Times New Roman" w:cs="Times New Roman"/>
          <w:noProof/>
          <w:sz w:val="20"/>
          <w:szCs w:val="24"/>
        </w:rPr>
        <w:t>(1), 103–121.</w:t>
      </w:r>
    </w:p>
    <w:p w14:paraId="3DC8CC2F"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Chu, M., Kitanidis, P. K., &amp; McCarty, P. L. (2003). Effects of biomass accumulation on microbially enhanced dissolution of a PCE pool: a numerical simulation. </w:t>
      </w:r>
      <w:r w:rsidRPr="003148BA">
        <w:rPr>
          <w:rFonts w:ascii="Times New Roman" w:hAnsi="Times New Roman" w:cs="Times New Roman"/>
          <w:i/>
          <w:iCs/>
          <w:noProof/>
          <w:sz w:val="20"/>
          <w:szCs w:val="24"/>
        </w:rPr>
        <w:t>Journal of Contaminant Hydrology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65</w:t>
      </w:r>
      <w:r w:rsidRPr="003148BA">
        <w:rPr>
          <w:rFonts w:ascii="Times New Roman" w:hAnsi="Times New Roman" w:cs="Times New Roman"/>
          <w:noProof/>
          <w:sz w:val="20"/>
          <w:szCs w:val="24"/>
        </w:rPr>
        <w:t>(1–2), 79–100.</w:t>
      </w:r>
    </w:p>
    <w:p w14:paraId="5B4E0003"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Chu, M., Kitanidis, P. K., &amp; McCarty, P. L. (2004). Possible factors controlling the effectiveness of bioenhanced dissolution of non-aqueous phase tetrachloroethene. </w:t>
      </w:r>
      <w:r w:rsidRPr="003148BA">
        <w:rPr>
          <w:rFonts w:ascii="Times New Roman" w:hAnsi="Times New Roman" w:cs="Times New Roman"/>
          <w:i/>
          <w:iCs/>
          <w:noProof/>
          <w:sz w:val="20"/>
          <w:szCs w:val="24"/>
        </w:rPr>
        <w:t>Advances in Water Resources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27</w:t>
      </w:r>
      <w:r w:rsidRPr="003148BA">
        <w:rPr>
          <w:rFonts w:ascii="Times New Roman" w:hAnsi="Times New Roman" w:cs="Times New Roman"/>
          <w:noProof/>
          <w:sz w:val="20"/>
          <w:szCs w:val="24"/>
        </w:rPr>
        <w:t>(6), 601–615.</w:t>
      </w:r>
    </w:p>
    <w:p w14:paraId="5A63643B"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Chu, M., Kitanidis, P. K., &amp; McCarty, P. L. (2007). Dependence of lumped mass transfer coefficient on scale and reactions kinetics for biologically enhanced NAPL dissolution. </w:t>
      </w:r>
      <w:r w:rsidRPr="003148BA">
        <w:rPr>
          <w:rFonts w:ascii="Times New Roman" w:hAnsi="Times New Roman" w:cs="Times New Roman"/>
          <w:i/>
          <w:iCs/>
          <w:noProof/>
          <w:sz w:val="20"/>
          <w:szCs w:val="24"/>
        </w:rPr>
        <w:t>Advances in Water Resources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30</w:t>
      </w:r>
      <w:r w:rsidRPr="003148BA">
        <w:rPr>
          <w:rFonts w:ascii="Times New Roman" w:hAnsi="Times New Roman" w:cs="Times New Roman"/>
          <w:noProof/>
          <w:sz w:val="20"/>
          <w:szCs w:val="24"/>
        </w:rPr>
        <w:t>(6–7), 1618–1629.</w:t>
      </w:r>
    </w:p>
    <w:p w14:paraId="32090FEA"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Clement, T., Gautam, T., Lee, K., Truex, M., &amp; Davis, G. (2004). Modeling of DNAPL-dissolution, rate-limited sorption and biodegradation reactions in groundwater systems. </w:t>
      </w:r>
      <w:r w:rsidRPr="003148BA">
        <w:rPr>
          <w:rFonts w:ascii="Times New Roman" w:hAnsi="Times New Roman" w:cs="Times New Roman"/>
          <w:i/>
          <w:iCs/>
          <w:noProof/>
          <w:sz w:val="20"/>
          <w:szCs w:val="24"/>
        </w:rPr>
        <w:t>Bioremediation Journal</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8</w:t>
      </w:r>
      <w:r w:rsidRPr="003148BA">
        <w:rPr>
          <w:rFonts w:ascii="Times New Roman" w:hAnsi="Times New Roman" w:cs="Times New Roman"/>
          <w:noProof/>
          <w:sz w:val="20"/>
          <w:szCs w:val="24"/>
        </w:rPr>
        <w:t>(1–2), 47–64.</w:t>
      </w:r>
    </w:p>
    <w:p w14:paraId="20B44DBD"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Costerton, J. W., Stewart, P. S., &amp; Greenberg, E. P. (1999). Bacterial biofilms: a common cause of persistent infections. </w:t>
      </w:r>
      <w:r w:rsidRPr="003148BA">
        <w:rPr>
          <w:rFonts w:ascii="Times New Roman" w:hAnsi="Times New Roman" w:cs="Times New Roman"/>
          <w:i/>
          <w:iCs/>
          <w:noProof/>
          <w:sz w:val="20"/>
          <w:szCs w:val="24"/>
        </w:rPr>
        <w:t>Science</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284</w:t>
      </w:r>
      <w:r w:rsidRPr="003148BA">
        <w:rPr>
          <w:rFonts w:ascii="Times New Roman" w:hAnsi="Times New Roman" w:cs="Times New Roman"/>
          <w:noProof/>
          <w:sz w:val="20"/>
          <w:szCs w:val="24"/>
        </w:rPr>
        <w:t>(5418), 1318–1322.</w:t>
      </w:r>
    </w:p>
    <w:p w14:paraId="40171B4F"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Davit, Y., Debenest, G., Wood, B. D., &amp; Quintard, M. (2010). Modeling non-equilibrium mass transport in biologically reactive porous media. </w:t>
      </w:r>
      <w:r w:rsidRPr="003148BA">
        <w:rPr>
          <w:rFonts w:ascii="Times New Roman" w:hAnsi="Times New Roman" w:cs="Times New Roman"/>
          <w:i/>
          <w:iCs/>
          <w:noProof/>
          <w:sz w:val="20"/>
          <w:szCs w:val="24"/>
        </w:rPr>
        <w:t>Advances in Water Resources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33</w:t>
      </w:r>
      <w:r w:rsidRPr="003148BA">
        <w:rPr>
          <w:rFonts w:ascii="Times New Roman" w:hAnsi="Times New Roman" w:cs="Times New Roman"/>
          <w:noProof/>
          <w:sz w:val="20"/>
          <w:szCs w:val="24"/>
        </w:rPr>
        <w:t>(9), 1075–1093.</w:t>
      </w:r>
    </w:p>
    <w:p w14:paraId="517F82C2"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Davit, Y., Iltis, G., Debenest, G., VERAN-TISSOIRES, S., Wildenschild, D., Gérino, M., &amp; Quintard, M. </w:t>
      </w:r>
      <w:r w:rsidRPr="003148BA">
        <w:rPr>
          <w:rFonts w:ascii="Times New Roman" w:hAnsi="Times New Roman" w:cs="Times New Roman"/>
          <w:noProof/>
          <w:sz w:val="20"/>
          <w:szCs w:val="24"/>
        </w:rPr>
        <w:lastRenderedPageBreak/>
        <w:t xml:space="preserve">(2011). Imaging biofilm in porous media using X-ray computed microtomography. </w:t>
      </w:r>
      <w:r w:rsidRPr="003148BA">
        <w:rPr>
          <w:rFonts w:ascii="Times New Roman" w:hAnsi="Times New Roman" w:cs="Times New Roman"/>
          <w:i/>
          <w:iCs/>
          <w:noProof/>
          <w:sz w:val="20"/>
          <w:szCs w:val="24"/>
        </w:rPr>
        <w:t>Journal of Microscopy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242</w:t>
      </w:r>
      <w:r w:rsidRPr="003148BA">
        <w:rPr>
          <w:rFonts w:ascii="Times New Roman" w:hAnsi="Times New Roman" w:cs="Times New Roman"/>
          <w:noProof/>
          <w:sz w:val="20"/>
          <w:szCs w:val="24"/>
        </w:rPr>
        <w:t>(1), 15–25.</w:t>
      </w:r>
    </w:p>
    <w:p w14:paraId="23C83D3F"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Detwiler, R. L., Rajaram, H., &amp; Glass, R. J. (2001). Nonaqueous-phase-liquid dissolution in variable-aperture fractures: Development of a depth-averaged computational model with comparison to a physical experiment. </w:t>
      </w:r>
      <w:r w:rsidRPr="003148BA">
        <w:rPr>
          <w:rFonts w:ascii="Times New Roman" w:hAnsi="Times New Roman" w:cs="Times New Roman"/>
          <w:i/>
          <w:iCs/>
          <w:noProof/>
          <w:sz w:val="20"/>
          <w:szCs w:val="24"/>
        </w:rPr>
        <w:t>Water Resources Research</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37</w:t>
      </w:r>
      <w:r w:rsidRPr="003148BA">
        <w:rPr>
          <w:rFonts w:ascii="Times New Roman" w:hAnsi="Times New Roman" w:cs="Times New Roman"/>
          <w:noProof/>
          <w:sz w:val="20"/>
          <w:szCs w:val="24"/>
        </w:rPr>
        <w:t>(12), 3115–3129.</w:t>
      </w:r>
    </w:p>
    <w:p w14:paraId="53E25B86" w14:textId="77777777" w:rsidR="003148BA" w:rsidRPr="00560FCC"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lang w:val="es-MX"/>
        </w:rPr>
      </w:pPr>
      <w:r w:rsidRPr="003148BA">
        <w:rPr>
          <w:rFonts w:ascii="Times New Roman" w:hAnsi="Times New Roman" w:cs="Times New Roman"/>
          <w:noProof/>
          <w:sz w:val="20"/>
          <w:szCs w:val="24"/>
        </w:rPr>
        <w:t xml:space="preserve">Dillard, L. A., &amp; Blunt, M. J. (2000). Development of a pore network simulation model to study nonaqueous phase liquid dissolution. </w:t>
      </w:r>
      <w:r w:rsidRPr="00560FCC">
        <w:rPr>
          <w:rFonts w:ascii="Times New Roman" w:hAnsi="Times New Roman" w:cs="Times New Roman"/>
          <w:i/>
          <w:iCs/>
          <w:noProof/>
          <w:sz w:val="20"/>
          <w:szCs w:val="24"/>
          <w:lang w:val="es-MX"/>
        </w:rPr>
        <w:t>Water Resources Research</w:t>
      </w:r>
      <w:r w:rsidRPr="00560FCC">
        <w:rPr>
          <w:rFonts w:ascii="Times New Roman" w:hAnsi="Times New Roman" w:cs="Times New Roman"/>
          <w:noProof/>
          <w:sz w:val="20"/>
          <w:szCs w:val="24"/>
          <w:lang w:val="es-MX"/>
        </w:rPr>
        <w:t xml:space="preserve">, </w:t>
      </w:r>
      <w:r w:rsidRPr="00560FCC">
        <w:rPr>
          <w:rFonts w:ascii="Times New Roman" w:hAnsi="Times New Roman" w:cs="Times New Roman"/>
          <w:i/>
          <w:iCs/>
          <w:noProof/>
          <w:sz w:val="20"/>
          <w:szCs w:val="24"/>
          <w:lang w:val="es-MX"/>
        </w:rPr>
        <w:t>36</w:t>
      </w:r>
      <w:r w:rsidRPr="00560FCC">
        <w:rPr>
          <w:rFonts w:ascii="Times New Roman" w:hAnsi="Times New Roman" w:cs="Times New Roman"/>
          <w:noProof/>
          <w:sz w:val="20"/>
          <w:szCs w:val="24"/>
          <w:lang w:val="es-MX"/>
        </w:rPr>
        <w:t>(2), 439–454.</w:t>
      </w:r>
    </w:p>
    <w:p w14:paraId="2DDE0204"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560FCC">
        <w:rPr>
          <w:rFonts w:ascii="Times New Roman" w:hAnsi="Times New Roman" w:cs="Times New Roman"/>
          <w:noProof/>
          <w:sz w:val="20"/>
          <w:szCs w:val="24"/>
          <w:lang w:val="es-MX"/>
        </w:rPr>
        <w:t xml:space="preserve">Van Dillewijn, P., Caballero, A., Paz, J. A., González-Pérez, M. M., Oliva, J. M., &amp; Ramos, J. L. (2007). </w:t>
      </w:r>
      <w:r w:rsidRPr="003148BA">
        <w:rPr>
          <w:rFonts w:ascii="Times New Roman" w:hAnsi="Times New Roman" w:cs="Times New Roman"/>
          <w:noProof/>
          <w:sz w:val="20"/>
          <w:szCs w:val="24"/>
        </w:rPr>
        <w:t xml:space="preserve">Bioremediation of 2,4,6-trinitrotoluene under field conditions. </w:t>
      </w:r>
      <w:r w:rsidRPr="003148BA">
        <w:rPr>
          <w:rFonts w:ascii="Times New Roman" w:hAnsi="Times New Roman" w:cs="Times New Roman"/>
          <w:i/>
          <w:iCs/>
          <w:noProof/>
          <w:sz w:val="20"/>
          <w:szCs w:val="24"/>
        </w:rPr>
        <w:t>Environmental Science and Technology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41</w:t>
      </w:r>
      <w:r w:rsidRPr="003148BA">
        <w:rPr>
          <w:rFonts w:ascii="Times New Roman" w:hAnsi="Times New Roman" w:cs="Times New Roman"/>
          <w:noProof/>
          <w:sz w:val="20"/>
          <w:szCs w:val="24"/>
        </w:rPr>
        <w:t>(4), 1378–1383. https://doi.org/10.1021/es062165z</w:t>
      </w:r>
    </w:p>
    <w:p w14:paraId="3900213B"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Dupin, H. J., &amp; McCarty, P. L. (2000). Impact of colony morphologies and disinfection on biological clogging in porous media. </w:t>
      </w:r>
      <w:r w:rsidRPr="003148BA">
        <w:rPr>
          <w:rFonts w:ascii="Times New Roman" w:hAnsi="Times New Roman" w:cs="Times New Roman"/>
          <w:i/>
          <w:iCs/>
          <w:noProof/>
          <w:sz w:val="20"/>
          <w:szCs w:val="24"/>
        </w:rPr>
        <w:t>Environmental Science &amp; Technology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34</w:t>
      </w:r>
      <w:r w:rsidRPr="003148BA">
        <w:rPr>
          <w:rFonts w:ascii="Times New Roman" w:hAnsi="Times New Roman" w:cs="Times New Roman"/>
          <w:noProof/>
          <w:sz w:val="20"/>
          <w:szCs w:val="24"/>
        </w:rPr>
        <w:t>(8), 1513–1520.</w:t>
      </w:r>
    </w:p>
    <w:p w14:paraId="55079CBD"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Dupin, H. J., Kitanidis, P. K., &amp; McCarty, P. L. (2001). Simulations of two-dimensional modeling of biomass aggregate growth in network models. </w:t>
      </w:r>
      <w:r w:rsidRPr="003148BA">
        <w:rPr>
          <w:rFonts w:ascii="Times New Roman" w:hAnsi="Times New Roman" w:cs="Times New Roman"/>
          <w:i/>
          <w:iCs/>
          <w:noProof/>
          <w:sz w:val="20"/>
          <w:szCs w:val="24"/>
        </w:rPr>
        <w:t>Water Resources Research</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37</w:t>
      </w:r>
      <w:r w:rsidRPr="003148BA">
        <w:rPr>
          <w:rFonts w:ascii="Times New Roman" w:hAnsi="Times New Roman" w:cs="Times New Roman"/>
          <w:noProof/>
          <w:sz w:val="20"/>
          <w:szCs w:val="24"/>
        </w:rPr>
        <w:t>(12), 2981–2994.</w:t>
      </w:r>
    </w:p>
    <w:p w14:paraId="2014E35E"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Ezeuko, C. C., Sen, A., Grigoryan, A., &amp; Gates, I. D. (2011). Pore-network modeling of biofilm evolution in porous media. </w:t>
      </w:r>
      <w:r w:rsidRPr="003148BA">
        <w:rPr>
          <w:rFonts w:ascii="Times New Roman" w:hAnsi="Times New Roman" w:cs="Times New Roman"/>
          <w:i/>
          <w:iCs/>
          <w:noProof/>
          <w:sz w:val="20"/>
          <w:szCs w:val="24"/>
        </w:rPr>
        <w:t>Biotechnology and Bioengineering</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108</w:t>
      </w:r>
      <w:r w:rsidRPr="003148BA">
        <w:rPr>
          <w:rFonts w:ascii="Times New Roman" w:hAnsi="Times New Roman" w:cs="Times New Roman"/>
          <w:noProof/>
          <w:sz w:val="20"/>
          <w:szCs w:val="24"/>
        </w:rPr>
        <w:t>(10), 2413–2423.</w:t>
      </w:r>
    </w:p>
    <w:p w14:paraId="5C63456B"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Farthing, M. W., Seyedabbasi, M. A., Imhoff, P. T., &amp; Miller, C. T. (2012). Influence of porous media heterogeneity on nonaqueous phase liquid dissolution fingering and upscaled mass transfer. </w:t>
      </w:r>
      <w:r w:rsidRPr="003148BA">
        <w:rPr>
          <w:rFonts w:ascii="Times New Roman" w:hAnsi="Times New Roman" w:cs="Times New Roman"/>
          <w:i/>
          <w:iCs/>
          <w:noProof/>
          <w:sz w:val="20"/>
          <w:szCs w:val="24"/>
        </w:rPr>
        <w:t>Water Resources Research</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48</w:t>
      </w:r>
      <w:r w:rsidRPr="003148BA">
        <w:rPr>
          <w:rFonts w:ascii="Times New Roman" w:hAnsi="Times New Roman" w:cs="Times New Roman"/>
          <w:noProof/>
          <w:sz w:val="20"/>
          <w:szCs w:val="24"/>
        </w:rPr>
        <w:t>(8).</w:t>
      </w:r>
    </w:p>
    <w:p w14:paraId="676B0385"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Fountain, J. C., Starr, R. C., Middleton, T., Beikirch, M., Taylor, C., &amp; Hodge, D. (1996). A controlled field test of surfactant-enhanced aquifer remediation. </w:t>
      </w:r>
      <w:r w:rsidRPr="003148BA">
        <w:rPr>
          <w:rFonts w:ascii="Times New Roman" w:hAnsi="Times New Roman" w:cs="Times New Roman"/>
          <w:i/>
          <w:iCs/>
          <w:noProof/>
          <w:sz w:val="20"/>
          <w:szCs w:val="24"/>
        </w:rPr>
        <w:t>Groundwater</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34</w:t>
      </w:r>
      <w:r w:rsidRPr="003148BA">
        <w:rPr>
          <w:rFonts w:ascii="Times New Roman" w:hAnsi="Times New Roman" w:cs="Times New Roman"/>
          <w:noProof/>
          <w:sz w:val="20"/>
          <w:szCs w:val="24"/>
        </w:rPr>
        <w:t>(5), 910–916.</w:t>
      </w:r>
    </w:p>
    <w:p w14:paraId="0F72E381"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Golfier, F., Wood, B. D., Orgogozo, L., Quintard, M., &amp; Buès, M. (2009). Biofilms in porous media: Development of macroscopic transport equations via volume averaging with closure for local mass equilibrium conditions. </w:t>
      </w:r>
      <w:r w:rsidRPr="003148BA">
        <w:rPr>
          <w:rFonts w:ascii="Times New Roman" w:hAnsi="Times New Roman" w:cs="Times New Roman"/>
          <w:i/>
          <w:iCs/>
          <w:noProof/>
          <w:sz w:val="20"/>
          <w:szCs w:val="24"/>
        </w:rPr>
        <w:t>Advances in Water Resources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32</w:t>
      </w:r>
      <w:r w:rsidRPr="003148BA">
        <w:rPr>
          <w:rFonts w:ascii="Times New Roman" w:hAnsi="Times New Roman" w:cs="Times New Roman"/>
          <w:noProof/>
          <w:sz w:val="20"/>
          <w:szCs w:val="24"/>
        </w:rPr>
        <w:t>(3), 463–485. https://doi.org/10.1016/j.advwatres.2008.11.012</w:t>
      </w:r>
    </w:p>
    <w:p w14:paraId="458E8BB4"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Gooddy, D. C., Bloomfield, J. P., Harrold, G., &amp; Leharne, S. A. (2002). Towards a better understanding of tetrachloroethene entry pressure in the matrix of Permo-Triassic sandstones. </w:t>
      </w:r>
      <w:r w:rsidRPr="003148BA">
        <w:rPr>
          <w:rFonts w:ascii="Times New Roman" w:hAnsi="Times New Roman" w:cs="Times New Roman"/>
          <w:i/>
          <w:iCs/>
          <w:noProof/>
          <w:sz w:val="20"/>
          <w:szCs w:val="24"/>
        </w:rPr>
        <w:t>Journal of Contaminant Hydrology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59</w:t>
      </w:r>
      <w:r w:rsidRPr="003148BA">
        <w:rPr>
          <w:rFonts w:ascii="Times New Roman" w:hAnsi="Times New Roman" w:cs="Times New Roman"/>
          <w:noProof/>
          <w:sz w:val="20"/>
          <w:szCs w:val="24"/>
        </w:rPr>
        <w:t>(3–4), 247–265.</w:t>
      </w:r>
    </w:p>
    <w:p w14:paraId="089248F1"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Held, R. J., &amp; Celia, M. A. (2001). Pore-scale modeling and upscaling of nonaqueous phase liquid mass transfer. </w:t>
      </w:r>
      <w:r w:rsidRPr="003148BA">
        <w:rPr>
          <w:rFonts w:ascii="Times New Roman" w:hAnsi="Times New Roman" w:cs="Times New Roman"/>
          <w:i/>
          <w:iCs/>
          <w:noProof/>
          <w:sz w:val="20"/>
          <w:szCs w:val="24"/>
        </w:rPr>
        <w:t>Water Resources Research</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37</w:t>
      </w:r>
      <w:r w:rsidRPr="003148BA">
        <w:rPr>
          <w:rFonts w:ascii="Times New Roman" w:hAnsi="Times New Roman" w:cs="Times New Roman"/>
          <w:noProof/>
          <w:sz w:val="20"/>
          <w:szCs w:val="24"/>
        </w:rPr>
        <w:t>(3), 539–549.</w:t>
      </w:r>
    </w:p>
    <w:p w14:paraId="6F050324"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Heron, G., Carroll, S., &amp; Nielsen, S. G. (2005). Full-scale removal of DNAPL constituents using steam-enhanced extraction and electrical resistance heating. </w:t>
      </w:r>
      <w:r w:rsidRPr="003148BA">
        <w:rPr>
          <w:rFonts w:ascii="Times New Roman" w:hAnsi="Times New Roman" w:cs="Times New Roman"/>
          <w:i/>
          <w:iCs/>
          <w:noProof/>
          <w:sz w:val="20"/>
          <w:szCs w:val="24"/>
        </w:rPr>
        <w:t>Groundwater Monitoring &amp; Remediation</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25</w:t>
      </w:r>
      <w:r w:rsidRPr="003148BA">
        <w:rPr>
          <w:rFonts w:ascii="Times New Roman" w:hAnsi="Times New Roman" w:cs="Times New Roman"/>
          <w:noProof/>
          <w:sz w:val="20"/>
          <w:szCs w:val="24"/>
        </w:rPr>
        <w:t>(4), 92–107.</w:t>
      </w:r>
    </w:p>
    <w:p w14:paraId="2E5661C2"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Huang, J., Christ, J. A., Goltz, M. N., &amp; Demond, A. H. (2015). Modeling NAPL dissolution from pendular rings in idealized porous media. </w:t>
      </w:r>
      <w:r w:rsidRPr="003148BA">
        <w:rPr>
          <w:rFonts w:ascii="Times New Roman" w:hAnsi="Times New Roman" w:cs="Times New Roman"/>
          <w:i/>
          <w:iCs/>
          <w:noProof/>
          <w:sz w:val="20"/>
          <w:szCs w:val="24"/>
        </w:rPr>
        <w:t>Water Resources Research</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51</w:t>
      </w:r>
      <w:r w:rsidRPr="003148BA">
        <w:rPr>
          <w:rFonts w:ascii="Times New Roman" w:hAnsi="Times New Roman" w:cs="Times New Roman"/>
          <w:noProof/>
          <w:sz w:val="20"/>
          <w:szCs w:val="24"/>
        </w:rPr>
        <w:t>(10), 8182–8197.</w:t>
      </w:r>
    </w:p>
    <w:p w14:paraId="42F115AF"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Huling, S. G., &amp; Pivetz, B. E. (2006). </w:t>
      </w:r>
      <w:r w:rsidRPr="003148BA">
        <w:rPr>
          <w:rFonts w:ascii="Times New Roman" w:hAnsi="Times New Roman" w:cs="Times New Roman"/>
          <w:i/>
          <w:iCs/>
          <w:noProof/>
          <w:sz w:val="20"/>
          <w:szCs w:val="24"/>
        </w:rPr>
        <w:t>In-situ chemical oxidation</w:t>
      </w:r>
      <w:r w:rsidRPr="003148BA">
        <w:rPr>
          <w:rFonts w:ascii="Times New Roman" w:hAnsi="Times New Roman" w:cs="Times New Roman"/>
          <w:noProof/>
          <w:sz w:val="20"/>
          <w:szCs w:val="24"/>
        </w:rPr>
        <w:t>.</w:t>
      </w:r>
    </w:p>
    <w:p w14:paraId="35D9BBFB"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Imhoff, P. T., Farthing, M. W., Gleyzer, S. N., &amp; Miller, C. T. (2002). Evolving interface between clean and nonaqueous phase liquid (NAPL)-contaminated regions in two-dimensional porous media. </w:t>
      </w:r>
      <w:r w:rsidRPr="003148BA">
        <w:rPr>
          <w:rFonts w:ascii="Times New Roman" w:hAnsi="Times New Roman" w:cs="Times New Roman"/>
          <w:i/>
          <w:iCs/>
          <w:noProof/>
          <w:sz w:val="20"/>
          <w:szCs w:val="24"/>
        </w:rPr>
        <w:t>Water Resources Research</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38</w:t>
      </w:r>
      <w:r w:rsidRPr="003148BA">
        <w:rPr>
          <w:rFonts w:ascii="Times New Roman" w:hAnsi="Times New Roman" w:cs="Times New Roman"/>
          <w:noProof/>
          <w:sz w:val="20"/>
          <w:szCs w:val="24"/>
        </w:rPr>
        <w:t>(6), 21–29.</w:t>
      </w:r>
    </w:p>
    <w:p w14:paraId="7D0D6B1D"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Javanbakht, G., &amp; Goual, L. (2016). Mobilization and micellar solubilization of NAPL contaminants in aquifer rocks. </w:t>
      </w:r>
      <w:r w:rsidRPr="003148BA">
        <w:rPr>
          <w:rFonts w:ascii="Times New Roman" w:hAnsi="Times New Roman" w:cs="Times New Roman"/>
          <w:i/>
          <w:iCs/>
          <w:noProof/>
          <w:sz w:val="20"/>
          <w:szCs w:val="24"/>
        </w:rPr>
        <w:t>Journal of Contaminant Hydrology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185</w:t>
      </w:r>
      <w:r w:rsidRPr="003148BA">
        <w:rPr>
          <w:rFonts w:ascii="Times New Roman" w:hAnsi="Times New Roman" w:cs="Times New Roman"/>
          <w:noProof/>
          <w:sz w:val="20"/>
          <w:szCs w:val="24"/>
        </w:rPr>
        <w:t>, 61–73.</w:t>
      </w:r>
    </w:p>
    <w:p w14:paraId="06D33D10"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Jia, C., Shing, K., &amp; Yortsos, Y. C. (1999). Visualization and simulation of non-aqueous phase liquids solubilization in pore networks. </w:t>
      </w:r>
      <w:r w:rsidRPr="003148BA">
        <w:rPr>
          <w:rFonts w:ascii="Times New Roman" w:hAnsi="Times New Roman" w:cs="Times New Roman"/>
          <w:i/>
          <w:iCs/>
          <w:noProof/>
          <w:sz w:val="20"/>
          <w:szCs w:val="24"/>
        </w:rPr>
        <w:t>Journal of Contaminant Hydrology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35</w:t>
      </w:r>
      <w:r w:rsidRPr="003148BA">
        <w:rPr>
          <w:rFonts w:ascii="Times New Roman" w:hAnsi="Times New Roman" w:cs="Times New Roman"/>
          <w:noProof/>
          <w:sz w:val="20"/>
          <w:szCs w:val="24"/>
        </w:rPr>
        <w:t>(4), 363–387.</w:t>
      </w:r>
    </w:p>
    <w:p w14:paraId="70DA3626"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Joekar-Niasar, V, &amp; Hassanizadeh, S. M. (2012). Analysis of fundamentals of two-phase flow in porous media using dynamic pore-network models: A review. </w:t>
      </w:r>
      <w:r w:rsidRPr="003148BA">
        <w:rPr>
          <w:rFonts w:ascii="Times New Roman" w:hAnsi="Times New Roman" w:cs="Times New Roman"/>
          <w:i/>
          <w:iCs/>
          <w:noProof/>
          <w:sz w:val="20"/>
          <w:szCs w:val="24"/>
        </w:rPr>
        <w:t>Critical Reviews in Environmental Science and Technology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42</w:t>
      </w:r>
      <w:r w:rsidRPr="003148BA">
        <w:rPr>
          <w:rFonts w:ascii="Times New Roman" w:hAnsi="Times New Roman" w:cs="Times New Roman"/>
          <w:noProof/>
          <w:sz w:val="20"/>
          <w:szCs w:val="24"/>
        </w:rPr>
        <w:t>(18), 1895–1976.</w:t>
      </w:r>
    </w:p>
    <w:p w14:paraId="7E5C3781"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Joekar-Niasar, V, Hassanizadeh, S. M., &amp; Dahle, H. K. (2010). Non-equilibrium effects in capillarity and </w:t>
      </w:r>
      <w:r w:rsidRPr="003148BA">
        <w:rPr>
          <w:rFonts w:ascii="Times New Roman" w:hAnsi="Times New Roman" w:cs="Times New Roman"/>
          <w:noProof/>
          <w:sz w:val="20"/>
          <w:szCs w:val="24"/>
        </w:rPr>
        <w:lastRenderedPageBreak/>
        <w:t xml:space="preserve">interfacial area in two-phase flow: dynamic pore-network modelling. </w:t>
      </w:r>
      <w:r w:rsidRPr="003148BA">
        <w:rPr>
          <w:rFonts w:ascii="Times New Roman" w:hAnsi="Times New Roman" w:cs="Times New Roman"/>
          <w:i/>
          <w:iCs/>
          <w:noProof/>
          <w:sz w:val="20"/>
          <w:szCs w:val="24"/>
        </w:rPr>
        <w:t>Journal of Fluid Mechanics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655</w:t>
      </w:r>
      <w:r w:rsidRPr="003148BA">
        <w:rPr>
          <w:rFonts w:ascii="Times New Roman" w:hAnsi="Times New Roman" w:cs="Times New Roman"/>
          <w:noProof/>
          <w:sz w:val="20"/>
          <w:szCs w:val="24"/>
        </w:rPr>
        <w:t>, 38–71.</w:t>
      </w:r>
    </w:p>
    <w:p w14:paraId="32CA38B0"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Joekar-Niasar, Vahid, &amp; Hassanizadeh, S. M. (2011). Effect of fluids properties on non-equilibrium capillarity effects: Dynamic pore-network modeling. </w:t>
      </w:r>
      <w:r w:rsidRPr="003148BA">
        <w:rPr>
          <w:rFonts w:ascii="Times New Roman" w:hAnsi="Times New Roman" w:cs="Times New Roman"/>
          <w:i/>
          <w:iCs/>
          <w:noProof/>
          <w:sz w:val="20"/>
          <w:szCs w:val="24"/>
        </w:rPr>
        <w:t>International Journal of Multiphase Flow</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37</w:t>
      </w:r>
      <w:r w:rsidRPr="003148BA">
        <w:rPr>
          <w:rFonts w:ascii="Times New Roman" w:hAnsi="Times New Roman" w:cs="Times New Roman"/>
          <w:noProof/>
          <w:sz w:val="20"/>
          <w:szCs w:val="24"/>
        </w:rPr>
        <w:t>(2), 198–214.</w:t>
      </w:r>
    </w:p>
    <w:p w14:paraId="12ED9646"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Kaskatepe, B., &amp; Yildiz, S. (2016). Rhamnolipid biosurfactants produced by Pseudomonas species. </w:t>
      </w:r>
      <w:r w:rsidRPr="003148BA">
        <w:rPr>
          <w:rFonts w:ascii="Times New Roman" w:hAnsi="Times New Roman" w:cs="Times New Roman"/>
          <w:i/>
          <w:iCs/>
          <w:noProof/>
          <w:sz w:val="20"/>
          <w:szCs w:val="24"/>
        </w:rPr>
        <w:t>Brazilian Archives of Biology and Technology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59</w:t>
      </w:r>
      <w:r w:rsidRPr="003148BA">
        <w:rPr>
          <w:rFonts w:ascii="Times New Roman" w:hAnsi="Times New Roman" w:cs="Times New Roman"/>
          <w:noProof/>
          <w:sz w:val="20"/>
          <w:szCs w:val="24"/>
        </w:rPr>
        <w:t>.</w:t>
      </w:r>
    </w:p>
    <w:p w14:paraId="3FAAC935"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Khasi, S., Ramezanzadeh, M., &amp; Ghazanfari, M. H. (2020). Experimentally based pore network modeling of NAPL dissolution process in heterogeneous porous media. </w:t>
      </w:r>
      <w:r w:rsidRPr="003148BA">
        <w:rPr>
          <w:rFonts w:ascii="Times New Roman" w:hAnsi="Times New Roman" w:cs="Times New Roman"/>
          <w:i/>
          <w:iCs/>
          <w:noProof/>
          <w:sz w:val="20"/>
          <w:szCs w:val="24"/>
        </w:rPr>
        <w:t>Journal of Contaminant Hydrology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228</w:t>
      </w:r>
      <w:r w:rsidRPr="003148BA">
        <w:rPr>
          <w:rFonts w:ascii="Times New Roman" w:hAnsi="Times New Roman" w:cs="Times New Roman"/>
          <w:noProof/>
          <w:sz w:val="20"/>
          <w:szCs w:val="24"/>
        </w:rPr>
        <w:t>, 103565.</w:t>
      </w:r>
    </w:p>
    <w:p w14:paraId="15F5BE90"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Lari, K. S., Davis, G. B., Rayner, J. L., Bastow, T. P., &amp; Puzon, G. J. (2019). Natural source zone depletion of LNAPL: A critical review supporting modelling approaches. </w:t>
      </w:r>
      <w:r w:rsidRPr="003148BA">
        <w:rPr>
          <w:rFonts w:ascii="Times New Roman" w:hAnsi="Times New Roman" w:cs="Times New Roman"/>
          <w:i/>
          <w:iCs/>
          <w:noProof/>
          <w:sz w:val="20"/>
          <w:szCs w:val="24"/>
        </w:rPr>
        <w:t>Water Research</w:t>
      </w:r>
      <w:r w:rsidRPr="003148BA">
        <w:rPr>
          <w:rFonts w:ascii="Times New Roman" w:hAnsi="Times New Roman" w:cs="Times New Roman"/>
          <w:noProof/>
          <w:sz w:val="20"/>
          <w:szCs w:val="24"/>
        </w:rPr>
        <w:t>.</w:t>
      </w:r>
    </w:p>
    <w:p w14:paraId="0F9C58A8"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Larue, A. E., Swider, P., Duru, P., Daviaud, D., Quintard, M., &amp; Davit, Y. (2018). Quantitative 3D comparison of biofilm imaged by X-ray micro-tomography and two-photon laser scanning microscopy. </w:t>
      </w:r>
      <w:r w:rsidRPr="003148BA">
        <w:rPr>
          <w:rFonts w:ascii="Times New Roman" w:hAnsi="Times New Roman" w:cs="Times New Roman"/>
          <w:i/>
          <w:iCs/>
          <w:noProof/>
          <w:sz w:val="20"/>
          <w:szCs w:val="24"/>
        </w:rPr>
        <w:t>Journal of Microscopy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271</w:t>
      </w:r>
      <w:r w:rsidRPr="003148BA">
        <w:rPr>
          <w:rFonts w:ascii="Times New Roman" w:hAnsi="Times New Roman" w:cs="Times New Roman"/>
          <w:noProof/>
          <w:sz w:val="20"/>
          <w:szCs w:val="24"/>
        </w:rPr>
        <w:t>(3), 302–314.</w:t>
      </w:r>
    </w:p>
    <w:p w14:paraId="7C01DD4D"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Lazar, I., Petrisor, I. G., &amp; Yen, T. F. (2007). Microbial enhanced oil recovery (MEOR). </w:t>
      </w:r>
      <w:r w:rsidRPr="003148BA">
        <w:rPr>
          <w:rFonts w:ascii="Times New Roman" w:hAnsi="Times New Roman" w:cs="Times New Roman"/>
          <w:i/>
          <w:iCs/>
          <w:noProof/>
          <w:sz w:val="20"/>
          <w:szCs w:val="24"/>
        </w:rPr>
        <w:t>Petroleum Science and Technology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25</w:t>
      </w:r>
      <w:r w:rsidRPr="003148BA">
        <w:rPr>
          <w:rFonts w:ascii="Times New Roman" w:hAnsi="Times New Roman" w:cs="Times New Roman"/>
          <w:noProof/>
          <w:sz w:val="20"/>
          <w:szCs w:val="24"/>
        </w:rPr>
        <w:t>(11), 1353–1366. https://doi.org/10.1080/10916460701287714</w:t>
      </w:r>
    </w:p>
    <w:p w14:paraId="6E93BC9E"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Manoli, G., Chambon, J. C., Bjerg, P. L., Scheutz, C., Binning, P. J., &amp; Broholm, M. M. (2012). A remediation performance model for enhanced metabolic reductive dechlorination of chloroethenes in fractured clay till. </w:t>
      </w:r>
      <w:r w:rsidRPr="003148BA">
        <w:rPr>
          <w:rFonts w:ascii="Times New Roman" w:hAnsi="Times New Roman" w:cs="Times New Roman"/>
          <w:i/>
          <w:iCs/>
          <w:noProof/>
          <w:sz w:val="20"/>
          <w:szCs w:val="24"/>
        </w:rPr>
        <w:t>Journal of Contaminant Hydrology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131</w:t>
      </w:r>
      <w:r w:rsidRPr="003148BA">
        <w:rPr>
          <w:rFonts w:ascii="Times New Roman" w:hAnsi="Times New Roman" w:cs="Times New Roman"/>
          <w:noProof/>
          <w:sz w:val="20"/>
          <w:szCs w:val="24"/>
        </w:rPr>
        <w:t>(1–4), 64–78.</w:t>
      </w:r>
    </w:p>
    <w:p w14:paraId="34B7FDF3"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Mathur, A. K., &amp; Majumder, C. B. (2010). Kinetics modelling of the biodegradation of benzene, toluene and phenol as single substrate and mixed substrate by using Pseudomonas putida. </w:t>
      </w:r>
      <w:r w:rsidRPr="003148BA">
        <w:rPr>
          <w:rFonts w:ascii="Times New Roman" w:hAnsi="Times New Roman" w:cs="Times New Roman"/>
          <w:i/>
          <w:iCs/>
          <w:noProof/>
          <w:sz w:val="20"/>
          <w:szCs w:val="24"/>
        </w:rPr>
        <w:t>Chemical and Biochemical Engineering Quarterly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24</w:t>
      </w:r>
      <w:r w:rsidRPr="003148BA">
        <w:rPr>
          <w:rFonts w:ascii="Times New Roman" w:hAnsi="Times New Roman" w:cs="Times New Roman"/>
          <w:noProof/>
          <w:sz w:val="20"/>
          <w:szCs w:val="24"/>
        </w:rPr>
        <w:t>(1), 101–109.</w:t>
      </w:r>
    </w:p>
    <w:p w14:paraId="11961332"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McCray, J. E., Bai, G., Maier, R. M., &amp; Brusseau, M. L. (2001). Biosurfactant-enhanced solubilization of NAPL mixtures. </w:t>
      </w:r>
      <w:r w:rsidRPr="003148BA">
        <w:rPr>
          <w:rFonts w:ascii="Times New Roman" w:hAnsi="Times New Roman" w:cs="Times New Roman"/>
          <w:i/>
          <w:iCs/>
          <w:noProof/>
          <w:sz w:val="20"/>
          <w:szCs w:val="24"/>
        </w:rPr>
        <w:t>Journal of Contaminant Hydrology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48</w:t>
      </w:r>
      <w:r w:rsidRPr="003148BA">
        <w:rPr>
          <w:rFonts w:ascii="Times New Roman" w:hAnsi="Times New Roman" w:cs="Times New Roman"/>
          <w:noProof/>
          <w:sz w:val="20"/>
          <w:szCs w:val="24"/>
        </w:rPr>
        <w:t>(1–2), 45–68.</w:t>
      </w:r>
    </w:p>
    <w:p w14:paraId="456B1651"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Meliani, A., &amp; Bensoltane, A. (2014). Enhancement of hydrocarbons degradation by use of Pseudomonas biosurfactants and biofilms. </w:t>
      </w:r>
      <w:r w:rsidRPr="003148BA">
        <w:rPr>
          <w:rFonts w:ascii="Times New Roman" w:hAnsi="Times New Roman" w:cs="Times New Roman"/>
          <w:i/>
          <w:iCs/>
          <w:noProof/>
          <w:sz w:val="20"/>
          <w:szCs w:val="24"/>
        </w:rPr>
        <w:t>Journal of Petroleum &amp; Environmental Biotechnology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5</w:t>
      </w:r>
      <w:r w:rsidRPr="003148BA">
        <w:rPr>
          <w:rFonts w:ascii="Times New Roman" w:hAnsi="Times New Roman" w:cs="Times New Roman"/>
          <w:noProof/>
          <w:sz w:val="20"/>
          <w:szCs w:val="24"/>
        </w:rPr>
        <w:t>(1), 1.</w:t>
      </w:r>
    </w:p>
    <w:p w14:paraId="38440143"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Mostaghimi, P., Bijeljic, B., Blunt, M., &amp; others. (2012). Simulation of flow and dispersion on pore-space images. </w:t>
      </w:r>
      <w:r w:rsidRPr="003148BA">
        <w:rPr>
          <w:rFonts w:ascii="Times New Roman" w:hAnsi="Times New Roman" w:cs="Times New Roman"/>
          <w:i/>
          <w:iCs/>
          <w:noProof/>
          <w:sz w:val="20"/>
          <w:szCs w:val="24"/>
        </w:rPr>
        <w:t>SPE Journal</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17</w:t>
      </w:r>
      <w:r w:rsidRPr="003148BA">
        <w:rPr>
          <w:rFonts w:ascii="Times New Roman" w:hAnsi="Times New Roman" w:cs="Times New Roman"/>
          <w:noProof/>
          <w:sz w:val="20"/>
          <w:szCs w:val="24"/>
        </w:rPr>
        <w:t>(04), 1–131.</w:t>
      </w:r>
    </w:p>
    <w:p w14:paraId="23F12708"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Mulder, H., Breure, A. M., Van Honschooten, D., Grotenhuis, J. T. C., Van Andel, J. G., &amp; Rulkens, W. H. (1998). Effect of biofilm formation by Pseudomonas 8909N on the bioavailability of solid naphthalene. </w:t>
      </w:r>
      <w:r w:rsidRPr="003148BA">
        <w:rPr>
          <w:rFonts w:ascii="Times New Roman" w:hAnsi="Times New Roman" w:cs="Times New Roman"/>
          <w:i/>
          <w:iCs/>
          <w:noProof/>
          <w:sz w:val="20"/>
          <w:szCs w:val="24"/>
        </w:rPr>
        <w:t>Applied Microbiology and Biotechnology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50</w:t>
      </w:r>
      <w:r w:rsidRPr="003148BA">
        <w:rPr>
          <w:rFonts w:ascii="Times New Roman" w:hAnsi="Times New Roman" w:cs="Times New Roman"/>
          <w:noProof/>
          <w:sz w:val="20"/>
          <w:szCs w:val="24"/>
        </w:rPr>
        <w:t>(2), 277–283.</w:t>
      </w:r>
    </w:p>
    <w:p w14:paraId="75732084"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Mulligan, C. N., Yong, R. N., &amp; Gibbs, B. F. (2001). Surfactant-enhanced remediation of contaminated soil: a review. </w:t>
      </w:r>
      <w:r w:rsidRPr="003148BA">
        <w:rPr>
          <w:rFonts w:ascii="Times New Roman" w:hAnsi="Times New Roman" w:cs="Times New Roman"/>
          <w:i/>
          <w:iCs/>
          <w:noProof/>
          <w:sz w:val="20"/>
          <w:szCs w:val="24"/>
        </w:rPr>
        <w:t>Engineering Geology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60</w:t>
      </w:r>
      <w:r w:rsidRPr="003148BA">
        <w:rPr>
          <w:rFonts w:ascii="Times New Roman" w:hAnsi="Times New Roman" w:cs="Times New Roman"/>
          <w:noProof/>
          <w:sz w:val="20"/>
          <w:szCs w:val="24"/>
        </w:rPr>
        <w:t>(1–4), 371–380.</w:t>
      </w:r>
    </w:p>
    <w:p w14:paraId="5CB35426"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Nanganuru, H. Y., &amp; Korrapati, N. (2012). Studies on biosorption of cadmium by Pseudomonas putida. </w:t>
      </w:r>
      <w:r w:rsidRPr="003148BA">
        <w:rPr>
          <w:rFonts w:ascii="Times New Roman" w:hAnsi="Times New Roman" w:cs="Times New Roman"/>
          <w:i/>
          <w:iCs/>
          <w:noProof/>
          <w:sz w:val="20"/>
          <w:szCs w:val="24"/>
        </w:rPr>
        <w:t>Int J Eng Res Appl</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2</w:t>
      </w:r>
      <w:r w:rsidRPr="003148BA">
        <w:rPr>
          <w:rFonts w:ascii="Times New Roman" w:hAnsi="Times New Roman" w:cs="Times New Roman"/>
          <w:noProof/>
          <w:sz w:val="20"/>
          <w:szCs w:val="24"/>
        </w:rPr>
        <w:t>(3), 2217–2219.</w:t>
      </w:r>
    </w:p>
    <w:p w14:paraId="66B01ABB"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Oh, Y.-S., Shareefdeen, Z., Baltzis, B. C., &amp; Bartha, R. (1994). Interactions between benzene, toluene, and p-xylene (BTX) during their biodegradation. </w:t>
      </w:r>
      <w:r w:rsidRPr="003148BA">
        <w:rPr>
          <w:rFonts w:ascii="Times New Roman" w:hAnsi="Times New Roman" w:cs="Times New Roman"/>
          <w:i/>
          <w:iCs/>
          <w:noProof/>
          <w:sz w:val="20"/>
          <w:szCs w:val="24"/>
        </w:rPr>
        <w:t>Biotechnology and Bioengineering</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44</w:t>
      </w:r>
      <w:r w:rsidRPr="003148BA">
        <w:rPr>
          <w:rFonts w:ascii="Times New Roman" w:hAnsi="Times New Roman" w:cs="Times New Roman"/>
          <w:noProof/>
          <w:sz w:val="20"/>
          <w:szCs w:val="24"/>
        </w:rPr>
        <w:t>(4), 533–538.</w:t>
      </w:r>
    </w:p>
    <w:p w14:paraId="0CFE6B7A"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Okaygun, M. S., Green, L. A., &amp; Akgerman, A. (1992). Effect of Consecutive Pulsing of an Inhibitory Substrate on Biodegradation Kinetics. </w:t>
      </w:r>
      <w:r w:rsidRPr="003148BA">
        <w:rPr>
          <w:rFonts w:ascii="Times New Roman" w:hAnsi="Times New Roman" w:cs="Times New Roman"/>
          <w:i/>
          <w:iCs/>
          <w:noProof/>
          <w:sz w:val="20"/>
          <w:szCs w:val="24"/>
        </w:rPr>
        <w:t>Environmental Science and Technology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26</w:t>
      </w:r>
      <w:r w:rsidRPr="003148BA">
        <w:rPr>
          <w:rFonts w:ascii="Times New Roman" w:hAnsi="Times New Roman" w:cs="Times New Roman"/>
          <w:noProof/>
          <w:sz w:val="20"/>
          <w:szCs w:val="24"/>
        </w:rPr>
        <w:t>(9), 1746–1752. https://doi.org/10.1021/es00033a005</w:t>
      </w:r>
    </w:p>
    <w:p w14:paraId="176DDE3F"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Øren, P.-E., &amp; Bakke, S. (2003). Reconstruction of Berea sandstone and pore-scale modelling of wettability effects. </w:t>
      </w:r>
      <w:r w:rsidRPr="003148BA">
        <w:rPr>
          <w:rFonts w:ascii="Times New Roman" w:hAnsi="Times New Roman" w:cs="Times New Roman"/>
          <w:i/>
          <w:iCs/>
          <w:noProof/>
          <w:sz w:val="20"/>
          <w:szCs w:val="24"/>
        </w:rPr>
        <w:t>Journal of Petroleum Science and Engineering</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39</w:t>
      </w:r>
      <w:r w:rsidRPr="003148BA">
        <w:rPr>
          <w:rFonts w:ascii="Times New Roman" w:hAnsi="Times New Roman" w:cs="Times New Roman"/>
          <w:noProof/>
          <w:sz w:val="20"/>
          <w:szCs w:val="24"/>
        </w:rPr>
        <w:t>(3–4), 177–199.</w:t>
      </w:r>
    </w:p>
    <w:p w14:paraId="6CF3CFD4"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Orgogozo, L., Golfier, F., Buès, M., &amp; Quintard, M. (2010). Upscaling of transport processes in porous media with biofilms in non-equilibrium conditions. </w:t>
      </w:r>
      <w:r w:rsidRPr="003148BA">
        <w:rPr>
          <w:rFonts w:ascii="Times New Roman" w:hAnsi="Times New Roman" w:cs="Times New Roman"/>
          <w:i/>
          <w:iCs/>
          <w:noProof/>
          <w:sz w:val="20"/>
          <w:szCs w:val="24"/>
        </w:rPr>
        <w:t>Advances in Water Resources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33</w:t>
      </w:r>
      <w:r w:rsidRPr="003148BA">
        <w:rPr>
          <w:rFonts w:ascii="Times New Roman" w:hAnsi="Times New Roman" w:cs="Times New Roman"/>
          <w:noProof/>
          <w:sz w:val="20"/>
          <w:szCs w:val="24"/>
        </w:rPr>
        <w:t>(5), 585–600.</w:t>
      </w:r>
    </w:p>
    <w:p w14:paraId="6078FA04"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Orgogozo, L., Golfier, F., Buès, M. A., Quintard, M., &amp; Koné, T. (2013). A dual-porosity theory for solute transport in biofilm-coated porous media. </w:t>
      </w:r>
      <w:r w:rsidRPr="003148BA">
        <w:rPr>
          <w:rFonts w:ascii="Times New Roman" w:hAnsi="Times New Roman" w:cs="Times New Roman"/>
          <w:i/>
          <w:iCs/>
          <w:noProof/>
          <w:sz w:val="20"/>
          <w:szCs w:val="24"/>
        </w:rPr>
        <w:t>Advances in Water Resources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62</w:t>
      </w:r>
      <w:r w:rsidRPr="003148BA">
        <w:rPr>
          <w:rFonts w:ascii="Times New Roman" w:hAnsi="Times New Roman" w:cs="Times New Roman"/>
          <w:noProof/>
          <w:sz w:val="20"/>
          <w:szCs w:val="24"/>
        </w:rPr>
        <w:t>, 266–279. https://doi.org/10.1016/j.advwatres.2013.09.011</w:t>
      </w:r>
    </w:p>
    <w:p w14:paraId="1C1C4AFD"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lastRenderedPageBreak/>
        <w:t xml:space="preserve">Ostvar, S., Iltis, G., Davit, Y., Schlüter, S., Andersson, L., Wood, B. D., &amp; Wildenschild, D. (2018). Investigating the influence of flow rate on biofilm growth in three dimensions using microimaging. </w:t>
      </w:r>
      <w:r w:rsidRPr="003148BA">
        <w:rPr>
          <w:rFonts w:ascii="Times New Roman" w:hAnsi="Times New Roman" w:cs="Times New Roman"/>
          <w:i/>
          <w:iCs/>
          <w:noProof/>
          <w:sz w:val="20"/>
          <w:szCs w:val="24"/>
        </w:rPr>
        <w:t>Advances in Water Resources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117</w:t>
      </w:r>
      <w:r w:rsidRPr="003148BA">
        <w:rPr>
          <w:rFonts w:ascii="Times New Roman" w:hAnsi="Times New Roman" w:cs="Times New Roman"/>
          <w:noProof/>
          <w:sz w:val="20"/>
          <w:szCs w:val="24"/>
        </w:rPr>
        <w:t>, 1–13.</w:t>
      </w:r>
    </w:p>
    <w:p w14:paraId="04759618"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Peszynska, M., Trykozko, A., Iltis, G., Schlueter, S., &amp; Wildenschild, D. (2016). Biofilm growth in porous media: experiments, computational modeling at the porescale, and upscaling. </w:t>
      </w:r>
      <w:r w:rsidRPr="003148BA">
        <w:rPr>
          <w:rFonts w:ascii="Times New Roman" w:hAnsi="Times New Roman" w:cs="Times New Roman"/>
          <w:i/>
          <w:iCs/>
          <w:noProof/>
          <w:sz w:val="20"/>
          <w:szCs w:val="24"/>
        </w:rPr>
        <w:t>Advances in Water Resources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95</w:t>
      </w:r>
      <w:r w:rsidRPr="003148BA">
        <w:rPr>
          <w:rFonts w:ascii="Times New Roman" w:hAnsi="Times New Roman" w:cs="Times New Roman"/>
          <w:noProof/>
          <w:sz w:val="20"/>
          <w:szCs w:val="24"/>
        </w:rPr>
        <w:t>, 288–301.</w:t>
      </w:r>
    </w:p>
    <w:p w14:paraId="2E0BC374"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Pintelon, T. R. R., Picioreanu, C., van Loosdrecht, M. C. M., &amp; Johns, M. L. (2012). The effect of biofilm permeability on bio-clogging of porous media. </w:t>
      </w:r>
      <w:r w:rsidRPr="003148BA">
        <w:rPr>
          <w:rFonts w:ascii="Times New Roman" w:hAnsi="Times New Roman" w:cs="Times New Roman"/>
          <w:i/>
          <w:iCs/>
          <w:noProof/>
          <w:sz w:val="20"/>
          <w:szCs w:val="24"/>
        </w:rPr>
        <w:t>Biotechnology and Bioengineering</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109</w:t>
      </w:r>
      <w:r w:rsidRPr="003148BA">
        <w:rPr>
          <w:rFonts w:ascii="Times New Roman" w:hAnsi="Times New Roman" w:cs="Times New Roman"/>
          <w:noProof/>
          <w:sz w:val="20"/>
          <w:szCs w:val="24"/>
        </w:rPr>
        <w:t>(4), 1031–1042.</w:t>
      </w:r>
    </w:p>
    <w:p w14:paraId="1455FD7A"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Pizarro, G., Griffeath, D., &amp; Noguera, D. R. (2001). Quantitative cellular automaton model for biofilms. </w:t>
      </w:r>
      <w:r w:rsidRPr="003148BA">
        <w:rPr>
          <w:rFonts w:ascii="Times New Roman" w:hAnsi="Times New Roman" w:cs="Times New Roman"/>
          <w:i/>
          <w:iCs/>
          <w:noProof/>
          <w:sz w:val="20"/>
          <w:szCs w:val="24"/>
        </w:rPr>
        <w:t>Journal of Environmental Engineering</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127</w:t>
      </w:r>
      <w:r w:rsidRPr="003148BA">
        <w:rPr>
          <w:rFonts w:ascii="Times New Roman" w:hAnsi="Times New Roman" w:cs="Times New Roman"/>
          <w:noProof/>
          <w:sz w:val="20"/>
          <w:szCs w:val="24"/>
        </w:rPr>
        <w:t>(9), 782–789.</w:t>
      </w:r>
    </w:p>
    <w:p w14:paraId="41E9FDF9"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Powell, K. L., Taylor, R. G., Cronin, A. A., Barrett, M. H., Pedley, S., Sellwood, J., et al. (2003). Microbial contamination of two urban sandstone aquifers in the UK. </w:t>
      </w:r>
      <w:r w:rsidRPr="003148BA">
        <w:rPr>
          <w:rFonts w:ascii="Times New Roman" w:hAnsi="Times New Roman" w:cs="Times New Roman"/>
          <w:i/>
          <w:iCs/>
          <w:noProof/>
          <w:sz w:val="20"/>
          <w:szCs w:val="24"/>
        </w:rPr>
        <w:t>Water Research</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37</w:t>
      </w:r>
      <w:r w:rsidRPr="003148BA">
        <w:rPr>
          <w:rFonts w:ascii="Times New Roman" w:hAnsi="Times New Roman" w:cs="Times New Roman"/>
          <w:noProof/>
          <w:sz w:val="20"/>
          <w:szCs w:val="24"/>
        </w:rPr>
        <w:t>(2), 339–352.</w:t>
      </w:r>
    </w:p>
    <w:p w14:paraId="48C10C54"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Powers, S. E. (1992). </w:t>
      </w:r>
      <w:r w:rsidRPr="003148BA">
        <w:rPr>
          <w:rFonts w:ascii="Times New Roman" w:hAnsi="Times New Roman" w:cs="Times New Roman"/>
          <w:i/>
          <w:iCs/>
          <w:noProof/>
          <w:sz w:val="20"/>
          <w:szCs w:val="24"/>
        </w:rPr>
        <w:t>Dissolution of nonaqueous phase liquids in saturated subsurface systems.</w:t>
      </w:r>
    </w:p>
    <w:p w14:paraId="3102C84F"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Qin, C.-Z., &amp; Hassanizadeh, S. M. (2015). Pore-network modeling of solute transport and biofilm growth in porous media. </w:t>
      </w:r>
      <w:r w:rsidRPr="003148BA">
        <w:rPr>
          <w:rFonts w:ascii="Times New Roman" w:hAnsi="Times New Roman" w:cs="Times New Roman"/>
          <w:i/>
          <w:iCs/>
          <w:noProof/>
          <w:sz w:val="20"/>
          <w:szCs w:val="24"/>
        </w:rPr>
        <w:t>Transport in Porous Media</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110</w:t>
      </w:r>
      <w:r w:rsidRPr="003148BA">
        <w:rPr>
          <w:rFonts w:ascii="Times New Roman" w:hAnsi="Times New Roman" w:cs="Times New Roman"/>
          <w:noProof/>
          <w:sz w:val="20"/>
          <w:szCs w:val="24"/>
        </w:rPr>
        <w:t>(3), 345–367.</w:t>
      </w:r>
    </w:p>
    <w:p w14:paraId="52CB57B7" w14:textId="77777777" w:rsidR="003148BA" w:rsidRPr="00560FCC"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lang w:val="es-MX"/>
        </w:rPr>
      </w:pPr>
      <w:r w:rsidRPr="003148BA">
        <w:rPr>
          <w:rFonts w:ascii="Times New Roman" w:hAnsi="Times New Roman" w:cs="Times New Roman"/>
          <w:noProof/>
          <w:sz w:val="20"/>
          <w:szCs w:val="24"/>
        </w:rPr>
        <w:t xml:space="preserve">Reardon, K. F., Mosteller, D. C., &amp; Bull Rogers, J. D. (2000). Biodegradation kinetics of benzene, toluene, and phenol as single and mixed substrates for Pseudomonas putida F1. </w:t>
      </w:r>
      <w:r w:rsidRPr="00560FCC">
        <w:rPr>
          <w:rFonts w:ascii="Times New Roman" w:hAnsi="Times New Roman" w:cs="Times New Roman"/>
          <w:i/>
          <w:iCs/>
          <w:noProof/>
          <w:sz w:val="20"/>
          <w:szCs w:val="24"/>
          <w:lang w:val="es-MX"/>
        </w:rPr>
        <w:t>Biotechnology and Bioengineering</w:t>
      </w:r>
      <w:r w:rsidRPr="00560FCC">
        <w:rPr>
          <w:rFonts w:ascii="Times New Roman" w:hAnsi="Times New Roman" w:cs="Times New Roman"/>
          <w:noProof/>
          <w:sz w:val="20"/>
          <w:szCs w:val="24"/>
          <w:lang w:val="es-MX"/>
        </w:rPr>
        <w:t xml:space="preserve">, </w:t>
      </w:r>
      <w:r w:rsidRPr="00560FCC">
        <w:rPr>
          <w:rFonts w:ascii="Times New Roman" w:hAnsi="Times New Roman" w:cs="Times New Roman"/>
          <w:i/>
          <w:iCs/>
          <w:noProof/>
          <w:sz w:val="20"/>
          <w:szCs w:val="24"/>
          <w:lang w:val="es-MX"/>
        </w:rPr>
        <w:t>69</w:t>
      </w:r>
      <w:r w:rsidRPr="00560FCC">
        <w:rPr>
          <w:rFonts w:ascii="Times New Roman" w:hAnsi="Times New Roman" w:cs="Times New Roman"/>
          <w:noProof/>
          <w:sz w:val="20"/>
          <w:szCs w:val="24"/>
          <w:lang w:val="es-MX"/>
        </w:rPr>
        <w:t>(4), 385–400.</w:t>
      </w:r>
    </w:p>
    <w:p w14:paraId="5DF0D93A"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560FCC">
        <w:rPr>
          <w:rFonts w:ascii="Times New Roman" w:hAnsi="Times New Roman" w:cs="Times New Roman"/>
          <w:noProof/>
          <w:sz w:val="20"/>
          <w:szCs w:val="24"/>
          <w:lang w:val="es-MX"/>
        </w:rPr>
        <w:t xml:space="preserve">Robledo-Ort\’\iz, J. R., Ram\’\irez-Arreola, D. E., Pérez-Fonseca, A. A., Gómez, C., González-Reynoso, O., Ramos-Quirarte, J., &amp; González-Núñez, R. (2011). </w:t>
      </w:r>
      <w:r w:rsidRPr="003148BA">
        <w:rPr>
          <w:rFonts w:ascii="Times New Roman" w:hAnsi="Times New Roman" w:cs="Times New Roman"/>
          <w:noProof/>
          <w:sz w:val="20"/>
          <w:szCs w:val="24"/>
        </w:rPr>
        <w:t xml:space="preserve">Benzene, toluene, and o-xylene degradation by free and immobilized P. putida F1 of postconsumer agave-fiber/polymer foamed composites. </w:t>
      </w:r>
      <w:r w:rsidRPr="003148BA">
        <w:rPr>
          <w:rFonts w:ascii="Times New Roman" w:hAnsi="Times New Roman" w:cs="Times New Roman"/>
          <w:i/>
          <w:iCs/>
          <w:noProof/>
          <w:sz w:val="20"/>
          <w:szCs w:val="24"/>
        </w:rPr>
        <w:t>International Biodeterioration &amp; Biodegradation</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65</w:t>
      </w:r>
      <w:r w:rsidRPr="003148BA">
        <w:rPr>
          <w:rFonts w:ascii="Times New Roman" w:hAnsi="Times New Roman" w:cs="Times New Roman"/>
          <w:noProof/>
          <w:sz w:val="20"/>
          <w:szCs w:val="24"/>
        </w:rPr>
        <w:t>(3), 539–546.</w:t>
      </w:r>
    </w:p>
    <w:p w14:paraId="7BCA666D"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Rodriguez, E., Giacomelli, F., &amp; Vazquez, A. (2004). Permeability-porosity relationship in RTM for different fiberglass and natural reinforcements. </w:t>
      </w:r>
      <w:r w:rsidRPr="003148BA">
        <w:rPr>
          <w:rFonts w:ascii="Times New Roman" w:hAnsi="Times New Roman" w:cs="Times New Roman"/>
          <w:i/>
          <w:iCs/>
          <w:noProof/>
          <w:sz w:val="20"/>
          <w:szCs w:val="24"/>
        </w:rPr>
        <w:t>Journal of Composite Materials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38</w:t>
      </w:r>
      <w:r w:rsidRPr="003148BA">
        <w:rPr>
          <w:rFonts w:ascii="Times New Roman" w:hAnsi="Times New Roman" w:cs="Times New Roman"/>
          <w:noProof/>
          <w:sz w:val="20"/>
          <w:szCs w:val="24"/>
        </w:rPr>
        <w:t>(3), 259–268.</w:t>
      </w:r>
    </w:p>
    <w:p w14:paraId="1EC85411"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Sahloul, N. A., Ioannidis, M. A., &amp; Chatzis, I. (2002). Dissolution of residual non-aqueous phase liquids in porous media: pore-scale mechanisms and mass transfer rates. </w:t>
      </w:r>
      <w:r w:rsidRPr="003148BA">
        <w:rPr>
          <w:rFonts w:ascii="Times New Roman" w:hAnsi="Times New Roman" w:cs="Times New Roman"/>
          <w:i/>
          <w:iCs/>
          <w:noProof/>
          <w:sz w:val="20"/>
          <w:szCs w:val="24"/>
        </w:rPr>
        <w:t>Advances in Water Resources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25</w:t>
      </w:r>
      <w:r w:rsidRPr="003148BA">
        <w:rPr>
          <w:rFonts w:ascii="Times New Roman" w:hAnsi="Times New Roman" w:cs="Times New Roman"/>
          <w:noProof/>
          <w:sz w:val="20"/>
          <w:szCs w:val="24"/>
        </w:rPr>
        <w:t>(1), 33–49.</w:t>
      </w:r>
    </w:p>
    <w:p w14:paraId="064DDC62"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Saravanan, P., Pakshirajan, K., &amp; Saha, P. (2008). Growth kinetics of an indigenous mixed microbial consortium during phenol degradation in a batch reactor. </w:t>
      </w:r>
      <w:r w:rsidRPr="003148BA">
        <w:rPr>
          <w:rFonts w:ascii="Times New Roman" w:hAnsi="Times New Roman" w:cs="Times New Roman"/>
          <w:i/>
          <w:iCs/>
          <w:noProof/>
          <w:sz w:val="20"/>
          <w:szCs w:val="24"/>
        </w:rPr>
        <w:t>Bioresource Technology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99</w:t>
      </w:r>
      <w:r w:rsidRPr="003148BA">
        <w:rPr>
          <w:rFonts w:ascii="Times New Roman" w:hAnsi="Times New Roman" w:cs="Times New Roman"/>
          <w:noProof/>
          <w:sz w:val="20"/>
          <w:szCs w:val="24"/>
        </w:rPr>
        <w:t>(1), 205–209. https://doi.org/10.1016/j.biortech.2006.11.045</w:t>
      </w:r>
    </w:p>
    <w:p w14:paraId="740C44A9"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Sarikurt, D. A., Gokdemir, C., &amp; Copty, N. K. (2017). Sherwood correlation for dissolution of pooled NAPL in porous media. </w:t>
      </w:r>
      <w:r w:rsidRPr="003148BA">
        <w:rPr>
          <w:rFonts w:ascii="Times New Roman" w:hAnsi="Times New Roman" w:cs="Times New Roman"/>
          <w:i/>
          <w:iCs/>
          <w:noProof/>
          <w:sz w:val="20"/>
          <w:szCs w:val="24"/>
        </w:rPr>
        <w:t>Journal of Contaminant Hydrology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206</w:t>
      </w:r>
      <w:r w:rsidRPr="003148BA">
        <w:rPr>
          <w:rFonts w:ascii="Times New Roman" w:hAnsi="Times New Roman" w:cs="Times New Roman"/>
          <w:noProof/>
          <w:sz w:val="20"/>
          <w:szCs w:val="24"/>
        </w:rPr>
        <w:t>, 67–74.</w:t>
      </w:r>
    </w:p>
    <w:p w14:paraId="15B2F5EB"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Schmidt, S. I., Kreft, J.-U., Mackay, R., Picioreanu, C., &amp; Thullner, M. (2018). Elucidating the impact of micro-scale heterogeneous bacterial distribution on biodegradation. </w:t>
      </w:r>
      <w:r w:rsidRPr="003148BA">
        <w:rPr>
          <w:rFonts w:ascii="Times New Roman" w:hAnsi="Times New Roman" w:cs="Times New Roman"/>
          <w:i/>
          <w:iCs/>
          <w:noProof/>
          <w:sz w:val="20"/>
          <w:szCs w:val="24"/>
        </w:rPr>
        <w:t>Advances in Water Resources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116</w:t>
      </w:r>
      <w:r w:rsidRPr="003148BA">
        <w:rPr>
          <w:rFonts w:ascii="Times New Roman" w:hAnsi="Times New Roman" w:cs="Times New Roman"/>
          <w:noProof/>
          <w:sz w:val="20"/>
          <w:szCs w:val="24"/>
        </w:rPr>
        <w:t>, 67–76.</w:t>
      </w:r>
    </w:p>
    <w:p w14:paraId="0D90E8DA"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von der Schulenburg, D. A. G., Pintelon, T. R. R., Picioreanu, C., Van Loosdrecht, M. C. M., &amp; Johns, M. L. (2009). Three-dimensional simulations of biofilm growth in porous media. </w:t>
      </w:r>
      <w:r w:rsidRPr="003148BA">
        <w:rPr>
          <w:rFonts w:ascii="Times New Roman" w:hAnsi="Times New Roman" w:cs="Times New Roman"/>
          <w:i/>
          <w:iCs/>
          <w:noProof/>
          <w:sz w:val="20"/>
          <w:szCs w:val="24"/>
        </w:rPr>
        <w:t>AIChE Journal</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55</w:t>
      </w:r>
      <w:r w:rsidRPr="003148BA">
        <w:rPr>
          <w:rFonts w:ascii="Times New Roman" w:hAnsi="Times New Roman" w:cs="Times New Roman"/>
          <w:noProof/>
          <w:sz w:val="20"/>
          <w:szCs w:val="24"/>
        </w:rPr>
        <w:t>(2), 494–504.</w:t>
      </w:r>
    </w:p>
    <w:p w14:paraId="0B41BAAE"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Singh, R., Paul, D., &amp; Jain, R. K. (2006). Biofilms: implications in bioremediation. </w:t>
      </w:r>
      <w:r w:rsidRPr="003148BA">
        <w:rPr>
          <w:rFonts w:ascii="Times New Roman" w:hAnsi="Times New Roman" w:cs="Times New Roman"/>
          <w:i/>
          <w:iCs/>
          <w:noProof/>
          <w:sz w:val="20"/>
          <w:szCs w:val="24"/>
        </w:rPr>
        <w:t>Trends in Microbiology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14</w:t>
      </w:r>
      <w:r w:rsidRPr="003148BA">
        <w:rPr>
          <w:rFonts w:ascii="Times New Roman" w:hAnsi="Times New Roman" w:cs="Times New Roman"/>
          <w:noProof/>
          <w:sz w:val="20"/>
          <w:szCs w:val="24"/>
        </w:rPr>
        <w:t>(9), 389–397.</w:t>
      </w:r>
    </w:p>
    <w:p w14:paraId="73A363A0"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560FCC">
        <w:rPr>
          <w:rFonts w:ascii="Times New Roman" w:hAnsi="Times New Roman" w:cs="Times New Roman"/>
          <w:noProof/>
          <w:sz w:val="20"/>
          <w:szCs w:val="24"/>
          <w:lang w:val="es-MX"/>
        </w:rPr>
        <w:t xml:space="preserve">Sivasankar, P., &amp; Kumar, G. S. (2014). </w:t>
      </w:r>
      <w:r w:rsidRPr="003148BA">
        <w:rPr>
          <w:rFonts w:ascii="Times New Roman" w:hAnsi="Times New Roman" w:cs="Times New Roman"/>
          <w:noProof/>
          <w:sz w:val="20"/>
          <w:szCs w:val="24"/>
        </w:rPr>
        <w:t xml:space="preserve">Numerical modelling of enhanced oil recovery by microbial flooding under non-isothermal conditions. </w:t>
      </w:r>
      <w:r w:rsidRPr="003148BA">
        <w:rPr>
          <w:rFonts w:ascii="Times New Roman" w:hAnsi="Times New Roman" w:cs="Times New Roman"/>
          <w:i/>
          <w:iCs/>
          <w:noProof/>
          <w:sz w:val="20"/>
          <w:szCs w:val="24"/>
        </w:rPr>
        <w:t>Journal of Petroleum Science and Engineering</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124</w:t>
      </w:r>
      <w:r w:rsidRPr="003148BA">
        <w:rPr>
          <w:rFonts w:ascii="Times New Roman" w:hAnsi="Times New Roman" w:cs="Times New Roman"/>
          <w:noProof/>
          <w:sz w:val="20"/>
          <w:szCs w:val="24"/>
        </w:rPr>
        <w:t>, 161–172. https://doi.org/10.1016/j.petrol.2014.10.008</w:t>
      </w:r>
    </w:p>
    <w:p w14:paraId="5E31D6BA"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Smith, W. P. J., Davit, Y., Osborne, J. M., Kim, W., Foster, K. R., &amp; Pitt-Francis, J. M. (2017). Cell morphology drives spatial patterning in microbial communities. </w:t>
      </w:r>
      <w:r w:rsidRPr="003148BA">
        <w:rPr>
          <w:rFonts w:ascii="Times New Roman" w:hAnsi="Times New Roman" w:cs="Times New Roman"/>
          <w:i/>
          <w:iCs/>
          <w:noProof/>
          <w:sz w:val="20"/>
          <w:szCs w:val="24"/>
        </w:rPr>
        <w:t>Proceedings of the National Academy of Sciences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114</w:t>
      </w:r>
      <w:r w:rsidRPr="003148BA">
        <w:rPr>
          <w:rFonts w:ascii="Times New Roman" w:hAnsi="Times New Roman" w:cs="Times New Roman"/>
          <w:noProof/>
          <w:sz w:val="20"/>
          <w:szCs w:val="24"/>
        </w:rPr>
        <w:t>(3), E280--E286.</w:t>
      </w:r>
    </w:p>
    <w:p w14:paraId="39078319"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Soga, K., Page, J. W. E., &amp; Illangasekare, T. H. (2004). A review of NAPL source zone remediation efficiency and the mass flux approach. </w:t>
      </w:r>
      <w:r w:rsidRPr="003148BA">
        <w:rPr>
          <w:rFonts w:ascii="Times New Roman" w:hAnsi="Times New Roman" w:cs="Times New Roman"/>
          <w:i/>
          <w:iCs/>
          <w:noProof/>
          <w:sz w:val="20"/>
          <w:szCs w:val="24"/>
        </w:rPr>
        <w:t>Journal of Hazardous Materials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110</w:t>
      </w:r>
      <w:r w:rsidRPr="003148BA">
        <w:rPr>
          <w:rFonts w:ascii="Times New Roman" w:hAnsi="Times New Roman" w:cs="Times New Roman"/>
          <w:noProof/>
          <w:sz w:val="20"/>
          <w:szCs w:val="24"/>
        </w:rPr>
        <w:t>(1–3), 13–27.</w:t>
      </w:r>
    </w:p>
    <w:p w14:paraId="703D34A4"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lastRenderedPageBreak/>
        <w:t xml:space="preserve">Soudmand-asli, A., Ayatollahi, S. S., Mohabatkar, H., Zareie, M., &amp; Shariatpanahi, S. F. (2007). The in situ microbial enhanced oil recovery in fractured porous media. </w:t>
      </w:r>
      <w:r w:rsidRPr="003148BA">
        <w:rPr>
          <w:rFonts w:ascii="Times New Roman" w:hAnsi="Times New Roman" w:cs="Times New Roman"/>
          <w:i/>
          <w:iCs/>
          <w:noProof/>
          <w:sz w:val="20"/>
          <w:szCs w:val="24"/>
        </w:rPr>
        <w:t>Journal of Petroleum Science and Engineering</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58</w:t>
      </w:r>
      <w:r w:rsidRPr="003148BA">
        <w:rPr>
          <w:rFonts w:ascii="Times New Roman" w:hAnsi="Times New Roman" w:cs="Times New Roman"/>
          <w:noProof/>
          <w:sz w:val="20"/>
          <w:szCs w:val="24"/>
        </w:rPr>
        <w:t>(1–2), 161–172. https://doi.org/10.1016/j.petrol.2006.12.004</w:t>
      </w:r>
    </w:p>
    <w:p w14:paraId="77195A41"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Suchomel, B. J., Chen, B. M., &amp; Allen, M. B. (1998). Network model of flow, transport and biofilm effects in porous media. </w:t>
      </w:r>
      <w:r w:rsidRPr="003148BA">
        <w:rPr>
          <w:rFonts w:ascii="Times New Roman" w:hAnsi="Times New Roman" w:cs="Times New Roman"/>
          <w:i/>
          <w:iCs/>
          <w:noProof/>
          <w:sz w:val="20"/>
          <w:szCs w:val="24"/>
        </w:rPr>
        <w:t>Transport in Porous Media</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30</w:t>
      </w:r>
      <w:r w:rsidRPr="003148BA">
        <w:rPr>
          <w:rFonts w:ascii="Times New Roman" w:hAnsi="Times New Roman" w:cs="Times New Roman"/>
          <w:noProof/>
          <w:sz w:val="20"/>
          <w:szCs w:val="24"/>
        </w:rPr>
        <w:t>(1), 1–23.</w:t>
      </w:r>
    </w:p>
    <w:p w14:paraId="22A8785C"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Tang, Y., Valocchi, A. J., Werth, C. J., &amp; Liu, H. (2013). An improved pore-scale biofilm model and comparison with a microfluidic flow cell experiment. </w:t>
      </w:r>
      <w:r w:rsidRPr="003148BA">
        <w:rPr>
          <w:rFonts w:ascii="Times New Roman" w:hAnsi="Times New Roman" w:cs="Times New Roman"/>
          <w:i/>
          <w:iCs/>
          <w:noProof/>
          <w:sz w:val="20"/>
          <w:szCs w:val="24"/>
        </w:rPr>
        <w:t>Water Resources Research</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49</w:t>
      </w:r>
      <w:r w:rsidRPr="003148BA">
        <w:rPr>
          <w:rFonts w:ascii="Times New Roman" w:hAnsi="Times New Roman" w:cs="Times New Roman"/>
          <w:noProof/>
          <w:sz w:val="20"/>
          <w:szCs w:val="24"/>
        </w:rPr>
        <w:t>(12), 8370–8382.</w:t>
      </w:r>
    </w:p>
    <w:p w14:paraId="341E27EE"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Thomson, P. R., Ellis, R., Chiarella, D., &amp; Hier-Majumder, S. (2020). Microstructural Analysis From X-Ray CT Images of the Brae Formation Sandstone, North Sea. Front. </w:t>
      </w:r>
      <w:r w:rsidRPr="003148BA">
        <w:rPr>
          <w:rFonts w:ascii="Times New Roman" w:hAnsi="Times New Roman" w:cs="Times New Roman"/>
          <w:i/>
          <w:iCs/>
          <w:noProof/>
          <w:sz w:val="20"/>
          <w:szCs w:val="24"/>
        </w:rPr>
        <w:t>Earth Sci</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8</w:t>
      </w:r>
      <w:r w:rsidRPr="003148BA">
        <w:rPr>
          <w:rFonts w:ascii="Times New Roman" w:hAnsi="Times New Roman" w:cs="Times New Roman"/>
          <w:noProof/>
          <w:sz w:val="20"/>
          <w:szCs w:val="24"/>
        </w:rPr>
        <w:t>, 246.</w:t>
      </w:r>
    </w:p>
    <w:p w14:paraId="03EEAC62"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Thullner, M., &amp; Baveye, P. (2008). Computational pore network modeling of the influence of biofilm permeability on bioclogging in porous media. </w:t>
      </w:r>
      <w:r w:rsidRPr="003148BA">
        <w:rPr>
          <w:rFonts w:ascii="Times New Roman" w:hAnsi="Times New Roman" w:cs="Times New Roman"/>
          <w:i/>
          <w:iCs/>
          <w:noProof/>
          <w:sz w:val="20"/>
          <w:szCs w:val="24"/>
        </w:rPr>
        <w:t>Biotechnology and Bioengineering</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99</w:t>
      </w:r>
      <w:r w:rsidRPr="003148BA">
        <w:rPr>
          <w:rFonts w:ascii="Times New Roman" w:hAnsi="Times New Roman" w:cs="Times New Roman"/>
          <w:noProof/>
          <w:sz w:val="20"/>
          <w:szCs w:val="24"/>
        </w:rPr>
        <w:t>(6), 1337–1351.</w:t>
      </w:r>
    </w:p>
    <w:p w14:paraId="7657D3AF"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Thullner, M., Zeyer, J., &amp; Kinzelbach, W. (2002). Influence of microbial growth on hydraulic properties of pore networks. </w:t>
      </w:r>
      <w:r w:rsidRPr="003148BA">
        <w:rPr>
          <w:rFonts w:ascii="Times New Roman" w:hAnsi="Times New Roman" w:cs="Times New Roman"/>
          <w:i/>
          <w:iCs/>
          <w:noProof/>
          <w:sz w:val="20"/>
          <w:szCs w:val="24"/>
        </w:rPr>
        <w:t>Transport in Porous Media</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49</w:t>
      </w:r>
      <w:r w:rsidRPr="003148BA">
        <w:rPr>
          <w:rFonts w:ascii="Times New Roman" w:hAnsi="Times New Roman" w:cs="Times New Roman"/>
          <w:noProof/>
          <w:sz w:val="20"/>
          <w:szCs w:val="24"/>
        </w:rPr>
        <w:t>(1), 99–122.</w:t>
      </w:r>
    </w:p>
    <w:p w14:paraId="2260E799"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Vayenas, D. V, Michalopoulou, E., Constantinides, G. N., Pavlou, S., &amp; Payatakes, A. C. (2002). Visualization experiments of biodegradation in porous media and calculation of the biodegradation rate. </w:t>
      </w:r>
      <w:r w:rsidRPr="003148BA">
        <w:rPr>
          <w:rFonts w:ascii="Times New Roman" w:hAnsi="Times New Roman" w:cs="Times New Roman"/>
          <w:i/>
          <w:iCs/>
          <w:noProof/>
          <w:sz w:val="20"/>
          <w:szCs w:val="24"/>
        </w:rPr>
        <w:t>Advances in Water Resources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25</w:t>
      </w:r>
      <w:r w:rsidRPr="003148BA">
        <w:rPr>
          <w:rFonts w:ascii="Times New Roman" w:hAnsi="Times New Roman" w:cs="Times New Roman"/>
          <w:noProof/>
          <w:sz w:val="20"/>
          <w:szCs w:val="24"/>
        </w:rPr>
        <w:t>(2), 203–219.</w:t>
      </w:r>
    </w:p>
    <w:p w14:paraId="7AA19831"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Wardlaw, N. C. (1982). The effects of geometry, wettability, viscosity and interfacial tension on trapping in single pore-throat pairs. </w:t>
      </w:r>
      <w:r w:rsidRPr="003148BA">
        <w:rPr>
          <w:rFonts w:ascii="Times New Roman" w:hAnsi="Times New Roman" w:cs="Times New Roman"/>
          <w:i/>
          <w:iCs/>
          <w:noProof/>
          <w:sz w:val="20"/>
          <w:szCs w:val="24"/>
        </w:rPr>
        <w:t>Journal of Canadian Petroleum Technology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21</w:t>
      </w:r>
      <w:r w:rsidRPr="003148BA">
        <w:rPr>
          <w:rFonts w:ascii="Times New Roman" w:hAnsi="Times New Roman" w:cs="Times New Roman"/>
          <w:noProof/>
          <w:sz w:val="20"/>
          <w:szCs w:val="24"/>
        </w:rPr>
        <w:t>(03).</w:t>
      </w:r>
    </w:p>
    <w:p w14:paraId="2458982C"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Wealthall, G. P., Steele, A., Bloomfield, J. P., Moss, R. H., &amp; Lerner, D. N. (2001). Sediment filled fractures in the Permo-Triassic sandstones of the Cheshire Basin: observations and implications for pollutant transport. </w:t>
      </w:r>
      <w:r w:rsidRPr="003148BA">
        <w:rPr>
          <w:rFonts w:ascii="Times New Roman" w:hAnsi="Times New Roman" w:cs="Times New Roman"/>
          <w:i/>
          <w:iCs/>
          <w:noProof/>
          <w:sz w:val="20"/>
          <w:szCs w:val="24"/>
        </w:rPr>
        <w:t>Journal of Contaminant Hydrology</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50</w:t>
      </w:r>
      <w:r w:rsidRPr="003148BA">
        <w:rPr>
          <w:rFonts w:ascii="Times New Roman" w:hAnsi="Times New Roman" w:cs="Times New Roman"/>
          <w:noProof/>
          <w:sz w:val="20"/>
          <w:szCs w:val="24"/>
        </w:rPr>
        <w:t>(1–2), 41–51.</w:t>
      </w:r>
    </w:p>
    <w:p w14:paraId="75D299F0"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Wiedemeier, T. H., Rifai, H. S., Newell, C. J., &amp; Wilson, J. T. (1999). </w:t>
      </w:r>
      <w:r w:rsidRPr="003148BA">
        <w:rPr>
          <w:rFonts w:ascii="Times New Roman" w:hAnsi="Times New Roman" w:cs="Times New Roman"/>
          <w:i/>
          <w:iCs/>
          <w:noProof/>
          <w:sz w:val="20"/>
          <w:szCs w:val="24"/>
        </w:rPr>
        <w:t>Natural attenuation of fuels and chlorinated solvents in the subsurface</w:t>
      </w:r>
      <w:r w:rsidRPr="003148BA">
        <w:rPr>
          <w:rFonts w:ascii="Times New Roman" w:hAnsi="Times New Roman" w:cs="Times New Roman"/>
          <w:noProof/>
          <w:sz w:val="20"/>
          <w:szCs w:val="24"/>
        </w:rPr>
        <w:t>. John Wiley &amp; Sons.</w:t>
      </w:r>
    </w:p>
    <w:p w14:paraId="2B6870BE"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Wittgens, A., Tiso, T., Arndt, T. T., Wenk, P., Hemmerich, J., Müller, C., et al. (2011). Growth independent rhamnolipid production from glucose using the non-pathogenic Pseudomonas putida KT2440. </w:t>
      </w:r>
      <w:r w:rsidRPr="003148BA">
        <w:rPr>
          <w:rFonts w:ascii="Times New Roman" w:hAnsi="Times New Roman" w:cs="Times New Roman"/>
          <w:i/>
          <w:iCs/>
          <w:noProof/>
          <w:sz w:val="20"/>
          <w:szCs w:val="24"/>
        </w:rPr>
        <w:t>Microbial Cell Factories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10</w:t>
      </w:r>
      <w:r w:rsidRPr="003148BA">
        <w:rPr>
          <w:rFonts w:ascii="Times New Roman" w:hAnsi="Times New Roman" w:cs="Times New Roman"/>
          <w:noProof/>
          <w:sz w:val="20"/>
          <w:szCs w:val="24"/>
        </w:rPr>
        <w:t>(1), 80.</w:t>
      </w:r>
    </w:p>
    <w:p w14:paraId="60B9F9B8"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Yang, X., Erickson, L. E., &amp; Fan, L. T. (1995). A study of the dissolution rate-limited bioremediation of soils contaminated by residual hydrocarbons. </w:t>
      </w:r>
      <w:r w:rsidRPr="003148BA">
        <w:rPr>
          <w:rFonts w:ascii="Times New Roman" w:hAnsi="Times New Roman" w:cs="Times New Roman"/>
          <w:i/>
          <w:iCs/>
          <w:noProof/>
          <w:sz w:val="20"/>
          <w:szCs w:val="24"/>
        </w:rPr>
        <w:t>Journal of Hazardous Materials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41</w:t>
      </w:r>
      <w:r w:rsidRPr="003148BA">
        <w:rPr>
          <w:rFonts w:ascii="Times New Roman" w:hAnsi="Times New Roman" w:cs="Times New Roman"/>
          <w:noProof/>
          <w:sz w:val="20"/>
          <w:szCs w:val="24"/>
        </w:rPr>
        <w:t>(2–3), 299–313.</w:t>
      </w:r>
    </w:p>
    <w:p w14:paraId="59ADF9BC"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Zhang, L., &amp; Guo, F. (2008). Micro-mechanisms of residual oil mobilization by viscoelastic fluids. </w:t>
      </w:r>
      <w:r w:rsidRPr="003148BA">
        <w:rPr>
          <w:rFonts w:ascii="Times New Roman" w:hAnsi="Times New Roman" w:cs="Times New Roman"/>
          <w:i/>
          <w:iCs/>
          <w:noProof/>
          <w:sz w:val="20"/>
          <w:szCs w:val="24"/>
        </w:rPr>
        <w:t>Petroleum Science</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5</w:t>
      </w:r>
      <w:r w:rsidRPr="003148BA">
        <w:rPr>
          <w:rFonts w:ascii="Times New Roman" w:hAnsi="Times New Roman" w:cs="Times New Roman"/>
          <w:noProof/>
          <w:sz w:val="20"/>
          <w:szCs w:val="24"/>
        </w:rPr>
        <w:t>(1), 56–61.</w:t>
      </w:r>
    </w:p>
    <w:p w14:paraId="02527EBD"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Zhang, T. C., &amp; Bishop, P. L. (1994). Density, porosity, and pore structure of biofilms. </w:t>
      </w:r>
      <w:r w:rsidRPr="003148BA">
        <w:rPr>
          <w:rFonts w:ascii="Times New Roman" w:hAnsi="Times New Roman" w:cs="Times New Roman"/>
          <w:i/>
          <w:iCs/>
          <w:noProof/>
          <w:sz w:val="20"/>
          <w:szCs w:val="24"/>
        </w:rPr>
        <w:t>Water Research</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28</w:t>
      </w:r>
      <w:r w:rsidRPr="003148BA">
        <w:rPr>
          <w:rFonts w:ascii="Times New Roman" w:hAnsi="Times New Roman" w:cs="Times New Roman"/>
          <w:noProof/>
          <w:sz w:val="20"/>
          <w:szCs w:val="24"/>
        </w:rPr>
        <w:t>(11), 2267–2277.</w:t>
      </w:r>
    </w:p>
    <w:p w14:paraId="31D4B92E"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Zhao, W, &amp; Ioannidis, M. A. (2003). Pore network simulation of the dissolution of a single-component wetting nonaqueous phase liquid. </w:t>
      </w:r>
      <w:r w:rsidRPr="003148BA">
        <w:rPr>
          <w:rFonts w:ascii="Times New Roman" w:hAnsi="Times New Roman" w:cs="Times New Roman"/>
          <w:i/>
          <w:iCs/>
          <w:noProof/>
          <w:sz w:val="20"/>
          <w:szCs w:val="24"/>
        </w:rPr>
        <w:t>Water Resources Research</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39</w:t>
      </w:r>
      <w:r w:rsidRPr="003148BA">
        <w:rPr>
          <w:rFonts w:ascii="Times New Roman" w:hAnsi="Times New Roman" w:cs="Times New Roman"/>
          <w:noProof/>
          <w:sz w:val="20"/>
          <w:szCs w:val="24"/>
        </w:rPr>
        <w:t>(10).</w:t>
      </w:r>
    </w:p>
    <w:p w14:paraId="48D0ED1C"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Zhao, Weishu, &amp; Ioannidis, M. A. (2007a). Convective mass transfer across fluid interfaces in straight angular pores. </w:t>
      </w:r>
      <w:r w:rsidRPr="003148BA">
        <w:rPr>
          <w:rFonts w:ascii="Times New Roman" w:hAnsi="Times New Roman" w:cs="Times New Roman"/>
          <w:i/>
          <w:iCs/>
          <w:noProof/>
          <w:sz w:val="20"/>
          <w:szCs w:val="24"/>
        </w:rPr>
        <w:t>Transport in Porous Media</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66</w:t>
      </w:r>
      <w:r w:rsidRPr="003148BA">
        <w:rPr>
          <w:rFonts w:ascii="Times New Roman" w:hAnsi="Times New Roman" w:cs="Times New Roman"/>
          <w:noProof/>
          <w:sz w:val="20"/>
          <w:szCs w:val="24"/>
        </w:rPr>
        <w:t>(3), 495–509.</w:t>
      </w:r>
    </w:p>
    <w:p w14:paraId="12251C06"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Zhao, Weishu, &amp; Ioannidis, M. A. (2007b). Effect of NAPL film stability on the dissolution of residual wetting NAPL in porous media: A pore-scale modeling study. </w:t>
      </w:r>
      <w:r w:rsidRPr="003148BA">
        <w:rPr>
          <w:rFonts w:ascii="Times New Roman" w:hAnsi="Times New Roman" w:cs="Times New Roman"/>
          <w:i/>
          <w:iCs/>
          <w:noProof/>
          <w:sz w:val="20"/>
          <w:szCs w:val="24"/>
        </w:rPr>
        <w:t>Advances in Water Resources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30</w:t>
      </w:r>
      <w:r w:rsidRPr="003148BA">
        <w:rPr>
          <w:rFonts w:ascii="Times New Roman" w:hAnsi="Times New Roman" w:cs="Times New Roman"/>
          <w:noProof/>
          <w:sz w:val="20"/>
          <w:szCs w:val="24"/>
        </w:rPr>
        <w:t>(2), 171–181.</w:t>
      </w:r>
    </w:p>
    <w:p w14:paraId="34B0C548" w14:textId="77777777" w:rsidR="003148BA" w:rsidRP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Zhao, Weishu, &amp; Ioannidis, M. A. (2011). Gas exsolution and flow during supersaturated water injection in porous media: I. Pore network modeling. </w:t>
      </w:r>
      <w:r w:rsidRPr="003148BA">
        <w:rPr>
          <w:rFonts w:ascii="Times New Roman" w:hAnsi="Times New Roman" w:cs="Times New Roman"/>
          <w:i/>
          <w:iCs/>
          <w:noProof/>
          <w:sz w:val="20"/>
          <w:szCs w:val="24"/>
        </w:rPr>
        <w:t>Advances in Water Resources</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34</w:t>
      </w:r>
      <w:r w:rsidRPr="003148BA">
        <w:rPr>
          <w:rFonts w:ascii="Times New Roman" w:hAnsi="Times New Roman" w:cs="Times New Roman"/>
          <w:noProof/>
          <w:sz w:val="20"/>
          <w:szCs w:val="24"/>
        </w:rPr>
        <w:t>(1), 2–14.</w:t>
      </w:r>
    </w:p>
    <w:p w14:paraId="7C8D3059" w14:textId="77777777" w:rsidR="003148BA" w:rsidRDefault="003148BA" w:rsidP="00772167">
      <w:pPr>
        <w:widowControl w:val="0"/>
        <w:autoSpaceDE w:val="0"/>
        <w:autoSpaceDN w:val="0"/>
        <w:adjustRightInd w:val="0"/>
        <w:spacing w:line="240" w:lineRule="auto"/>
        <w:ind w:left="480" w:hanging="480"/>
        <w:jc w:val="both"/>
        <w:rPr>
          <w:rFonts w:ascii="Times New Roman" w:hAnsi="Times New Roman" w:cs="Times New Roman"/>
          <w:noProof/>
          <w:sz w:val="20"/>
          <w:szCs w:val="24"/>
        </w:rPr>
      </w:pPr>
      <w:r w:rsidRPr="003148BA">
        <w:rPr>
          <w:rFonts w:ascii="Times New Roman" w:hAnsi="Times New Roman" w:cs="Times New Roman"/>
          <w:noProof/>
          <w:sz w:val="20"/>
          <w:szCs w:val="24"/>
        </w:rPr>
        <w:t xml:space="preserve">Zhou, D., Dillard, L. A., &amp; Blunt, M. J. (2000). A physically based model of dissolution of nonaqueous phase liquids in the saturated zone. </w:t>
      </w:r>
      <w:r w:rsidRPr="003148BA">
        <w:rPr>
          <w:rFonts w:ascii="Times New Roman" w:hAnsi="Times New Roman" w:cs="Times New Roman"/>
          <w:i/>
          <w:iCs/>
          <w:noProof/>
          <w:sz w:val="20"/>
          <w:szCs w:val="24"/>
        </w:rPr>
        <w:t>Transport in Porous Media</w:t>
      </w:r>
      <w:r w:rsidRPr="003148BA">
        <w:rPr>
          <w:rFonts w:ascii="Times New Roman" w:hAnsi="Times New Roman" w:cs="Times New Roman"/>
          <w:noProof/>
          <w:sz w:val="20"/>
          <w:szCs w:val="24"/>
        </w:rPr>
        <w:t xml:space="preserve">, </w:t>
      </w:r>
      <w:r w:rsidRPr="003148BA">
        <w:rPr>
          <w:rFonts w:ascii="Times New Roman" w:hAnsi="Times New Roman" w:cs="Times New Roman"/>
          <w:i/>
          <w:iCs/>
          <w:noProof/>
          <w:sz w:val="20"/>
          <w:szCs w:val="24"/>
        </w:rPr>
        <w:t>39</w:t>
      </w:r>
      <w:r w:rsidRPr="003148BA">
        <w:rPr>
          <w:rFonts w:ascii="Times New Roman" w:hAnsi="Times New Roman" w:cs="Times New Roman"/>
          <w:noProof/>
          <w:sz w:val="20"/>
          <w:szCs w:val="24"/>
        </w:rPr>
        <w:t>(2), 227–255.</w:t>
      </w:r>
    </w:p>
    <w:p w14:paraId="7A3544A8" w14:textId="5AD781BE" w:rsidR="00150233" w:rsidRPr="003148BA" w:rsidRDefault="00150233" w:rsidP="00150233">
      <w:pPr>
        <w:widowControl w:val="0"/>
        <w:autoSpaceDE w:val="0"/>
        <w:autoSpaceDN w:val="0"/>
        <w:adjustRightInd w:val="0"/>
        <w:spacing w:line="240" w:lineRule="auto"/>
        <w:ind w:left="480" w:hanging="480"/>
        <w:jc w:val="both"/>
        <w:rPr>
          <w:rFonts w:ascii="Times New Roman" w:hAnsi="Times New Roman" w:cs="Times New Roman"/>
          <w:noProof/>
          <w:sz w:val="20"/>
        </w:rPr>
      </w:pPr>
      <w:r w:rsidRPr="00150233">
        <w:rPr>
          <w:rFonts w:ascii="Times New Roman" w:hAnsi="Times New Roman" w:cs="Times New Roman"/>
          <w:noProof/>
          <w:sz w:val="20"/>
        </w:rPr>
        <w:t xml:space="preserve">Xu, Y., Dhaouadi, Y., Stoodley, P., &amp; Ren, D. (2020). Sensing the unreachable: challenges and opportunities in biofilm detection. </w:t>
      </w:r>
      <w:r w:rsidRPr="00150233">
        <w:rPr>
          <w:rFonts w:ascii="Times New Roman" w:hAnsi="Times New Roman" w:cs="Times New Roman"/>
          <w:i/>
          <w:iCs/>
          <w:noProof/>
          <w:sz w:val="20"/>
        </w:rPr>
        <w:t xml:space="preserve">Current </w:t>
      </w:r>
      <w:r>
        <w:rPr>
          <w:rFonts w:ascii="Times New Roman" w:hAnsi="Times New Roman" w:cs="Times New Roman"/>
          <w:i/>
          <w:iCs/>
          <w:noProof/>
          <w:sz w:val="20"/>
        </w:rPr>
        <w:t>O</w:t>
      </w:r>
      <w:r w:rsidRPr="00150233">
        <w:rPr>
          <w:rFonts w:ascii="Times New Roman" w:hAnsi="Times New Roman" w:cs="Times New Roman"/>
          <w:i/>
          <w:iCs/>
          <w:noProof/>
          <w:sz w:val="20"/>
        </w:rPr>
        <w:t xml:space="preserve">pinion in </w:t>
      </w:r>
      <w:r>
        <w:rPr>
          <w:rFonts w:ascii="Times New Roman" w:hAnsi="Times New Roman" w:cs="Times New Roman"/>
          <w:i/>
          <w:iCs/>
          <w:noProof/>
          <w:sz w:val="20"/>
        </w:rPr>
        <w:t>B</w:t>
      </w:r>
      <w:r w:rsidRPr="00150233">
        <w:rPr>
          <w:rFonts w:ascii="Times New Roman" w:hAnsi="Times New Roman" w:cs="Times New Roman"/>
          <w:i/>
          <w:iCs/>
          <w:noProof/>
          <w:sz w:val="20"/>
        </w:rPr>
        <w:t>iotechnology</w:t>
      </w:r>
      <w:r w:rsidRPr="00150233">
        <w:rPr>
          <w:rFonts w:ascii="Times New Roman" w:hAnsi="Times New Roman" w:cs="Times New Roman"/>
          <w:noProof/>
          <w:sz w:val="20"/>
        </w:rPr>
        <w:t>, 64, 79-84.</w:t>
      </w:r>
    </w:p>
    <w:p w14:paraId="6B28B5A1" w14:textId="4C1B6DC6" w:rsidR="00B408F1" w:rsidRPr="005244BD" w:rsidRDefault="008377D6" w:rsidP="00772167">
      <w:pPr>
        <w:widowControl w:val="0"/>
        <w:autoSpaceDE w:val="0"/>
        <w:autoSpaceDN w:val="0"/>
        <w:adjustRightInd w:val="0"/>
        <w:spacing w:line="240" w:lineRule="auto"/>
        <w:ind w:left="480" w:hanging="480"/>
        <w:jc w:val="both"/>
        <w:rPr>
          <w:rFonts w:ascii="Times New Roman" w:hAnsi="Times New Roman"/>
          <w:snapToGrid w:val="0"/>
          <w:sz w:val="20"/>
          <w:rtl/>
          <w:lang w:eastAsia="fr-FR"/>
        </w:rPr>
      </w:pPr>
      <w:r w:rsidRPr="005244BD">
        <w:rPr>
          <w:rFonts w:ascii="Times New Roman" w:hAnsi="Times New Roman" w:cs="Times New Roman"/>
          <w:i/>
          <w:iCs/>
          <w:noProof/>
          <w:sz w:val="20"/>
          <w:szCs w:val="24"/>
        </w:rPr>
        <w:fldChar w:fldCharType="end"/>
      </w:r>
    </w:p>
    <w:sectPr w:rsidR="00B408F1" w:rsidRPr="005244BD" w:rsidSect="005F0879">
      <w:footerReference w:type="default" r:id="rId31"/>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E4DA2" w14:textId="77777777" w:rsidR="007E5EE0" w:rsidRDefault="007E5EE0" w:rsidP="003D0DC6">
      <w:pPr>
        <w:spacing w:after="0" w:line="240" w:lineRule="auto"/>
      </w:pPr>
      <w:r>
        <w:separator/>
      </w:r>
    </w:p>
  </w:endnote>
  <w:endnote w:type="continuationSeparator" w:id="0">
    <w:p w14:paraId="47EAE42E" w14:textId="77777777" w:rsidR="007E5EE0" w:rsidRDefault="007E5EE0" w:rsidP="003D0DC6">
      <w:pPr>
        <w:spacing w:after="0" w:line="240" w:lineRule="auto"/>
      </w:pPr>
      <w:r>
        <w:continuationSeparator/>
      </w:r>
    </w:p>
  </w:endnote>
  <w:endnote w:type="continuationNotice" w:id="1">
    <w:p w14:paraId="5B7151D8" w14:textId="77777777" w:rsidR="007E5EE0" w:rsidRDefault="007E5E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762407"/>
      <w:docPartObj>
        <w:docPartGallery w:val="Page Numbers (Bottom of Page)"/>
        <w:docPartUnique/>
      </w:docPartObj>
    </w:sdtPr>
    <w:sdtEndPr>
      <w:rPr>
        <w:noProof/>
      </w:rPr>
    </w:sdtEndPr>
    <w:sdtContent>
      <w:p w14:paraId="46B405E4" w14:textId="02793D64" w:rsidR="00290179" w:rsidRDefault="00290179">
        <w:pPr>
          <w:pStyle w:val="Footer"/>
          <w:jc w:val="right"/>
        </w:pPr>
        <w:r>
          <w:rPr>
            <w:noProof/>
          </w:rPr>
          <w:fldChar w:fldCharType="begin"/>
        </w:r>
        <w:r>
          <w:rPr>
            <w:noProof/>
          </w:rPr>
          <w:instrText xml:space="preserve"> PAGE   \* MERGEFORMAT </w:instrText>
        </w:r>
        <w:r>
          <w:rPr>
            <w:noProof/>
          </w:rPr>
          <w:fldChar w:fldCharType="separate"/>
        </w:r>
        <w:r w:rsidR="00603669">
          <w:rPr>
            <w:noProof/>
          </w:rPr>
          <w:t>1</w:t>
        </w:r>
        <w:r>
          <w:rPr>
            <w:noProof/>
          </w:rPr>
          <w:fldChar w:fldCharType="end"/>
        </w:r>
      </w:p>
    </w:sdtContent>
  </w:sdt>
  <w:p w14:paraId="0352E0E9" w14:textId="77777777" w:rsidR="00290179" w:rsidRDefault="00290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83022" w14:textId="77777777" w:rsidR="007E5EE0" w:rsidRDefault="007E5EE0" w:rsidP="003D0DC6">
      <w:pPr>
        <w:spacing w:after="0" w:line="240" w:lineRule="auto"/>
      </w:pPr>
      <w:r>
        <w:separator/>
      </w:r>
    </w:p>
  </w:footnote>
  <w:footnote w:type="continuationSeparator" w:id="0">
    <w:p w14:paraId="5BD1EBD2" w14:textId="77777777" w:rsidR="007E5EE0" w:rsidRDefault="007E5EE0" w:rsidP="003D0DC6">
      <w:pPr>
        <w:spacing w:after="0" w:line="240" w:lineRule="auto"/>
      </w:pPr>
      <w:r>
        <w:continuationSeparator/>
      </w:r>
    </w:p>
  </w:footnote>
  <w:footnote w:type="continuationNotice" w:id="1">
    <w:p w14:paraId="788DAF4A" w14:textId="77777777" w:rsidR="007E5EE0" w:rsidRDefault="007E5EE0">
      <w:pPr>
        <w:spacing w:after="0" w:line="240" w:lineRule="auto"/>
      </w:pPr>
    </w:p>
  </w:footnote>
  <w:footnote w:id="2">
    <w:p w14:paraId="77BCE883" w14:textId="77777777" w:rsidR="00290179" w:rsidRDefault="00290179" w:rsidP="00EB222B">
      <w:pPr>
        <w:pStyle w:val="FootnoteText"/>
        <w:jc w:val="both"/>
      </w:pPr>
      <w:r w:rsidRPr="00AF1F5B">
        <w:rPr>
          <w:rStyle w:val="FootnoteReference"/>
        </w:rPr>
        <w:footnoteRef/>
      </w:r>
      <w:r>
        <w:t xml:space="preserve"> </w:t>
      </w:r>
      <w:r w:rsidRPr="00B908EE">
        <w:rPr>
          <w:rFonts w:ascii="Times New Roman" w:hAnsi="Times New Roman" w:cs="Times New Roman"/>
        </w:rPr>
        <w:t xml:space="preserve">Corresponding author: </w:t>
      </w:r>
      <w:r w:rsidRPr="00B908EE">
        <w:rPr>
          <w:rFonts w:ascii="Times New Roman" w:eastAsiaTheme="minorEastAsia" w:hAnsi="Times New Roman" w:cs="Times New Roman"/>
          <w:noProof/>
          <w:shd w:val="clear" w:color="auto" w:fill="FFFFFF"/>
          <w:lang w:eastAsia="en-GB"/>
        </w:rPr>
        <w:t xml:space="preserve">telephone: +44 (0)161 306 4554, email: </w:t>
      </w:r>
      <w:hyperlink r:id="rId1" w:history="1">
        <w:r w:rsidRPr="00B908EE">
          <w:rPr>
            <w:rStyle w:val="Hyperlink"/>
            <w:rFonts w:ascii="Times New Roman" w:eastAsiaTheme="minorEastAsia" w:hAnsi="Times New Roman" w:cs="Times New Roman"/>
            <w:noProof/>
            <w:shd w:val="clear" w:color="auto" w:fill="FFFFFF"/>
            <w:lang w:eastAsia="en-GB"/>
          </w:rPr>
          <w:t>masoud.babaei@manchester.ac.uk</w:t>
        </w:r>
      </w:hyperlink>
    </w:p>
  </w:footnote>
  <w:footnote w:id="3">
    <w:p w14:paraId="5830EC71" w14:textId="06A7ADA6" w:rsidR="00290179" w:rsidRPr="008F6958" w:rsidRDefault="00290179" w:rsidP="00952FA7">
      <w:pPr>
        <w:pStyle w:val="FootnoteText"/>
        <w:rPr>
          <w:rFonts w:asciiTheme="majorBidi" w:hAnsiTheme="majorBidi" w:cstheme="majorBidi"/>
        </w:rPr>
      </w:pPr>
      <w:r w:rsidRPr="008F6958">
        <w:rPr>
          <w:rStyle w:val="FootnoteReference"/>
          <w:rFonts w:asciiTheme="majorBidi" w:hAnsiTheme="majorBidi" w:cstheme="majorBidi"/>
        </w:rPr>
        <w:footnoteRef/>
      </w:r>
      <w:r w:rsidRPr="008F6958">
        <w:rPr>
          <w:rFonts w:asciiTheme="majorBidi" w:hAnsiTheme="majorBidi" w:cstheme="majorBidi"/>
        </w:rPr>
        <w:t xml:space="preserve"> The median coordination number for pores in the Berea sandstone is 6, compared to the median coordination number of 2 for the Fontainebleau sandstone </w:t>
      </w:r>
      <w:r>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{"citationItems":[{"id":"ITEM-1","itemData":{"author":[{"dropping-particle":"","family":"Thomson","given":"P R","non-dropping-particle":"","parse-names":false,"suffix":""},{"dropping-particle":"","family":"Ellis","given":"R","non-dropping-particle":"","parse-names":false,"suffix":""},{"dropping-particle":"","family":"Chiarella","given":"D","non-dropping-particle":"","parse-names":false,"suffix":""},{"dropping-particle":"","family":"Hier-Majumder","given":"S","non-dropping-particle":"","parse-names":false,"suffix":""}],"container-title":"Earth Sci","id":"ITEM-1","issued":{"date-parts":[["2020"]]},"page":"246","title":"Microstructural Analysis From X-Ray CT Images of the Brae Formation Sandstone, North Sea. Front","type":"article-journal","volume":"8"},"uris":["http://www.mendeley.com/documents/?uuid=3df48246-3c45-46df-9677-d3cafb8e1651"]}],"mendeley":{"formattedCitation":"(Thomson et al., 2020)","plainTextFormattedCitation":"(Thomson et al., 2020)"},"properties":{"noteIndex":0},"schema":"https://github.com/citation-style-language/schema/raw/master/csl-citation.json"}</w:instrText>
      </w:r>
      <w:r>
        <w:rPr>
          <w:rFonts w:asciiTheme="majorBidi" w:hAnsiTheme="majorBidi" w:cstheme="majorBidi"/>
        </w:rPr>
        <w:fldChar w:fldCharType="separate"/>
      </w:r>
      <w:r w:rsidRPr="003148BA">
        <w:rPr>
          <w:rFonts w:asciiTheme="majorBidi" w:hAnsiTheme="majorBidi" w:cstheme="majorBidi"/>
          <w:noProof/>
        </w:rPr>
        <w:t>(Thomson et al., 2020)</w:t>
      </w:r>
      <w:r>
        <w:rPr>
          <w:rFonts w:asciiTheme="majorBidi" w:hAnsiTheme="majorBidi" w:cstheme="majorBidi"/>
        </w:rPr>
        <w:fldChar w:fldCharType="end"/>
      </w:r>
      <w:r w:rsidRPr="008F6958">
        <w:rPr>
          <w:rFonts w:asciiTheme="majorBidi" w:hAnsiTheme="majorBidi" w:cstheme="majorBid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D39B5"/>
    <w:multiLevelType w:val="multilevel"/>
    <w:tmpl w:val="92704D78"/>
    <w:lvl w:ilvl="0">
      <w:start w:val="1"/>
      <w:numFmt w:val="decimal"/>
      <w:lvlText w:val="%1."/>
      <w:lvlJc w:val="left"/>
      <w:pPr>
        <w:ind w:left="360" w:hanging="360"/>
      </w:pPr>
      <w:rPr>
        <w:rFonts w:hint="default"/>
      </w:rPr>
    </w:lvl>
    <w:lvl w:ilvl="1">
      <w:start w:val="1"/>
      <w:numFmt w:val="decimal"/>
      <w:lvlText w:val="%1.%2."/>
      <w:lvlJc w:val="left"/>
      <w:pPr>
        <w:ind w:left="792" w:hanging="432"/>
      </w:pPr>
      <w:rPr>
        <w:b/>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EA7696"/>
    <w:multiLevelType w:val="hybridMultilevel"/>
    <w:tmpl w:val="35CE9C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155067"/>
    <w:multiLevelType w:val="hybridMultilevel"/>
    <w:tmpl w:val="16B2F258"/>
    <w:lvl w:ilvl="0" w:tplc="C7AA559E">
      <w:start w:val="1"/>
      <w:numFmt w:val="decimal"/>
      <w:lvlText w:val="(%1)"/>
      <w:lvlJc w:val="left"/>
      <w:pPr>
        <w:ind w:left="720" w:hanging="360"/>
      </w:pPr>
      <w:rPr>
        <w:rFonts w:hint="default"/>
        <w:sz w:val="22"/>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D63EEF"/>
    <w:multiLevelType w:val="hybridMultilevel"/>
    <w:tmpl w:val="93968976"/>
    <w:lvl w:ilvl="0" w:tplc="7D00CB3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2F4CC6"/>
    <w:multiLevelType w:val="hybridMultilevel"/>
    <w:tmpl w:val="9F3C6F92"/>
    <w:lvl w:ilvl="0" w:tplc="41BEA1CC">
      <w:start w:val="4"/>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4518CD"/>
    <w:multiLevelType w:val="hybridMultilevel"/>
    <w:tmpl w:val="3E966930"/>
    <w:lvl w:ilvl="0" w:tplc="0F92AA06">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200AF4"/>
    <w:multiLevelType w:val="hybridMultilevel"/>
    <w:tmpl w:val="F5161354"/>
    <w:lvl w:ilvl="0" w:tplc="BD5CE6CE">
      <w:start w:val="400"/>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445F95"/>
    <w:multiLevelType w:val="multilevel"/>
    <w:tmpl w:val="2472910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5E7D3B7D"/>
    <w:multiLevelType w:val="hybridMultilevel"/>
    <w:tmpl w:val="945C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6A40EF"/>
    <w:multiLevelType w:val="hybridMultilevel"/>
    <w:tmpl w:val="BE4AC0C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7"/>
  </w:num>
  <w:num w:numId="3">
    <w:abstractNumId w:val="0"/>
  </w:num>
  <w:num w:numId="4">
    <w:abstractNumId w:val="4"/>
  </w:num>
  <w:num w:numId="5">
    <w:abstractNumId w:val="2"/>
  </w:num>
  <w:num w:numId="6">
    <w:abstractNumId w:val="6"/>
  </w:num>
  <w:num w:numId="7">
    <w:abstractNumId w:val="8"/>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s-MX" w:vendorID="64" w:dllVersion="6" w:nlCheck="1" w:checkStyle="1"/>
  <w:activeWritingStyle w:appName="MSWord" w:lang="en-GB" w:vendorID="64" w:dllVersion="131078" w:nlCheck="1" w:checkStyle="1"/>
  <w:activeWritingStyle w:appName="MSWord" w:lang="es-MX" w:vendorID="64" w:dllVersion="131078" w:nlCheck="1" w:checkStyle="1"/>
  <w:activeWritingStyle w:appName="MSWord" w:lang="en-US" w:vendorID="64" w:dllVersion="131078" w:nlCheck="1" w:checkStyle="1"/>
  <w:doNotTrackFormatting/>
  <w:defaultTabStop w:val="720"/>
  <w:hyphenationZone w:val="425"/>
  <w:characterSpacingControl w:val="doNotCompress"/>
  <w:hdrShapeDefaults>
    <o:shapedefaults v:ext="edit" spidmax="2049"/>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wNAciI0MjSwNDCyUdpeDU4uLM/DyQAhODWgCKcyMnLQAAAA=="/>
  </w:docVars>
  <w:rsids>
    <w:rsidRoot w:val="003D0DC6"/>
    <w:rsid w:val="0000153F"/>
    <w:rsid w:val="00003E3E"/>
    <w:rsid w:val="00004A38"/>
    <w:rsid w:val="0000555E"/>
    <w:rsid w:val="00005C5B"/>
    <w:rsid w:val="00011C2E"/>
    <w:rsid w:val="00014B6E"/>
    <w:rsid w:val="00017C4E"/>
    <w:rsid w:val="00020D51"/>
    <w:rsid w:val="00024F4A"/>
    <w:rsid w:val="0002792C"/>
    <w:rsid w:val="000306AD"/>
    <w:rsid w:val="00030F77"/>
    <w:rsid w:val="00032399"/>
    <w:rsid w:val="00032A1D"/>
    <w:rsid w:val="000338F2"/>
    <w:rsid w:val="00035E8B"/>
    <w:rsid w:val="00037CD8"/>
    <w:rsid w:val="00040CA7"/>
    <w:rsid w:val="0004244D"/>
    <w:rsid w:val="000437E0"/>
    <w:rsid w:val="0004422B"/>
    <w:rsid w:val="00044A87"/>
    <w:rsid w:val="00044B3A"/>
    <w:rsid w:val="00044F70"/>
    <w:rsid w:val="0004504B"/>
    <w:rsid w:val="00045403"/>
    <w:rsid w:val="000454EA"/>
    <w:rsid w:val="00046C44"/>
    <w:rsid w:val="0005081F"/>
    <w:rsid w:val="00051696"/>
    <w:rsid w:val="000518B6"/>
    <w:rsid w:val="000536C7"/>
    <w:rsid w:val="000549D1"/>
    <w:rsid w:val="00055E95"/>
    <w:rsid w:val="000569C2"/>
    <w:rsid w:val="00056D8D"/>
    <w:rsid w:val="00057CCE"/>
    <w:rsid w:val="00060C8A"/>
    <w:rsid w:val="00061E02"/>
    <w:rsid w:val="00062367"/>
    <w:rsid w:val="0006247D"/>
    <w:rsid w:val="000624C3"/>
    <w:rsid w:val="00062621"/>
    <w:rsid w:val="0006311D"/>
    <w:rsid w:val="00065485"/>
    <w:rsid w:val="000672C8"/>
    <w:rsid w:val="00067AA6"/>
    <w:rsid w:val="00067F48"/>
    <w:rsid w:val="000703B1"/>
    <w:rsid w:val="00071419"/>
    <w:rsid w:val="0007267B"/>
    <w:rsid w:val="00073376"/>
    <w:rsid w:val="00075458"/>
    <w:rsid w:val="000761AD"/>
    <w:rsid w:val="00076917"/>
    <w:rsid w:val="00076C6F"/>
    <w:rsid w:val="00076FDE"/>
    <w:rsid w:val="0007732F"/>
    <w:rsid w:val="0008025E"/>
    <w:rsid w:val="000811F2"/>
    <w:rsid w:val="000817C4"/>
    <w:rsid w:val="00082277"/>
    <w:rsid w:val="00083AE5"/>
    <w:rsid w:val="000842C2"/>
    <w:rsid w:val="000853FA"/>
    <w:rsid w:val="00087863"/>
    <w:rsid w:val="0009050A"/>
    <w:rsid w:val="00091B87"/>
    <w:rsid w:val="00092AED"/>
    <w:rsid w:val="00094C3B"/>
    <w:rsid w:val="00095759"/>
    <w:rsid w:val="00095C99"/>
    <w:rsid w:val="00097033"/>
    <w:rsid w:val="000979C3"/>
    <w:rsid w:val="000A11A2"/>
    <w:rsid w:val="000A23D9"/>
    <w:rsid w:val="000A2A6C"/>
    <w:rsid w:val="000A3E75"/>
    <w:rsid w:val="000A52C2"/>
    <w:rsid w:val="000A53F6"/>
    <w:rsid w:val="000A54E3"/>
    <w:rsid w:val="000A5E0D"/>
    <w:rsid w:val="000A60D1"/>
    <w:rsid w:val="000A6A85"/>
    <w:rsid w:val="000B002A"/>
    <w:rsid w:val="000B07CE"/>
    <w:rsid w:val="000B29D0"/>
    <w:rsid w:val="000B2FE6"/>
    <w:rsid w:val="000B3E5C"/>
    <w:rsid w:val="000B4787"/>
    <w:rsid w:val="000B71C9"/>
    <w:rsid w:val="000B7627"/>
    <w:rsid w:val="000C0BBA"/>
    <w:rsid w:val="000C0EB9"/>
    <w:rsid w:val="000C17B1"/>
    <w:rsid w:val="000C2BDD"/>
    <w:rsid w:val="000C414E"/>
    <w:rsid w:val="000C7417"/>
    <w:rsid w:val="000C789E"/>
    <w:rsid w:val="000D293A"/>
    <w:rsid w:val="000D3C6D"/>
    <w:rsid w:val="000D3E0A"/>
    <w:rsid w:val="000D43DE"/>
    <w:rsid w:val="000D6DA4"/>
    <w:rsid w:val="000D7C77"/>
    <w:rsid w:val="000E0B10"/>
    <w:rsid w:val="000E0D1A"/>
    <w:rsid w:val="000E17C9"/>
    <w:rsid w:val="000E5498"/>
    <w:rsid w:val="000E572B"/>
    <w:rsid w:val="000E5A13"/>
    <w:rsid w:val="000F0AFC"/>
    <w:rsid w:val="000F2DA8"/>
    <w:rsid w:val="000F2E1F"/>
    <w:rsid w:val="000F431C"/>
    <w:rsid w:val="000F59C8"/>
    <w:rsid w:val="00100E7B"/>
    <w:rsid w:val="00100F99"/>
    <w:rsid w:val="0010110B"/>
    <w:rsid w:val="0010129C"/>
    <w:rsid w:val="001018E9"/>
    <w:rsid w:val="0010343C"/>
    <w:rsid w:val="00104A80"/>
    <w:rsid w:val="00106C61"/>
    <w:rsid w:val="0010728F"/>
    <w:rsid w:val="00111FD3"/>
    <w:rsid w:val="0011254C"/>
    <w:rsid w:val="00116552"/>
    <w:rsid w:val="00117185"/>
    <w:rsid w:val="0012303E"/>
    <w:rsid w:val="00123347"/>
    <w:rsid w:val="001244C7"/>
    <w:rsid w:val="00126CB6"/>
    <w:rsid w:val="001318E5"/>
    <w:rsid w:val="00131912"/>
    <w:rsid w:val="00132326"/>
    <w:rsid w:val="001327A0"/>
    <w:rsid w:val="00133E99"/>
    <w:rsid w:val="001355CD"/>
    <w:rsid w:val="00135BF4"/>
    <w:rsid w:val="00135CD9"/>
    <w:rsid w:val="00135F96"/>
    <w:rsid w:val="001367A4"/>
    <w:rsid w:val="001403C3"/>
    <w:rsid w:val="00141257"/>
    <w:rsid w:val="001416CF"/>
    <w:rsid w:val="0014243A"/>
    <w:rsid w:val="0014290B"/>
    <w:rsid w:val="0014324C"/>
    <w:rsid w:val="00143404"/>
    <w:rsid w:val="00143833"/>
    <w:rsid w:val="00146171"/>
    <w:rsid w:val="00146C96"/>
    <w:rsid w:val="00146CE4"/>
    <w:rsid w:val="00150233"/>
    <w:rsid w:val="00152BBE"/>
    <w:rsid w:val="00152F2C"/>
    <w:rsid w:val="001550C4"/>
    <w:rsid w:val="00155265"/>
    <w:rsid w:val="0015549A"/>
    <w:rsid w:val="00155B54"/>
    <w:rsid w:val="001566ED"/>
    <w:rsid w:val="00157EAC"/>
    <w:rsid w:val="00160E6C"/>
    <w:rsid w:val="00161FD9"/>
    <w:rsid w:val="00163177"/>
    <w:rsid w:val="00163FAA"/>
    <w:rsid w:val="00164138"/>
    <w:rsid w:val="001643A8"/>
    <w:rsid w:val="00165FB2"/>
    <w:rsid w:val="00171040"/>
    <w:rsid w:val="001718E2"/>
    <w:rsid w:val="00172796"/>
    <w:rsid w:val="001728C9"/>
    <w:rsid w:val="00173781"/>
    <w:rsid w:val="00175C0D"/>
    <w:rsid w:val="00176924"/>
    <w:rsid w:val="0018134A"/>
    <w:rsid w:val="00184A47"/>
    <w:rsid w:val="001903F0"/>
    <w:rsid w:val="0019089D"/>
    <w:rsid w:val="001919AA"/>
    <w:rsid w:val="00191B95"/>
    <w:rsid w:val="001928CB"/>
    <w:rsid w:val="00193997"/>
    <w:rsid w:val="001A1ADE"/>
    <w:rsid w:val="001A2C0A"/>
    <w:rsid w:val="001A6CE0"/>
    <w:rsid w:val="001B00D1"/>
    <w:rsid w:val="001B047A"/>
    <w:rsid w:val="001B449F"/>
    <w:rsid w:val="001B4578"/>
    <w:rsid w:val="001B4E11"/>
    <w:rsid w:val="001B6E8B"/>
    <w:rsid w:val="001B7289"/>
    <w:rsid w:val="001C2DF4"/>
    <w:rsid w:val="001C5C5C"/>
    <w:rsid w:val="001C5DDC"/>
    <w:rsid w:val="001C7D32"/>
    <w:rsid w:val="001D2C06"/>
    <w:rsid w:val="001D2C0C"/>
    <w:rsid w:val="001D353E"/>
    <w:rsid w:val="001D54A0"/>
    <w:rsid w:val="001D5A48"/>
    <w:rsid w:val="001D5BB1"/>
    <w:rsid w:val="001D64C3"/>
    <w:rsid w:val="001D7B9F"/>
    <w:rsid w:val="001E0958"/>
    <w:rsid w:val="001E16B5"/>
    <w:rsid w:val="001E3578"/>
    <w:rsid w:val="001E6405"/>
    <w:rsid w:val="001E68C9"/>
    <w:rsid w:val="001F017C"/>
    <w:rsid w:val="001F05BE"/>
    <w:rsid w:val="001F0612"/>
    <w:rsid w:val="001F0A5C"/>
    <w:rsid w:val="001F19A3"/>
    <w:rsid w:val="001F64DC"/>
    <w:rsid w:val="002021E4"/>
    <w:rsid w:val="00202723"/>
    <w:rsid w:val="00202AFA"/>
    <w:rsid w:val="002055E9"/>
    <w:rsid w:val="00206A0B"/>
    <w:rsid w:val="00210B9B"/>
    <w:rsid w:val="00211682"/>
    <w:rsid w:val="00213918"/>
    <w:rsid w:val="002142CE"/>
    <w:rsid w:val="0021634A"/>
    <w:rsid w:val="00220DF0"/>
    <w:rsid w:val="002215BE"/>
    <w:rsid w:val="00226ACC"/>
    <w:rsid w:val="00226D74"/>
    <w:rsid w:val="00226F29"/>
    <w:rsid w:val="00227ABB"/>
    <w:rsid w:val="002309DC"/>
    <w:rsid w:val="0023170D"/>
    <w:rsid w:val="00231D66"/>
    <w:rsid w:val="00232A25"/>
    <w:rsid w:val="002332DA"/>
    <w:rsid w:val="002346D5"/>
    <w:rsid w:val="00234BF0"/>
    <w:rsid w:val="0023651B"/>
    <w:rsid w:val="00236E06"/>
    <w:rsid w:val="0023741B"/>
    <w:rsid w:val="00237C6D"/>
    <w:rsid w:val="00237F4E"/>
    <w:rsid w:val="00240405"/>
    <w:rsid w:val="002422D8"/>
    <w:rsid w:val="00245C72"/>
    <w:rsid w:val="0024649E"/>
    <w:rsid w:val="002464BA"/>
    <w:rsid w:val="00246775"/>
    <w:rsid w:val="00250D28"/>
    <w:rsid w:val="00250E49"/>
    <w:rsid w:val="00251AD1"/>
    <w:rsid w:val="00253B86"/>
    <w:rsid w:val="00256C65"/>
    <w:rsid w:val="00257476"/>
    <w:rsid w:val="002632FF"/>
    <w:rsid w:val="0026399A"/>
    <w:rsid w:val="002652C0"/>
    <w:rsid w:val="0026586C"/>
    <w:rsid w:val="00265E1B"/>
    <w:rsid w:val="0027088F"/>
    <w:rsid w:val="00273260"/>
    <w:rsid w:val="00275775"/>
    <w:rsid w:val="00275E4E"/>
    <w:rsid w:val="0028042E"/>
    <w:rsid w:val="0028142F"/>
    <w:rsid w:val="00281984"/>
    <w:rsid w:val="0028256A"/>
    <w:rsid w:val="0028287B"/>
    <w:rsid w:val="00282883"/>
    <w:rsid w:val="00282B54"/>
    <w:rsid w:val="00283A8C"/>
    <w:rsid w:val="00285A4A"/>
    <w:rsid w:val="00285EDB"/>
    <w:rsid w:val="00290179"/>
    <w:rsid w:val="0029108E"/>
    <w:rsid w:val="0029345B"/>
    <w:rsid w:val="00293D36"/>
    <w:rsid w:val="00294E2B"/>
    <w:rsid w:val="00295A6F"/>
    <w:rsid w:val="0029796E"/>
    <w:rsid w:val="002A3682"/>
    <w:rsid w:val="002A3E72"/>
    <w:rsid w:val="002A46C2"/>
    <w:rsid w:val="002A4844"/>
    <w:rsid w:val="002A6C50"/>
    <w:rsid w:val="002B055A"/>
    <w:rsid w:val="002B173F"/>
    <w:rsid w:val="002B1EBB"/>
    <w:rsid w:val="002B2034"/>
    <w:rsid w:val="002B2D42"/>
    <w:rsid w:val="002B51CE"/>
    <w:rsid w:val="002B6101"/>
    <w:rsid w:val="002B75E7"/>
    <w:rsid w:val="002B78C1"/>
    <w:rsid w:val="002C0F2A"/>
    <w:rsid w:val="002C18A3"/>
    <w:rsid w:val="002C2355"/>
    <w:rsid w:val="002C273D"/>
    <w:rsid w:val="002C2F6B"/>
    <w:rsid w:val="002C353F"/>
    <w:rsid w:val="002C434F"/>
    <w:rsid w:val="002D0611"/>
    <w:rsid w:val="002D1F61"/>
    <w:rsid w:val="002D2943"/>
    <w:rsid w:val="002D4684"/>
    <w:rsid w:val="002D5E5F"/>
    <w:rsid w:val="002D7309"/>
    <w:rsid w:val="002D7A87"/>
    <w:rsid w:val="002E0FDF"/>
    <w:rsid w:val="002E1B44"/>
    <w:rsid w:val="002E212B"/>
    <w:rsid w:val="002E247B"/>
    <w:rsid w:val="002E278B"/>
    <w:rsid w:val="002E3E65"/>
    <w:rsid w:val="002E5CF6"/>
    <w:rsid w:val="002E69C3"/>
    <w:rsid w:val="002E6FA9"/>
    <w:rsid w:val="002E79B7"/>
    <w:rsid w:val="002F0328"/>
    <w:rsid w:val="002F305D"/>
    <w:rsid w:val="002F5650"/>
    <w:rsid w:val="002F6725"/>
    <w:rsid w:val="0030253F"/>
    <w:rsid w:val="00302967"/>
    <w:rsid w:val="003054FF"/>
    <w:rsid w:val="0030624D"/>
    <w:rsid w:val="00307FDD"/>
    <w:rsid w:val="003102E9"/>
    <w:rsid w:val="0031206D"/>
    <w:rsid w:val="00314230"/>
    <w:rsid w:val="003148BA"/>
    <w:rsid w:val="00315176"/>
    <w:rsid w:val="00315F4D"/>
    <w:rsid w:val="00317BFB"/>
    <w:rsid w:val="0032019A"/>
    <w:rsid w:val="00321959"/>
    <w:rsid w:val="00321A23"/>
    <w:rsid w:val="0032255B"/>
    <w:rsid w:val="0032325F"/>
    <w:rsid w:val="00324F41"/>
    <w:rsid w:val="003268B6"/>
    <w:rsid w:val="003273AE"/>
    <w:rsid w:val="00327510"/>
    <w:rsid w:val="00331268"/>
    <w:rsid w:val="00331296"/>
    <w:rsid w:val="003338E8"/>
    <w:rsid w:val="003342E6"/>
    <w:rsid w:val="003345D5"/>
    <w:rsid w:val="00334EFA"/>
    <w:rsid w:val="00335653"/>
    <w:rsid w:val="003370A3"/>
    <w:rsid w:val="003371AF"/>
    <w:rsid w:val="003415FF"/>
    <w:rsid w:val="00343E81"/>
    <w:rsid w:val="00344EDA"/>
    <w:rsid w:val="00345F28"/>
    <w:rsid w:val="00345FD4"/>
    <w:rsid w:val="0034793E"/>
    <w:rsid w:val="00351AEF"/>
    <w:rsid w:val="00352824"/>
    <w:rsid w:val="00356F92"/>
    <w:rsid w:val="0036100A"/>
    <w:rsid w:val="00361717"/>
    <w:rsid w:val="0036214B"/>
    <w:rsid w:val="00366199"/>
    <w:rsid w:val="00370F09"/>
    <w:rsid w:val="00375D67"/>
    <w:rsid w:val="00375D93"/>
    <w:rsid w:val="00375DE5"/>
    <w:rsid w:val="003764ED"/>
    <w:rsid w:val="00376792"/>
    <w:rsid w:val="00377619"/>
    <w:rsid w:val="00382B27"/>
    <w:rsid w:val="0038304B"/>
    <w:rsid w:val="00383418"/>
    <w:rsid w:val="00383EBF"/>
    <w:rsid w:val="00384026"/>
    <w:rsid w:val="003864B7"/>
    <w:rsid w:val="00391EC0"/>
    <w:rsid w:val="003934E9"/>
    <w:rsid w:val="0039384A"/>
    <w:rsid w:val="00393DC3"/>
    <w:rsid w:val="00394F9A"/>
    <w:rsid w:val="00396D54"/>
    <w:rsid w:val="003A3F2F"/>
    <w:rsid w:val="003A4A15"/>
    <w:rsid w:val="003A5036"/>
    <w:rsid w:val="003A6112"/>
    <w:rsid w:val="003A7E26"/>
    <w:rsid w:val="003B19E2"/>
    <w:rsid w:val="003B39F9"/>
    <w:rsid w:val="003B4026"/>
    <w:rsid w:val="003B4923"/>
    <w:rsid w:val="003B568C"/>
    <w:rsid w:val="003B6165"/>
    <w:rsid w:val="003B6285"/>
    <w:rsid w:val="003B6E6A"/>
    <w:rsid w:val="003B72B4"/>
    <w:rsid w:val="003B7403"/>
    <w:rsid w:val="003C0E17"/>
    <w:rsid w:val="003C2D4E"/>
    <w:rsid w:val="003C518F"/>
    <w:rsid w:val="003D0DC6"/>
    <w:rsid w:val="003D27E5"/>
    <w:rsid w:val="003D2D27"/>
    <w:rsid w:val="003D3228"/>
    <w:rsid w:val="003D3BEA"/>
    <w:rsid w:val="003D4EC6"/>
    <w:rsid w:val="003D54E7"/>
    <w:rsid w:val="003D73D0"/>
    <w:rsid w:val="003D7FE4"/>
    <w:rsid w:val="003E04DF"/>
    <w:rsid w:val="003E07B9"/>
    <w:rsid w:val="003E0B96"/>
    <w:rsid w:val="003E5076"/>
    <w:rsid w:val="003E6396"/>
    <w:rsid w:val="003F1FE5"/>
    <w:rsid w:val="003F320D"/>
    <w:rsid w:val="003F3C2C"/>
    <w:rsid w:val="003F79E4"/>
    <w:rsid w:val="004004DB"/>
    <w:rsid w:val="00400BD0"/>
    <w:rsid w:val="00402343"/>
    <w:rsid w:val="00404371"/>
    <w:rsid w:val="004066F6"/>
    <w:rsid w:val="00407E6D"/>
    <w:rsid w:val="0041006F"/>
    <w:rsid w:val="00411CC7"/>
    <w:rsid w:val="0041324D"/>
    <w:rsid w:val="00414F78"/>
    <w:rsid w:val="00415973"/>
    <w:rsid w:val="00415BDA"/>
    <w:rsid w:val="00416A6E"/>
    <w:rsid w:val="004209D8"/>
    <w:rsid w:val="0042102D"/>
    <w:rsid w:val="00427048"/>
    <w:rsid w:val="00427C38"/>
    <w:rsid w:val="00430486"/>
    <w:rsid w:val="00432B19"/>
    <w:rsid w:val="004333E9"/>
    <w:rsid w:val="00433D0E"/>
    <w:rsid w:val="004342B5"/>
    <w:rsid w:val="004370EC"/>
    <w:rsid w:val="004408E7"/>
    <w:rsid w:val="004416C5"/>
    <w:rsid w:val="0044194E"/>
    <w:rsid w:val="004420C2"/>
    <w:rsid w:val="00443077"/>
    <w:rsid w:val="00443E9A"/>
    <w:rsid w:val="004445D5"/>
    <w:rsid w:val="00445B68"/>
    <w:rsid w:val="0044739F"/>
    <w:rsid w:val="004504AC"/>
    <w:rsid w:val="00451451"/>
    <w:rsid w:val="00452D2F"/>
    <w:rsid w:val="00454F8B"/>
    <w:rsid w:val="00455A16"/>
    <w:rsid w:val="00455CAA"/>
    <w:rsid w:val="00456081"/>
    <w:rsid w:val="00461732"/>
    <w:rsid w:val="004631C1"/>
    <w:rsid w:val="004633BF"/>
    <w:rsid w:val="00471ACA"/>
    <w:rsid w:val="00472843"/>
    <w:rsid w:val="0047358E"/>
    <w:rsid w:val="004740E2"/>
    <w:rsid w:val="004741D8"/>
    <w:rsid w:val="00475EF8"/>
    <w:rsid w:val="004764FE"/>
    <w:rsid w:val="00476B6C"/>
    <w:rsid w:val="0048180A"/>
    <w:rsid w:val="00481E17"/>
    <w:rsid w:val="00482E0E"/>
    <w:rsid w:val="00483BA6"/>
    <w:rsid w:val="004841DA"/>
    <w:rsid w:val="00486B58"/>
    <w:rsid w:val="00491843"/>
    <w:rsid w:val="0049184D"/>
    <w:rsid w:val="00491D0E"/>
    <w:rsid w:val="00492F09"/>
    <w:rsid w:val="00494143"/>
    <w:rsid w:val="00494BA0"/>
    <w:rsid w:val="0049707B"/>
    <w:rsid w:val="004A0CA3"/>
    <w:rsid w:val="004A5D6C"/>
    <w:rsid w:val="004A63C2"/>
    <w:rsid w:val="004A7586"/>
    <w:rsid w:val="004B15F4"/>
    <w:rsid w:val="004B1769"/>
    <w:rsid w:val="004B1D05"/>
    <w:rsid w:val="004B39AB"/>
    <w:rsid w:val="004B4EAD"/>
    <w:rsid w:val="004B5AB3"/>
    <w:rsid w:val="004C14BC"/>
    <w:rsid w:val="004C28B8"/>
    <w:rsid w:val="004C3E84"/>
    <w:rsid w:val="004C4616"/>
    <w:rsid w:val="004C4DE6"/>
    <w:rsid w:val="004C4F8E"/>
    <w:rsid w:val="004C661D"/>
    <w:rsid w:val="004D15F9"/>
    <w:rsid w:val="004D2A59"/>
    <w:rsid w:val="004D362B"/>
    <w:rsid w:val="004D622B"/>
    <w:rsid w:val="004D704E"/>
    <w:rsid w:val="004E2863"/>
    <w:rsid w:val="004E3093"/>
    <w:rsid w:val="004E3C55"/>
    <w:rsid w:val="004E3E0B"/>
    <w:rsid w:val="004E5471"/>
    <w:rsid w:val="004E5B5B"/>
    <w:rsid w:val="004E61FF"/>
    <w:rsid w:val="004E651B"/>
    <w:rsid w:val="004E6890"/>
    <w:rsid w:val="004F24DA"/>
    <w:rsid w:val="004F29F7"/>
    <w:rsid w:val="004F5935"/>
    <w:rsid w:val="00500052"/>
    <w:rsid w:val="00500B06"/>
    <w:rsid w:val="00502658"/>
    <w:rsid w:val="00502D12"/>
    <w:rsid w:val="00503247"/>
    <w:rsid w:val="005034EB"/>
    <w:rsid w:val="005049B2"/>
    <w:rsid w:val="00505CEC"/>
    <w:rsid w:val="00506EE2"/>
    <w:rsid w:val="00507583"/>
    <w:rsid w:val="005077E6"/>
    <w:rsid w:val="005103C4"/>
    <w:rsid w:val="005106C3"/>
    <w:rsid w:val="00510AEB"/>
    <w:rsid w:val="00511D87"/>
    <w:rsid w:val="0051225C"/>
    <w:rsid w:val="005140F3"/>
    <w:rsid w:val="0051581A"/>
    <w:rsid w:val="00515E42"/>
    <w:rsid w:val="00520B13"/>
    <w:rsid w:val="005228F5"/>
    <w:rsid w:val="005244BD"/>
    <w:rsid w:val="00524CB7"/>
    <w:rsid w:val="00526B28"/>
    <w:rsid w:val="0053026F"/>
    <w:rsid w:val="00530D8B"/>
    <w:rsid w:val="00531660"/>
    <w:rsid w:val="00532924"/>
    <w:rsid w:val="00537A95"/>
    <w:rsid w:val="00543635"/>
    <w:rsid w:val="005438F5"/>
    <w:rsid w:val="00544A3C"/>
    <w:rsid w:val="00544AD8"/>
    <w:rsid w:val="0054591E"/>
    <w:rsid w:val="00550F67"/>
    <w:rsid w:val="005520CD"/>
    <w:rsid w:val="00560249"/>
    <w:rsid w:val="00560B18"/>
    <w:rsid w:val="00560FCC"/>
    <w:rsid w:val="00563ED4"/>
    <w:rsid w:val="00564BD1"/>
    <w:rsid w:val="00566EAB"/>
    <w:rsid w:val="0057072F"/>
    <w:rsid w:val="005709EA"/>
    <w:rsid w:val="0057388E"/>
    <w:rsid w:val="0057557A"/>
    <w:rsid w:val="005767D3"/>
    <w:rsid w:val="00577F8E"/>
    <w:rsid w:val="00580571"/>
    <w:rsid w:val="00580A0E"/>
    <w:rsid w:val="0058254F"/>
    <w:rsid w:val="005829E3"/>
    <w:rsid w:val="005858BE"/>
    <w:rsid w:val="0058683C"/>
    <w:rsid w:val="00586ACD"/>
    <w:rsid w:val="00586D2C"/>
    <w:rsid w:val="0059312C"/>
    <w:rsid w:val="005935D8"/>
    <w:rsid w:val="00596AE4"/>
    <w:rsid w:val="005A17DD"/>
    <w:rsid w:val="005A3EB3"/>
    <w:rsid w:val="005A4DD1"/>
    <w:rsid w:val="005A57DD"/>
    <w:rsid w:val="005A5E4D"/>
    <w:rsid w:val="005B3854"/>
    <w:rsid w:val="005B440B"/>
    <w:rsid w:val="005B72DE"/>
    <w:rsid w:val="005C51B0"/>
    <w:rsid w:val="005C57D5"/>
    <w:rsid w:val="005C7338"/>
    <w:rsid w:val="005C7523"/>
    <w:rsid w:val="005D16A1"/>
    <w:rsid w:val="005D1CF6"/>
    <w:rsid w:val="005D36AA"/>
    <w:rsid w:val="005D3EF9"/>
    <w:rsid w:val="005D491E"/>
    <w:rsid w:val="005D4A38"/>
    <w:rsid w:val="005D519A"/>
    <w:rsid w:val="005D54AF"/>
    <w:rsid w:val="005D65DE"/>
    <w:rsid w:val="005E2608"/>
    <w:rsid w:val="005E3693"/>
    <w:rsid w:val="005E3DC5"/>
    <w:rsid w:val="005E4170"/>
    <w:rsid w:val="005E4FE9"/>
    <w:rsid w:val="005E599A"/>
    <w:rsid w:val="005E5ED2"/>
    <w:rsid w:val="005E7601"/>
    <w:rsid w:val="005E7658"/>
    <w:rsid w:val="005F0879"/>
    <w:rsid w:val="005F0B0A"/>
    <w:rsid w:val="005F2E8E"/>
    <w:rsid w:val="005F3BB4"/>
    <w:rsid w:val="005F6E67"/>
    <w:rsid w:val="00600D4E"/>
    <w:rsid w:val="00603669"/>
    <w:rsid w:val="00607276"/>
    <w:rsid w:val="0060760A"/>
    <w:rsid w:val="00607B12"/>
    <w:rsid w:val="00611376"/>
    <w:rsid w:val="006169FD"/>
    <w:rsid w:val="006200F8"/>
    <w:rsid w:val="006202CC"/>
    <w:rsid w:val="00620B4D"/>
    <w:rsid w:val="00621B13"/>
    <w:rsid w:val="0062436A"/>
    <w:rsid w:val="0062638D"/>
    <w:rsid w:val="00627A00"/>
    <w:rsid w:val="006305FB"/>
    <w:rsid w:val="0063257E"/>
    <w:rsid w:val="006347F4"/>
    <w:rsid w:val="0064054D"/>
    <w:rsid w:val="00640BB7"/>
    <w:rsid w:val="0064192C"/>
    <w:rsid w:val="00642E66"/>
    <w:rsid w:val="00645000"/>
    <w:rsid w:val="0065177A"/>
    <w:rsid w:val="00653A12"/>
    <w:rsid w:val="00654E6C"/>
    <w:rsid w:val="00655DC5"/>
    <w:rsid w:val="00660692"/>
    <w:rsid w:val="00660D68"/>
    <w:rsid w:val="00661155"/>
    <w:rsid w:val="00664162"/>
    <w:rsid w:val="0066463F"/>
    <w:rsid w:val="00664C56"/>
    <w:rsid w:val="00664F41"/>
    <w:rsid w:val="006676BB"/>
    <w:rsid w:val="0067121B"/>
    <w:rsid w:val="006718CC"/>
    <w:rsid w:val="00673055"/>
    <w:rsid w:val="00675297"/>
    <w:rsid w:val="006768D3"/>
    <w:rsid w:val="00681986"/>
    <w:rsid w:val="00682284"/>
    <w:rsid w:val="00683258"/>
    <w:rsid w:val="00683603"/>
    <w:rsid w:val="006846D9"/>
    <w:rsid w:val="00684B12"/>
    <w:rsid w:val="00684F08"/>
    <w:rsid w:val="006872A6"/>
    <w:rsid w:val="0068738B"/>
    <w:rsid w:val="00690CA5"/>
    <w:rsid w:val="00690CA9"/>
    <w:rsid w:val="00694EEE"/>
    <w:rsid w:val="006956EC"/>
    <w:rsid w:val="00695A97"/>
    <w:rsid w:val="0069702A"/>
    <w:rsid w:val="006970C9"/>
    <w:rsid w:val="0069749A"/>
    <w:rsid w:val="006976E1"/>
    <w:rsid w:val="006A0CAA"/>
    <w:rsid w:val="006A0DEB"/>
    <w:rsid w:val="006A11B6"/>
    <w:rsid w:val="006A1ECD"/>
    <w:rsid w:val="006A4315"/>
    <w:rsid w:val="006A50CD"/>
    <w:rsid w:val="006A7D2F"/>
    <w:rsid w:val="006B124A"/>
    <w:rsid w:val="006B1EE8"/>
    <w:rsid w:val="006B2878"/>
    <w:rsid w:val="006B2905"/>
    <w:rsid w:val="006B3C4C"/>
    <w:rsid w:val="006B543F"/>
    <w:rsid w:val="006B7287"/>
    <w:rsid w:val="006B7555"/>
    <w:rsid w:val="006B76E2"/>
    <w:rsid w:val="006C1134"/>
    <w:rsid w:val="006C11AC"/>
    <w:rsid w:val="006C1B6E"/>
    <w:rsid w:val="006C22AF"/>
    <w:rsid w:val="006C245D"/>
    <w:rsid w:val="006C24AB"/>
    <w:rsid w:val="006C5469"/>
    <w:rsid w:val="006C6FA9"/>
    <w:rsid w:val="006D0228"/>
    <w:rsid w:val="006D4109"/>
    <w:rsid w:val="006D5404"/>
    <w:rsid w:val="006D5D1E"/>
    <w:rsid w:val="006D6500"/>
    <w:rsid w:val="006D6722"/>
    <w:rsid w:val="006E15C2"/>
    <w:rsid w:val="006E2DA8"/>
    <w:rsid w:val="006E3BC9"/>
    <w:rsid w:val="006E4D28"/>
    <w:rsid w:val="006E5076"/>
    <w:rsid w:val="006E75A9"/>
    <w:rsid w:val="006F04AB"/>
    <w:rsid w:val="006F3BAD"/>
    <w:rsid w:val="006F3E54"/>
    <w:rsid w:val="006F4622"/>
    <w:rsid w:val="006F7016"/>
    <w:rsid w:val="006F7659"/>
    <w:rsid w:val="00700B7C"/>
    <w:rsid w:val="00700CF9"/>
    <w:rsid w:val="00700F33"/>
    <w:rsid w:val="00702AF2"/>
    <w:rsid w:val="007031BD"/>
    <w:rsid w:val="007049CE"/>
    <w:rsid w:val="007075DE"/>
    <w:rsid w:val="0070775E"/>
    <w:rsid w:val="0071134B"/>
    <w:rsid w:val="007136C4"/>
    <w:rsid w:val="007143B8"/>
    <w:rsid w:val="007152C2"/>
    <w:rsid w:val="007167AF"/>
    <w:rsid w:val="00721F76"/>
    <w:rsid w:val="00722822"/>
    <w:rsid w:val="00722A11"/>
    <w:rsid w:val="0072389B"/>
    <w:rsid w:val="00724243"/>
    <w:rsid w:val="0072494A"/>
    <w:rsid w:val="00724FFD"/>
    <w:rsid w:val="00726BA9"/>
    <w:rsid w:val="00731AE9"/>
    <w:rsid w:val="00732316"/>
    <w:rsid w:val="00735DAD"/>
    <w:rsid w:val="00737441"/>
    <w:rsid w:val="00740D10"/>
    <w:rsid w:val="007448F2"/>
    <w:rsid w:val="00745658"/>
    <w:rsid w:val="00745ED0"/>
    <w:rsid w:val="00747A8B"/>
    <w:rsid w:val="0075024F"/>
    <w:rsid w:val="00750AF1"/>
    <w:rsid w:val="00753198"/>
    <w:rsid w:val="007561A5"/>
    <w:rsid w:val="007564A2"/>
    <w:rsid w:val="00756A8D"/>
    <w:rsid w:val="00760298"/>
    <w:rsid w:val="00760BDC"/>
    <w:rsid w:val="007610D1"/>
    <w:rsid w:val="007621D2"/>
    <w:rsid w:val="00766DFB"/>
    <w:rsid w:val="007709AA"/>
    <w:rsid w:val="00771F0F"/>
    <w:rsid w:val="00772167"/>
    <w:rsid w:val="00772395"/>
    <w:rsid w:val="00772E61"/>
    <w:rsid w:val="007743BF"/>
    <w:rsid w:val="00775EF3"/>
    <w:rsid w:val="00776848"/>
    <w:rsid w:val="00776F7C"/>
    <w:rsid w:val="00781DE3"/>
    <w:rsid w:val="00783A6C"/>
    <w:rsid w:val="00783D49"/>
    <w:rsid w:val="007842A7"/>
    <w:rsid w:val="00786255"/>
    <w:rsid w:val="00786BAB"/>
    <w:rsid w:val="007922C9"/>
    <w:rsid w:val="007926A0"/>
    <w:rsid w:val="00792741"/>
    <w:rsid w:val="0079567A"/>
    <w:rsid w:val="00795BFA"/>
    <w:rsid w:val="00796224"/>
    <w:rsid w:val="007A0A41"/>
    <w:rsid w:val="007A1BFB"/>
    <w:rsid w:val="007A327E"/>
    <w:rsid w:val="007A37CA"/>
    <w:rsid w:val="007A3A87"/>
    <w:rsid w:val="007A3ABC"/>
    <w:rsid w:val="007A3B08"/>
    <w:rsid w:val="007A4FE9"/>
    <w:rsid w:val="007A5A28"/>
    <w:rsid w:val="007A6B5D"/>
    <w:rsid w:val="007A6F22"/>
    <w:rsid w:val="007B2500"/>
    <w:rsid w:val="007B2B5F"/>
    <w:rsid w:val="007B33A9"/>
    <w:rsid w:val="007B3539"/>
    <w:rsid w:val="007B36CB"/>
    <w:rsid w:val="007B569F"/>
    <w:rsid w:val="007B57AC"/>
    <w:rsid w:val="007B7B61"/>
    <w:rsid w:val="007C083C"/>
    <w:rsid w:val="007C2F38"/>
    <w:rsid w:val="007C3422"/>
    <w:rsid w:val="007C42C6"/>
    <w:rsid w:val="007C49B1"/>
    <w:rsid w:val="007C5C5F"/>
    <w:rsid w:val="007C7455"/>
    <w:rsid w:val="007C7934"/>
    <w:rsid w:val="007D27BC"/>
    <w:rsid w:val="007D4067"/>
    <w:rsid w:val="007D5333"/>
    <w:rsid w:val="007D54CA"/>
    <w:rsid w:val="007D6341"/>
    <w:rsid w:val="007E03C8"/>
    <w:rsid w:val="007E1570"/>
    <w:rsid w:val="007E1EFB"/>
    <w:rsid w:val="007E2708"/>
    <w:rsid w:val="007E3CAF"/>
    <w:rsid w:val="007E4C10"/>
    <w:rsid w:val="007E4FA2"/>
    <w:rsid w:val="007E5623"/>
    <w:rsid w:val="007E5A08"/>
    <w:rsid w:val="007E5EE0"/>
    <w:rsid w:val="007E611F"/>
    <w:rsid w:val="007E65CA"/>
    <w:rsid w:val="007F02D6"/>
    <w:rsid w:val="007F2F9D"/>
    <w:rsid w:val="007F61A2"/>
    <w:rsid w:val="007F672A"/>
    <w:rsid w:val="007F6C98"/>
    <w:rsid w:val="007F701E"/>
    <w:rsid w:val="0080000E"/>
    <w:rsid w:val="00800044"/>
    <w:rsid w:val="00800203"/>
    <w:rsid w:val="0080041A"/>
    <w:rsid w:val="00800557"/>
    <w:rsid w:val="00803C3A"/>
    <w:rsid w:val="00803E02"/>
    <w:rsid w:val="0080609C"/>
    <w:rsid w:val="00810362"/>
    <w:rsid w:val="0081071A"/>
    <w:rsid w:val="00812066"/>
    <w:rsid w:val="00813E1C"/>
    <w:rsid w:val="008142FE"/>
    <w:rsid w:val="00815CCA"/>
    <w:rsid w:val="0082095B"/>
    <w:rsid w:val="00821208"/>
    <w:rsid w:val="00821324"/>
    <w:rsid w:val="00821346"/>
    <w:rsid w:val="00822915"/>
    <w:rsid w:val="0082330E"/>
    <w:rsid w:val="0082380C"/>
    <w:rsid w:val="008248C6"/>
    <w:rsid w:val="008254AF"/>
    <w:rsid w:val="008273D6"/>
    <w:rsid w:val="00832441"/>
    <w:rsid w:val="008324CF"/>
    <w:rsid w:val="008341F7"/>
    <w:rsid w:val="0083545D"/>
    <w:rsid w:val="0083629D"/>
    <w:rsid w:val="008372E0"/>
    <w:rsid w:val="008377D6"/>
    <w:rsid w:val="008402AF"/>
    <w:rsid w:val="00842441"/>
    <w:rsid w:val="008440C9"/>
    <w:rsid w:val="0084458D"/>
    <w:rsid w:val="00844DE1"/>
    <w:rsid w:val="00844E1F"/>
    <w:rsid w:val="00845B07"/>
    <w:rsid w:val="00846501"/>
    <w:rsid w:val="00846A47"/>
    <w:rsid w:val="00847167"/>
    <w:rsid w:val="0085289D"/>
    <w:rsid w:val="0086029E"/>
    <w:rsid w:val="00860FC3"/>
    <w:rsid w:val="00861990"/>
    <w:rsid w:val="00862263"/>
    <w:rsid w:val="00862FE0"/>
    <w:rsid w:val="00863616"/>
    <w:rsid w:val="00863C3E"/>
    <w:rsid w:val="008652D4"/>
    <w:rsid w:val="00865EE4"/>
    <w:rsid w:val="00866373"/>
    <w:rsid w:val="00866B76"/>
    <w:rsid w:val="00870821"/>
    <w:rsid w:val="00870C36"/>
    <w:rsid w:val="0087142D"/>
    <w:rsid w:val="00871C17"/>
    <w:rsid w:val="00873304"/>
    <w:rsid w:val="0087360E"/>
    <w:rsid w:val="00874C53"/>
    <w:rsid w:val="008829FF"/>
    <w:rsid w:val="0088370D"/>
    <w:rsid w:val="00883F50"/>
    <w:rsid w:val="0088516C"/>
    <w:rsid w:val="0088590B"/>
    <w:rsid w:val="00892BEC"/>
    <w:rsid w:val="00892F8F"/>
    <w:rsid w:val="0089456A"/>
    <w:rsid w:val="00895681"/>
    <w:rsid w:val="0089612F"/>
    <w:rsid w:val="00897A66"/>
    <w:rsid w:val="00897C76"/>
    <w:rsid w:val="00897FE7"/>
    <w:rsid w:val="008A0164"/>
    <w:rsid w:val="008A3727"/>
    <w:rsid w:val="008A3C5B"/>
    <w:rsid w:val="008A40D3"/>
    <w:rsid w:val="008A4936"/>
    <w:rsid w:val="008A4E96"/>
    <w:rsid w:val="008A7929"/>
    <w:rsid w:val="008B1C57"/>
    <w:rsid w:val="008B316D"/>
    <w:rsid w:val="008B4AC0"/>
    <w:rsid w:val="008B6601"/>
    <w:rsid w:val="008B6D7C"/>
    <w:rsid w:val="008C0741"/>
    <w:rsid w:val="008C1184"/>
    <w:rsid w:val="008C1250"/>
    <w:rsid w:val="008C1BDB"/>
    <w:rsid w:val="008C2475"/>
    <w:rsid w:val="008C28FC"/>
    <w:rsid w:val="008C4F04"/>
    <w:rsid w:val="008C5827"/>
    <w:rsid w:val="008C58DE"/>
    <w:rsid w:val="008C6ABD"/>
    <w:rsid w:val="008D0F9F"/>
    <w:rsid w:val="008D1787"/>
    <w:rsid w:val="008D22A3"/>
    <w:rsid w:val="008D38FA"/>
    <w:rsid w:val="008D3FA1"/>
    <w:rsid w:val="008D414C"/>
    <w:rsid w:val="008D6862"/>
    <w:rsid w:val="008D6B95"/>
    <w:rsid w:val="008E4BE3"/>
    <w:rsid w:val="008E66F8"/>
    <w:rsid w:val="008E74E9"/>
    <w:rsid w:val="008E7FE0"/>
    <w:rsid w:val="008F0315"/>
    <w:rsid w:val="008F0FFF"/>
    <w:rsid w:val="008F228B"/>
    <w:rsid w:val="008F3969"/>
    <w:rsid w:val="008F4943"/>
    <w:rsid w:val="008F5303"/>
    <w:rsid w:val="00902B7D"/>
    <w:rsid w:val="00907464"/>
    <w:rsid w:val="009076DF"/>
    <w:rsid w:val="009117A5"/>
    <w:rsid w:val="009118DC"/>
    <w:rsid w:val="009120FE"/>
    <w:rsid w:val="009177B2"/>
    <w:rsid w:val="00920F59"/>
    <w:rsid w:val="00921641"/>
    <w:rsid w:val="00922DA9"/>
    <w:rsid w:val="00926457"/>
    <w:rsid w:val="00927E93"/>
    <w:rsid w:val="0093148F"/>
    <w:rsid w:val="0093161B"/>
    <w:rsid w:val="00933309"/>
    <w:rsid w:val="00933E73"/>
    <w:rsid w:val="0093482A"/>
    <w:rsid w:val="0093574A"/>
    <w:rsid w:val="00935A36"/>
    <w:rsid w:val="009372D6"/>
    <w:rsid w:val="009377FF"/>
    <w:rsid w:val="00941823"/>
    <w:rsid w:val="00942A6A"/>
    <w:rsid w:val="00944216"/>
    <w:rsid w:val="009474D8"/>
    <w:rsid w:val="00951157"/>
    <w:rsid w:val="0095212A"/>
    <w:rsid w:val="00952FA7"/>
    <w:rsid w:val="00954B41"/>
    <w:rsid w:val="0095713C"/>
    <w:rsid w:val="00960ADF"/>
    <w:rsid w:val="009619DA"/>
    <w:rsid w:val="0096219B"/>
    <w:rsid w:val="00962869"/>
    <w:rsid w:val="009630E9"/>
    <w:rsid w:val="009642BE"/>
    <w:rsid w:val="00964380"/>
    <w:rsid w:val="00965536"/>
    <w:rsid w:val="00971480"/>
    <w:rsid w:val="00971D2C"/>
    <w:rsid w:val="00973E95"/>
    <w:rsid w:val="009746CD"/>
    <w:rsid w:val="00976444"/>
    <w:rsid w:val="00976CE2"/>
    <w:rsid w:val="00977860"/>
    <w:rsid w:val="00981752"/>
    <w:rsid w:val="009853D7"/>
    <w:rsid w:val="00985B95"/>
    <w:rsid w:val="00985F06"/>
    <w:rsid w:val="00987738"/>
    <w:rsid w:val="00990789"/>
    <w:rsid w:val="0099182F"/>
    <w:rsid w:val="00991FB9"/>
    <w:rsid w:val="00993AD6"/>
    <w:rsid w:val="00994FCE"/>
    <w:rsid w:val="0099512F"/>
    <w:rsid w:val="00997963"/>
    <w:rsid w:val="009A0D27"/>
    <w:rsid w:val="009A2091"/>
    <w:rsid w:val="009A2FFC"/>
    <w:rsid w:val="009A72BE"/>
    <w:rsid w:val="009B4048"/>
    <w:rsid w:val="009B5013"/>
    <w:rsid w:val="009B5975"/>
    <w:rsid w:val="009B62EE"/>
    <w:rsid w:val="009B6993"/>
    <w:rsid w:val="009C3176"/>
    <w:rsid w:val="009C349C"/>
    <w:rsid w:val="009C404F"/>
    <w:rsid w:val="009C452C"/>
    <w:rsid w:val="009C4634"/>
    <w:rsid w:val="009C6C61"/>
    <w:rsid w:val="009C7E8D"/>
    <w:rsid w:val="009D0205"/>
    <w:rsid w:val="009D35CC"/>
    <w:rsid w:val="009D38E6"/>
    <w:rsid w:val="009D38F4"/>
    <w:rsid w:val="009D3EA0"/>
    <w:rsid w:val="009D55C4"/>
    <w:rsid w:val="009D5DBD"/>
    <w:rsid w:val="009D62D2"/>
    <w:rsid w:val="009D6FEB"/>
    <w:rsid w:val="009E0415"/>
    <w:rsid w:val="009E0B0E"/>
    <w:rsid w:val="009E0B36"/>
    <w:rsid w:val="009E2997"/>
    <w:rsid w:val="009E2F16"/>
    <w:rsid w:val="009E3B64"/>
    <w:rsid w:val="009E3C74"/>
    <w:rsid w:val="009E42CC"/>
    <w:rsid w:val="009E4908"/>
    <w:rsid w:val="009E4FFB"/>
    <w:rsid w:val="009E7E18"/>
    <w:rsid w:val="009F006D"/>
    <w:rsid w:val="009F3DC9"/>
    <w:rsid w:val="009F4290"/>
    <w:rsid w:val="009F46B6"/>
    <w:rsid w:val="009F4B47"/>
    <w:rsid w:val="009F576B"/>
    <w:rsid w:val="009F6518"/>
    <w:rsid w:val="009F67CD"/>
    <w:rsid w:val="009F6D31"/>
    <w:rsid w:val="009F7D69"/>
    <w:rsid w:val="00A00373"/>
    <w:rsid w:val="00A00448"/>
    <w:rsid w:val="00A00A2F"/>
    <w:rsid w:val="00A0153C"/>
    <w:rsid w:val="00A04029"/>
    <w:rsid w:val="00A064D9"/>
    <w:rsid w:val="00A0705B"/>
    <w:rsid w:val="00A10FB2"/>
    <w:rsid w:val="00A110EE"/>
    <w:rsid w:val="00A11F2A"/>
    <w:rsid w:val="00A13E99"/>
    <w:rsid w:val="00A20D34"/>
    <w:rsid w:val="00A235C5"/>
    <w:rsid w:val="00A23AD7"/>
    <w:rsid w:val="00A25852"/>
    <w:rsid w:val="00A259D6"/>
    <w:rsid w:val="00A25D82"/>
    <w:rsid w:val="00A27FE4"/>
    <w:rsid w:val="00A302E9"/>
    <w:rsid w:val="00A30A75"/>
    <w:rsid w:val="00A34064"/>
    <w:rsid w:val="00A341FB"/>
    <w:rsid w:val="00A343C3"/>
    <w:rsid w:val="00A3476E"/>
    <w:rsid w:val="00A3491C"/>
    <w:rsid w:val="00A34C06"/>
    <w:rsid w:val="00A34CFF"/>
    <w:rsid w:val="00A35ABA"/>
    <w:rsid w:val="00A3744D"/>
    <w:rsid w:val="00A40EC2"/>
    <w:rsid w:val="00A421D2"/>
    <w:rsid w:val="00A43243"/>
    <w:rsid w:val="00A44773"/>
    <w:rsid w:val="00A45586"/>
    <w:rsid w:val="00A45EF5"/>
    <w:rsid w:val="00A4600E"/>
    <w:rsid w:val="00A462FC"/>
    <w:rsid w:val="00A479DD"/>
    <w:rsid w:val="00A51939"/>
    <w:rsid w:val="00A56E23"/>
    <w:rsid w:val="00A611BB"/>
    <w:rsid w:val="00A614C3"/>
    <w:rsid w:val="00A63979"/>
    <w:rsid w:val="00A658EC"/>
    <w:rsid w:val="00A663B0"/>
    <w:rsid w:val="00A6789C"/>
    <w:rsid w:val="00A71292"/>
    <w:rsid w:val="00A73800"/>
    <w:rsid w:val="00A749CB"/>
    <w:rsid w:val="00A76D53"/>
    <w:rsid w:val="00A81516"/>
    <w:rsid w:val="00A8166D"/>
    <w:rsid w:val="00A846B1"/>
    <w:rsid w:val="00A87086"/>
    <w:rsid w:val="00A87863"/>
    <w:rsid w:val="00A90C2B"/>
    <w:rsid w:val="00A92697"/>
    <w:rsid w:val="00A93233"/>
    <w:rsid w:val="00A941F1"/>
    <w:rsid w:val="00A97FD3"/>
    <w:rsid w:val="00AA0B09"/>
    <w:rsid w:val="00AA1FC2"/>
    <w:rsid w:val="00AA5802"/>
    <w:rsid w:val="00AA757E"/>
    <w:rsid w:val="00AA7C2F"/>
    <w:rsid w:val="00AB37E6"/>
    <w:rsid w:val="00AB7B56"/>
    <w:rsid w:val="00AB7D8C"/>
    <w:rsid w:val="00AC1E00"/>
    <w:rsid w:val="00AC3974"/>
    <w:rsid w:val="00AC4254"/>
    <w:rsid w:val="00AC4461"/>
    <w:rsid w:val="00AC5789"/>
    <w:rsid w:val="00AC5E3D"/>
    <w:rsid w:val="00AC79C0"/>
    <w:rsid w:val="00AD02D6"/>
    <w:rsid w:val="00AD22E5"/>
    <w:rsid w:val="00AD2456"/>
    <w:rsid w:val="00AD2E3C"/>
    <w:rsid w:val="00AD4BE5"/>
    <w:rsid w:val="00AD7B53"/>
    <w:rsid w:val="00AE012E"/>
    <w:rsid w:val="00AE077F"/>
    <w:rsid w:val="00AE3B4C"/>
    <w:rsid w:val="00AE3C14"/>
    <w:rsid w:val="00AE3D6C"/>
    <w:rsid w:val="00AE596D"/>
    <w:rsid w:val="00AE5C19"/>
    <w:rsid w:val="00AF1023"/>
    <w:rsid w:val="00AF1159"/>
    <w:rsid w:val="00AF1F5B"/>
    <w:rsid w:val="00AF4B6B"/>
    <w:rsid w:val="00AF500A"/>
    <w:rsid w:val="00AF50D9"/>
    <w:rsid w:val="00AF6C72"/>
    <w:rsid w:val="00AF7A0C"/>
    <w:rsid w:val="00AF7A3F"/>
    <w:rsid w:val="00B010F2"/>
    <w:rsid w:val="00B02825"/>
    <w:rsid w:val="00B03147"/>
    <w:rsid w:val="00B12F4C"/>
    <w:rsid w:val="00B13090"/>
    <w:rsid w:val="00B14378"/>
    <w:rsid w:val="00B14486"/>
    <w:rsid w:val="00B1570E"/>
    <w:rsid w:val="00B20623"/>
    <w:rsid w:val="00B228D2"/>
    <w:rsid w:val="00B25598"/>
    <w:rsid w:val="00B25AF5"/>
    <w:rsid w:val="00B3378C"/>
    <w:rsid w:val="00B33824"/>
    <w:rsid w:val="00B34C6D"/>
    <w:rsid w:val="00B37BF2"/>
    <w:rsid w:val="00B4016D"/>
    <w:rsid w:val="00B408F1"/>
    <w:rsid w:val="00B41D19"/>
    <w:rsid w:val="00B43688"/>
    <w:rsid w:val="00B438D0"/>
    <w:rsid w:val="00B43D8F"/>
    <w:rsid w:val="00B447DF"/>
    <w:rsid w:val="00B46976"/>
    <w:rsid w:val="00B471DC"/>
    <w:rsid w:val="00B51840"/>
    <w:rsid w:val="00B521BE"/>
    <w:rsid w:val="00B527B8"/>
    <w:rsid w:val="00B529FA"/>
    <w:rsid w:val="00B54175"/>
    <w:rsid w:val="00B55D3B"/>
    <w:rsid w:val="00B56CBC"/>
    <w:rsid w:val="00B601B6"/>
    <w:rsid w:val="00B62131"/>
    <w:rsid w:val="00B648AF"/>
    <w:rsid w:val="00B666D6"/>
    <w:rsid w:val="00B67C1A"/>
    <w:rsid w:val="00B72EBD"/>
    <w:rsid w:val="00B73987"/>
    <w:rsid w:val="00B752F5"/>
    <w:rsid w:val="00B75A58"/>
    <w:rsid w:val="00B77D79"/>
    <w:rsid w:val="00B817E3"/>
    <w:rsid w:val="00B8237E"/>
    <w:rsid w:val="00B82C3B"/>
    <w:rsid w:val="00B85DC0"/>
    <w:rsid w:val="00B86E31"/>
    <w:rsid w:val="00B87CA6"/>
    <w:rsid w:val="00B91E94"/>
    <w:rsid w:val="00B95085"/>
    <w:rsid w:val="00B95812"/>
    <w:rsid w:val="00B9583E"/>
    <w:rsid w:val="00B95A0B"/>
    <w:rsid w:val="00B96A4F"/>
    <w:rsid w:val="00B96B3F"/>
    <w:rsid w:val="00B96E8B"/>
    <w:rsid w:val="00B97596"/>
    <w:rsid w:val="00B97E25"/>
    <w:rsid w:val="00BA19F7"/>
    <w:rsid w:val="00BA2BCB"/>
    <w:rsid w:val="00BA2C88"/>
    <w:rsid w:val="00BA2F6E"/>
    <w:rsid w:val="00BA48EB"/>
    <w:rsid w:val="00BA4ABE"/>
    <w:rsid w:val="00BA5E12"/>
    <w:rsid w:val="00BA7143"/>
    <w:rsid w:val="00BA7BC8"/>
    <w:rsid w:val="00BB0234"/>
    <w:rsid w:val="00BB1B18"/>
    <w:rsid w:val="00BB23CB"/>
    <w:rsid w:val="00BB26F9"/>
    <w:rsid w:val="00BB2F73"/>
    <w:rsid w:val="00BB565E"/>
    <w:rsid w:val="00BC00EC"/>
    <w:rsid w:val="00BC0749"/>
    <w:rsid w:val="00BC100B"/>
    <w:rsid w:val="00BC16E1"/>
    <w:rsid w:val="00BC1FC8"/>
    <w:rsid w:val="00BC3554"/>
    <w:rsid w:val="00BC578F"/>
    <w:rsid w:val="00BC5D51"/>
    <w:rsid w:val="00BC7055"/>
    <w:rsid w:val="00BC7A79"/>
    <w:rsid w:val="00BD0296"/>
    <w:rsid w:val="00BD17E3"/>
    <w:rsid w:val="00BD2684"/>
    <w:rsid w:val="00BD2AA1"/>
    <w:rsid w:val="00BD4208"/>
    <w:rsid w:val="00BD61BA"/>
    <w:rsid w:val="00BD63F2"/>
    <w:rsid w:val="00BE0B2B"/>
    <w:rsid w:val="00BE1E5D"/>
    <w:rsid w:val="00BE2484"/>
    <w:rsid w:val="00BE2B98"/>
    <w:rsid w:val="00BE2DF2"/>
    <w:rsid w:val="00BE3BAB"/>
    <w:rsid w:val="00BE4178"/>
    <w:rsid w:val="00BE5554"/>
    <w:rsid w:val="00BE6C33"/>
    <w:rsid w:val="00BF041C"/>
    <w:rsid w:val="00BF110A"/>
    <w:rsid w:val="00BF263F"/>
    <w:rsid w:val="00BF5063"/>
    <w:rsid w:val="00BF6D14"/>
    <w:rsid w:val="00BF6D87"/>
    <w:rsid w:val="00C00572"/>
    <w:rsid w:val="00C04B95"/>
    <w:rsid w:val="00C051EF"/>
    <w:rsid w:val="00C10CAE"/>
    <w:rsid w:val="00C12ADC"/>
    <w:rsid w:val="00C13002"/>
    <w:rsid w:val="00C154AC"/>
    <w:rsid w:val="00C15C8B"/>
    <w:rsid w:val="00C15CBA"/>
    <w:rsid w:val="00C1750A"/>
    <w:rsid w:val="00C20CB7"/>
    <w:rsid w:val="00C2537D"/>
    <w:rsid w:val="00C25D38"/>
    <w:rsid w:val="00C27D4B"/>
    <w:rsid w:val="00C27DE8"/>
    <w:rsid w:val="00C31C50"/>
    <w:rsid w:val="00C3251E"/>
    <w:rsid w:val="00C37280"/>
    <w:rsid w:val="00C4100A"/>
    <w:rsid w:val="00C4152C"/>
    <w:rsid w:val="00C454D5"/>
    <w:rsid w:val="00C461F9"/>
    <w:rsid w:val="00C46E77"/>
    <w:rsid w:val="00C479F7"/>
    <w:rsid w:val="00C52BD3"/>
    <w:rsid w:val="00C5446E"/>
    <w:rsid w:val="00C54C4B"/>
    <w:rsid w:val="00C55F00"/>
    <w:rsid w:val="00C576BA"/>
    <w:rsid w:val="00C60E78"/>
    <w:rsid w:val="00C6507E"/>
    <w:rsid w:val="00C66E39"/>
    <w:rsid w:val="00C70C7F"/>
    <w:rsid w:val="00C7189B"/>
    <w:rsid w:val="00C72122"/>
    <w:rsid w:val="00C72778"/>
    <w:rsid w:val="00C76273"/>
    <w:rsid w:val="00C77487"/>
    <w:rsid w:val="00C77EAF"/>
    <w:rsid w:val="00C80D21"/>
    <w:rsid w:val="00C81DCB"/>
    <w:rsid w:val="00C82010"/>
    <w:rsid w:val="00C83A77"/>
    <w:rsid w:val="00C84778"/>
    <w:rsid w:val="00C857BE"/>
    <w:rsid w:val="00C85D0F"/>
    <w:rsid w:val="00C861DC"/>
    <w:rsid w:val="00C86B22"/>
    <w:rsid w:val="00C86F86"/>
    <w:rsid w:val="00C87433"/>
    <w:rsid w:val="00C90150"/>
    <w:rsid w:val="00C91411"/>
    <w:rsid w:val="00C91F18"/>
    <w:rsid w:val="00C92CFE"/>
    <w:rsid w:val="00C9421C"/>
    <w:rsid w:val="00C95858"/>
    <w:rsid w:val="00CA0176"/>
    <w:rsid w:val="00CA38C4"/>
    <w:rsid w:val="00CA5CD1"/>
    <w:rsid w:val="00CA6487"/>
    <w:rsid w:val="00CA6847"/>
    <w:rsid w:val="00CA6A07"/>
    <w:rsid w:val="00CA78CF"/>
    <w:rsid w:val="00CB0A88"/>
    <w:rsid w:val="00CB1760"/>
    <w:rsid w:val="00CB3493"/>
    <w:rsid w:val="00CB378C"/>
    <w:rsid w:val="00CB3B25"/>
    <w:rsid w:val="00CB50FC"/>
    <w:rsid w:val="00CC1C8A"/>
    <w:rsid w:val="00CC3052"/>
    <w:rsid w:val="00CC5586"/>
    <w:rsid w:val="00CC5821"/>
    <w:rsid w:val="00CC7BFE"/>
    <w:rsid w:val="00CD53AC"/>
    <w:rsid w:val="00CE00A8"/>
    <w:rsid w:val="00CE3803"/>
    <w:rsid w:val="00CE396A"/>
    <w:rsid w:val="00CE451C"/>
    <w:rsid w:val="00CE53F1"/>
    <w:rsid w:val="00CE65D4"/>
    <w:rsid w:val="00CF0A31"/>
    <w:rsid w:val="00CF39A3"/>
    <w:rsid w:val="00CF3ABD"/>
    <w:rsid w:val="00CF4166"/>
    <w:rsid w:val="00CF478C"/>
    <w:rsid w:val="00CF6C0A"/>
    <w:rsid w:val="00D00AEA"/>
    <w:rsid w:val="00D020C3"/>
    <w:rsid w:val="00D0239D"/>
    <w:rsid w:val="00D02533"/>
    <w:rsid w:val="00D03525"/>
    <w:rsid w:val="00D03BEB"/>
    <w:rsid w:val="00D0443A"/>
    <w:rsid w:val="00D05506"/>
    <w:rsid w:val="00D132B5"/>
    <w:rsid w:val="00D13697"/>
    <w:rsid w:val="00D25FCE"/>
    <w:rsid w:val="00D314D8"/>
    <w:rsid w:val="00D31554"/>
    <w:rsid w:val="00D32580"/>
    <w:rsid w:val="00D35DE6"/>
    <w:rsid w:val="00D36F5F"/>
    <w:rsid w:val="00D3770F"/>
    <w:rsid w:val="00D40FC9"/>
    <w:rsid w:val="00D42D07"/>
    <w:rsid w:val="00D4377B"/>
    <w:rsid w:val="00D44350"/>
    <w:rsid w:val="00D46E1A"/>
    <w:rsid w:val="00D50853"/>
    <w:rsid w:val="00D515B9"/>
    <w:rsid w:val="00D53B55"/>
    <w:rsid w:val="00D53FD1"/>
    <w:rsid w:val="00D62160"/>
    <w:rsid w:val="00D621DB"/>
    <w:rsid w:val="00D6227E"/>
    <w:rsid w:val="00D63F92"/>
    <w:rsid w:val="00D651FF"/>
    <w:rsid w:val="00D660EE"/>
    <w:rsid w:val="00D6616E"/>
    <w:rsid w:val="00D67A2F"/>
    <w:rsid w:val="00D72409"/>
    <w:rsid w:val="00D7492D"/>
    <w:rsid w:val="00D749AE"/>
    <w:rsid w:val="00D74EE3"/>
    <w:rsid w:val="00D75953"/>
    <w:rsid w:val="00D76B4C"/>
    <w:rsid w:val="00D774F7"/>
    <w:rsid w:val="00D81D91"/>
    <w:rsid w:val="00D821DD"/>
    <w:rsid w:val="00D82697"/>
    <w:rsid w:val="00D84481"/>
    <w:rsid w:val="00D859E3"/>
    <w:rsid w:val="00D86289"/>
    <w:rsid w:val="00D9085F"/>
    <w:rsid w:val="00D919DB"/>
    <w:rsid w:val="00D921DD"/>
    <w:rsid w:val="00D9391F"/>
    <w:rsid w:val="00D93E93"/>
    <w:rsid w:val="00D943E4"/>
    <w:rsid w:val="00D96002"/>
    <w:rsid w:val="00D962B3"/>
    <w:rsid w:val="00DA0257"/>
    <w:rsid w:val="00DA0DF4"/>
    <w:rsid w:val="00DA112C"/>
    <w:rsid w:val="00DA2A70"/>
    <w:rsid w:val="00DA3150"/>
    <w:rsid w:val="00DA369C"/>
    <w:rsid w:val="00DA4304"/>
    <w:rsid w:val="00DA4F82"/>
    <w:rsid w:val="00DA53E4"/>
    <w:rsid w:val="00DA59B4"/>
    <w:rsid w:val="00DA691C"/>
    <w:rsid w:val="00DA6A37"/>
    <w:rsid w:val="00DA6F38"/>
    <w:rsid w:val="00DA74CF"/>
    <w:rsid w:val="00DB1F1B"/>
    <w:rsid w:val="00DB3641"/>
    <w:rsid w:val="00DB4511"/>
    <w:rsid w:val="00DC0925"/>
    <w:rsid w:val="00DC0CC1"/>
    <w:rsid w:val="00DC30E1"/>
    <w:rsid w:val="00DC38D6"/>
    <w:rsid w:val="00DC41B4"/>
    <w:rsid w:val="00DC5567"/>
    <w:rsid w:val="00DC5ECA"/>
    <w:rsid w:val="00DC6201"/>
    <w:rsid w:val="00DC72FD"/>
    <w:rsid w:val="00DD0560"/>
    <w:rsid w:val="00DD06B2"/>
    <w:rsid w:val="00DD0E30"/>
    <w:rsid w:val="00DD2ED2"/>
    <w:rsid w:val="00DD2FD6"/>
    <w:rsid w:val="00DD51DA"/>
    <w:rsid w:val="00DD5577"/>
    <w:rsid w:val="00DE046B"/>
    <w:rsid w:val="00DE0CFD"/>
    <w:rsid w:val="00DE146A"/>
    <w:rsid w:val="00DE221C"/>
    <w:rsid w:val="00DE2E70"/>
    <w:rsid w:val="00DE3AF0"/>
    <w:rsid w:val="00DE5F9B"/>
    <w:rsid w:val="00DE60FF"/>
    <w:rsid w:val="00DE72C2"/>
    <w:rsid w:val="00DE7C24"/>
    <w:rsid w:val="00DF1247"/>
    <w:rsid w:val="00DF4BC9"/>
    <w:rsid w:val="00DF5253"/>
    <w:rsid w:val="00DF7F65"/>
    <w:rsid w:val="00E004E6"/>
    <w:rsid w:val="00E008B1"/>
    <w:rsid w:val="00E00CA8"/>
    <w:rsid w:val="00E024E7"/>
    <w:rsid w:val="00E05231"/>
    <w:rsid w:val="00E0558E"/>
    <w:rsid w:val="00E0583E"/>
    <w:rsid w:val="00E05F9E"/>
    <w:rsid w:val="00E101C1"/>
    <w:rsid w:val="00E10609"/>
    <w:rsid w:val="00E10EFD"/>
    <w:rsid w:val="00E15BC0"/>
    <w:rsid w:val="00E16575"/>
    <w:rsid w:val="00E176FB"/>
    <w:rsid w:val="00E240FA"/>
    <w:rsid w:val="00E27F6D"/>
    <w:rsid w:val="00E304B8"/>
    <w:rsid w:val="00E32042"/>
    <w:rsid w:val="00E328FC"/>
    <w:rsid w:val="00E3315B"/>
    <w:rsid w:val="00E3346D"/>
    <w:rsid w:val="00E33F5E"/>
    <w:rsid w:val="00E3417F"/>
    <w:rsid w:val="00E347AC"/>
    <w:rsid w:val="00E367CA"/>
    <w:rsid w:val="00E4026F"/>
    <w:rsid w:val="00E4078A"/>
    <w:rsid w:val="00E41BD3"/>
    <w:rsid w:val="00E43545"/>
    <w:rsid w:val="00E45673"/>
    <w:rsid w:val="00E4594A"/>
    <w:rsid w:val="00E4752F"/>
    <w:rsid w:val="00E50324"/>
    <w:rsid w:val="00E50542"/>
    <w:rsid w:val="00E50D2F"/>
    <w:rsid w:val="00E51212"/>
    <w:rsid w:val="00E523A6"/>
    <w:rsid w:val="00E526C3"/>
    <w:rsid w:val="00E54CF2"/>
    <w:rsid w:val="00E56ECE"/>
    <w:rsid w:val="00E626B7"/>
    <w:rsid w:val="00E63730"/>
    <w:rsid w:val="00E6611E"/>
    <w:rsid w:val="00E66E98"/>
    <w:rsid w:val="00E67335"/>
    <w:rsid w:val="00E7101E"/>
    <w:rsid w:val="00E71941"/>
    <w:rsid w:val="00E726CA"/>
    <w:rsid w:val="00E73B9D"/>
    <w:rsid w:val="00E73DBF"/>
    <w:rsid w:val="00E73FB7"/>
    <w:rsid w:val="00E7625C"/>
    <w:rsid w:val="00E77059"/>
    <w:rsid w:val="00E829B5"/>
    <w:rsid w:val="00E82CB9"/>
    <w:rsid w:val="00E8329F"/>
    <w:rsid w:val="00E8557C"/>
    <w:rsid w:val="00E86203"/>
    <w:rsid w:val="00E90789"/>
    <w:rsid w:val="00E919E4"/>
    <w:rsid w:val="00E9372F"/>
    <w:rsid w:val="00E9481A"/>
    <w:rsid w:val="00E9726B"/>
    <w:rsid w:val="00E97475"/>
    <w:rsid w:val="00E9783A"/>
    <w:rsid w:val="00E97CDF"/>
    <w:rsid w:val="00E97DE6"/>
    <w:rsid w:val="00EA11EA"/>
    <w:rsid w:val="00EA68B7"/>
    <w:rsid w:val="00EA6D72"/>
    <w:rsid w:val="00EA6E47"/>
    <w:rsid w:val="00EB0C99"/>
    <w:rsid w:val="00EB1600"/>
    <w:rsid w:val="00EB1C4B"/>
    <w:rsid w:val="00EB1D8F"/>
    <w:rsid w:val="00EB222B"/>
    <w:rsid w:val="00EB33D1"/>
    <w:rsid w:val="00EB3914"/>
    <w:rsid w:val="00EB5764"/>
    <w:rsid w:val="00EC02A1"/>
    <w:rsid w:val="00EC0D5F"/>
    <w:rsid w:val="00EC16DE"/>
    <w:rsid w:val="00EC2989"/>
    <w:rsid w:val="00EC3CE6"/>
    <w:rsid w:val="00EC6418"/>
    <w:rsid w:val="00EC68DA"/>
    <w:rsid w:val="00EC71F9"/>
    <w:rsid w:val="00EC7656"/>
    <w:rsid w:val="00ED24F9"/>
    <w:rsid w:val="00ED653B"/>
    <w:rsid w:val="00ED7500"/>
    <w:rsid w:val="00EE0F85"/>
    <w:rsid w:val="00EE2F9F"/>
    <w:rsid w:val="00EE36FF"/>
    <w:rsid w:val="00EE4102"/>
    <w:rsid w:val="00EE4D60"/>
    <w:rsid w:val="00EF125F"/>
    <w:rsid w:val="00EF5EE8"/>
    <w:rsid w:val="00EF652D"/>
    <w:rsid w:val="00EF755F"/>
    <w:rsid w:val="00F00D77"/>
    <w:rsid w:val="00F01D2E"/>
    <w:rsid w:val="00F0237B"/>
    <w:rsid w:val="00F02757"/>
    <w:rsid w:val="00F02B9E"/>
    <w:rsid w:val="00F02D32"/>
    <w:rsid w:val="00F02F44"/>
    <w:rsid w:val="00F05F5E"/>
    <w:rsid w:val="00F06DB7"/>
    <w:rsid w:val="00F078C7"/>
    <w:rsid w:val="00F10D4F"/>
    <w:rsid w:val="00F13318"/>
    <w:rsid w:val="00F170E0"/>
    <w:rsid w:val="00F1785C"/>
    <w:rsid w:val="00F233B5"/>
    <w:rsid w:val="00F2455D"/>
    <w:rsid w:val="00F24796"/>
    <w:rsid w:val="00F24987"/>
    <w:rsid w:val="00F24BE5"/>
    <w:rsid w:val="00F2770B"/>
    <w:rsid w:val="00F30AD2"/>
    <w:rsid w:val="00F31B83"/>
    <w:rsid w:val="00F31F73"/>
    <w:rsid w:val="00F32407"/>
    <w:rsid w:val="00F32E1A"/>
    <w:rsid w:val="00F33938"/>
    <w:rsid w:val="00F33B1F"/>
    <w:rsid w:val="00F346FB"/>
    <w:rsid w:val="00F34C8E"/>
    <w:rsid w:val="00F35488"/>
    <w:rsid w:val="00F3568C"/>
    <w:rsid w:val="00F35A27"/>
    <w:rsid w:val="00F36376"/>
    <w:rsid w:val="00F423EA"/>
    <w:rsid w:val="00F43409"/>
    <w:rsid w:val="00F43C4B"/>
    <w:rsid w:val="00F46A65"/>
    <w:rsid w:val="00F47A8D"/>
    <w:rsid w:val="00F500CE"/>
    <w:rsid w:val="00F5201B"/>
    <w:rsid w:val="00F53C38"/>
    <w:rsid w:val="00F548DD"/>
    <w:rsid w:val="00F557CD"/>
    <w:rsid w:val="00F5584A"/>
    <w:rsid w:val="00F56130"/>
    <w:rsid w:val="00F56874"/>
    <w:rsid w:val="00F57062"/>
    <w:rsid w:val="00F57BDC"/>
    <w:rsid w:val="00F60170"/>
    <w:rsid w:val="00F61E40"/>
    <w:rsid w:val="00F61FC4"/>
    <w:rsid w:val="00F640A8"/>
    <w:rsid w:val="00F6554D"/>
    <w:rsid w:val="00F66381"/>
    <w:rsid w:val="00F67298"/>
    <w:rsid w:val="00F71535"/>
    <w:rsid w:val="00F71673"/>
    <w:rsid w:val="00F72219"/>
    <w:rsid w:val="00F7386B"/>
    <w:rsid w:val="00F75E18"/>
    <w:rsid w:val="00F8063A"/>
    <w:rsid w:val="00F81936"/>
    <w:rsid w:val="00F81C2A"/>
    <w:rsid w:val="00F835A5"/>
    <w:rsid w:val="00F84337"/>
    <w:rsid w:val="00F84DD5"/>
    <w:rsid w:val="00F85849"/>
    <w:rsid w:val="00F9133B"/>
    <w:rsid w:val="00F921E5"/>
    <w:rsid w:val="00F927E9"/>
    <w:rsid w:val="00F94B67"/>
    <w:rsid w:val="00F96B39"/>
    <w:rsid w:val="00FA28DB"/>
    <w:rsid w:val="00FA32AB"/>
    <w:rsid w:val="00FA371F"/>
    <w:rsid w:val="00FA3BD3"/>
    <w:rsid w:val="00FA4E44"/>
    <w:rsid w:val="00FA4F8A"/>
    <w:rsid w:val="00FB2217"/>
    <w:rsid w:val="00FB3DA2"/>
    <w:rsid w:val="00FB48E2"/>
    <w:rsid w:val="00FB658B"/>
    <w:rsid w:val="00FB6A69"/>
    <w:rsid w:val="00FC2C2C"/>
    <w:rsid w:val="00FC32B6"/>
    <w:rsid w:val="00FC40E6"/>
    <w:rsid w:val="00FC66B1"/>
    <w:rsid w:val="00FD1A50"/>
    <w:rsid w:val="00FD377A"/>
    <w:rsid w:val="00FD53A9"/>
    <w:rsid w:val="00FD7187"/>
    <w:rsid w:val="00FE01D1"/>
    <w:rsid w:val="00FE0486"/>
    <w:rsid w:val="00FE0711"/>
    <w:rsid w:val="00FE20B0"/>
    <w:rsid w:val="00FE223A"/>
    <w:rsid w:val="00FE52A7"/>
    <w:rsid w:val="00FE6A3B"/>
    <w:rsid w:val="00FF05F4"/>
    <w:rsid w:val="00FF0A6B"/>
    <w:rsid w:val="00FF0D5A"/>
    <w:rsid w:val="00FF273C"/>
    <w:rsid w:val="00FF2BDD"/>
    <w:rsid w:val="00FF731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0264B"/>
  <w15:docId w15:val="{73A388F2-D07E-4368-A2BC-F76282F67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E1A"/>
    <w:pPr>
      <w:spacing w:after="160" w:line="259" w:lineRule="auto"/>
    </w:pPr>
  </w:style>
  <w:style w:type="paragraph" w:styleId="Heading1">
    <w:name w:val="heading 1"/>
    <w:basedOn w:val="Normal"/>
    <w:next w:val="Normal"/>
    <w:link w:val="Heading1Char"/>
    <w:uiPriority w:val="9"/>
    <w:qFormat/>
    <w:rsid w:val="003D0D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0D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5D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D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D0DC6"/>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3D0DC6"/>
    <w:pPr>
      <w:spacing w:after="200" w:line="240" w:lineRule="auto"/>
    </w:pPr>
    <w:rPr>
      <w:b/>
      <w:bCs/>
      <w:color w:val="4F81BD" w:themeColor="accent1"/>
      <w:sz w:val="18"/>
      <w:szCs w:val="18"/>
    </w:rPr>
  </w:style>
  <w:style w:type="character" w:styleId="Hyperlink">
    <w:name w:val="Hyperlink"/>
    <w:basedOn w:val="DefaultParagraphFont"/>
    <w:unhideWhenUsed/>
    <w:rsid w:val="003D0DC6"/>
    <w:rPr>
      <w:color w:val="0000FF"/>
      <w:u w:val="single"/>
    </w:rPr>
  </w:style>
  <w:style w:type="table" w:styleId="TableGrid">
    <w:name w:val="Table Grid"/>
    <w:basedOn w:val="TableNormal"/>
    <w:uiPriority w:val="39"/>
    <w:rsid w:val="003D0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D0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DC6"/>
    <w:rPr>
      <w:rFonts w:ascii="Tahoma" w:hAnsi="Tahoma" w:cs="Tahoma"/>
      <w:sz w:val="16"/>
      <w:szCs w:val="16"/>
    </w:rPr>
  </w:style>
  <w:style w:type="paragraph" w:styleId="NormalWeb">
    <w:name w:val="Normal (Web)"/>
    <w:basedOn w:val="Normal"/>
    <w:uiPriority w:val="99"/>
    <w:unhideWhenUsed/>
    <w:rsid w:val="003D0D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D0DC6"/>
    <w:rPr>
      <w:sz w:val="16"/>
      <w:szCs w:val="16"/>
    </w:rPr>
  </w:style>
  <w:style w:type="paragraph" w:styleId="CommentText">
    <w:name w:val="annotation text"/>
    <w:basedOn w:val="Normal"/>
    <w:link w:val="CommentTextChar"/>
    <w:uiPriority w:val="99"/>
    <w:semiHidden/>
    <w:unhideWhenUsed/>
    <w:rsid w:val="003D0DC6"/>
    <w:pPr>
      <w:spacing w:line="240" w:lineRule="auto"/>
    </w:pPr>
    <w:rPr>
      <w:sz w:val="20"/>
      <w:szCs w:val="20"/>
    </w:rPr>
  </w:style>
  <w:style w:type="character" w:customStyle="1" w:styleId="CommentTextChar">
    <w:name w:val="Comment Text Char"/>
    <w:basedOn w:val="DefaultParagraphFont"/>
    <w:link w:val="CommentText"/>
    <w:uiPriority w:val="99"/>
    <w:semiHidden/>
    <w:rsid w:val="003D0DC6"/>
    <w:rPr>
      <w:sz w:val="20"/>
      <w:szCs w:val="20"/>
    </w:rPr>
  </w:style>
  <w:style w:type="paragraph" w:styleId="CommentSubject">
    <w:name w:val="annotation subject"/>
    <w:basedOn w:val="CommentText"/>
    <w:next w:val="CommentText"/>
    <w:link w:val="CommentSubjectChar"/>
    <w:uiPriority w:val="99"/>
    <w:semiHidden/>
    <w:unhideWhenUsed/>
    <w:rsid w:val="003D0DC6"/>
    <w:rPr>
      <w:b/>
      <w:bCs/>
    </w:rPr>
  </w:style>
  <w:style w:type="character" w:customStyle="1" w:styleId="CommentSubjectChar">
    <w:name w:val="Comment Subject Char"/>
    <w:basedOn w:val="CommentTextChar"/>
    <w:link w:val="CommentSubject"/>
    <w:uiPriority w:val="99"/>
    <w:semiHidden/>
    <w:rsid w:val="003D0DC6"/>
    <w:rPr>
      <w:b/>
      <w:bCs/>
      <w:sz w:val="20"/>
      <w:szCs w:val="20"/>
    </w:rPr>
  </w:style>
  <w:style w:type="paragraph" w:styleId="Header">
    <w:name w:val="header"/>
    <w:basedOn w:val="Normal"/>
    <w:link w:val="HeaderChar"/>
    <w:uiPriority w:val="99"/>
    <w:unhideWhenUsed/>
    <w:rsid w:val="003D0D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0DC6"/>
  </w:style>
  <w:style w:type="paragraph" w:styleId="Footer">
    <w:name w:val="footer"/>
    <w:basedOn w:val="Normal"/>
    <w:link w:val="FooterChar"/>
    <w:uiPriority w:val="99"/>
    <w:unhideWhenUsed/>
    <w:rsid w:val="003D0D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0DC6"/>
  </w:style>
  <w:style w:type="paragraph" w:styleId="FootnoteText">
    <w:name w:val="footnote text"/>
    <w:basedOn w:val="Normal"/>
    <w:link w:val="FootnoteTextChar"/>
    <w:uiPriority w:val="99"/>
    <w:semiHidden/>
    <w:unhideWhenUsed/>
    <w:rsid w:val="003D0D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0DC6"/>
    <w:rPr>
      <w:sz w:val="20"/>
      <w:szCs w:val="20"/>
    </w:rPr>
  </w:style>
  <w:style w:type="character" w:styleId="FootnoteReference">
    <w:name w:val="footnote reference"/>
    <w:basedOn w:val="DefaultParagraphFont"/>
    <w:uiPriority w:val="99"/>
    <w:semiHidden/>
    <w:unhideWhenUsed/>
    <w:rsid w:val="003D0DC6"/>
    <w:rPr>
      <w:vertAlign w:val="superscript"/>
    </w:rPr>
  </w:style>
  <w:style w:type="character" w:customStyle="1" w:styleId="MTConvertedEquation">
    <w:name w:val="MTConvertedEquation"/>
    <w:basedOn w:val="DefaultParagraphFont"/>
    <w:rsid w:val="003D0DC6"/>
    <w:rPr>
      <w:rFonts w:asciiTheme="majorBidi" w:hAnsiTheme="majorBidi" w:cstheme="majorBidi"/>
      <w:b/>
    </w:rPr>
  </w:style>
  <w:style w:type="paragraph" w:styleId="ListParagraph">
    <w:name w:val="List Paragraph"/>
    <w:basedOn w:val="Normal"/>
    <w:uiPriority w:val="34"/>
    <w:qFormat/>
    <w:rsid w:val="003D0DC6"/>
    <w:pPr>
      <w:ind w:left="720"/>
      <w:contextualSpacing/>
    </w:pPr>
  </w:style>
  <w:style w:type="table" w:styleId="LightList-Accent3">
    <w:name w:val="Light List Accent 3"/>
    <w:basedOn w:val="TableNormal"/>
    <w:uiPriority w:val="61"/>
    <w:rsid w:val="003D0DC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3D0DC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FollowedHyperlink">
    <w:name w:val="FollowedHyperlink"/>
    <w:basedOn w:val="DefaultParagraphFont"/>
    <w:uiPriority w:val="99"/>
    <w:semiHidden/>
    <w:unhideWhenUsed/>
    <w:rsid w:val="003D0DC6"/>
    <w:rPr>
      <w:color w:val="800080" w:themeColor="followedHyperlink"/>
      <w:u w:val="single"/>
    </w:rPr>
  </w:style>
  <w:style w:type="character" w:styleId="LineNumber">
    <w:name w:val="line number"/>
    <w:basedOn w:val="DefaultParagraphFont"/>
    <w:uiPriority w:val="99"/>
    <w:semiHidden/>
    <w:unhideWhenUsed/>
    <w:rsid w:val="003D0DC6"/>
  </w:style>
  <w:style w:type="paragraph" w:customStyle="1" w:styleId="TFReferencesSection">
    <w:name w:val="TF_References_Section"/>
    <w:basedOn w:val="Normal"/>
    <w:rsid w:val="0000555E"/>
    <w:pPr>
      <w:spacing w:after="200" w:line="480" w:lineRule="auto"/>
      <w:ind w:firstLine="187"/>
      <w:jc w:val="both"/>
    </w:pPr>
    <w:rPr>
      <w:rFonts w:ascii="Times" w:eastAsia="Times New Roman" w:hAnsi="Times" w:cs="Times New Roman"/>
      <w:sz w:val="24"/>
      <w:szCs w:val="20"/>
    </w:rPr>
  </w:style>
  <w:style w:type="character" w:styleId="PlaceholderText">
    <w:name w:val="Placeholder Text"/>
    <w:basedOn w:val="DefaultParagraphFont"/>
    <w:uiPriority w:val="99"/>
    <w:semiHidden/>
    <w:rsid w:val="00990789"/>
    <w:rPr>
      <w:color w:val="808080"/>
    </w:rPr>
  </w:style>
  <w:style w:type="character" w:styleId="Emphasis">
    <w:name w:val="Emphasis"/>
    <w:basedOn w:val="DefaultParagraphFont"/>
    <w:uiPriority w:val="20"/>
    <w:qFormat/>
    <w:rsid w:val="006C245D"/>
    <w:rPr>
      <w:i/>
      <w:iCs/>
    </w:rPr>
  </w:style>
  <w:style w:type="character" w:styleId="EndnoteReference">
    <w:name w:val="endnote reference"/>
    <w:basedOn w:val="DefaultParagraphFont"/>
    <w:uiPriority w:val="99"/>
    <w:semiHidden/>
    <w:unhideWhenUsed/>
    <w:rsid w:val="00AB37E6"/>
    <w:rPr>
      <w:vertAlign w:val="superscript"/>
    </w:rPr>
  </w:style>
  <w:style w:type="character" w:customStyle="1" w:styleId="Heading3Char">
    <w:name w:val="Heading 3 Char"/>
    <w:basedOn w:val="DefaultParagraphFont"/>
    <w:link w:val="Heading3"/>
    <w:uiPriority w:val="9"/>
    <w:rsid w:val="00BC5D51"/>
    <w:rPr>
      <w:rFonts w:asciiTheme="majorHAnsi" w:eastAsiaTheme="majorEastAsia" w:hAnsiTheme="majorHAnsi" w:cstheme="majorBidi"/>
      <w:b/>
      <w:bCs/>
      <w:color w:val="4F81BD" w:themeColor="accent1"/>
    </w:rPr>
  </w:style>
  <w:style w:type="table" w:customStyle="1" w:styleId="TableGrid2">
    <w:name w:val="Table Grid2"/>
    <w:basedOn w:val="TableNormal"/>
    <w:next w:val="TableGrid"/>
    <w:uiPriority w:val="39"/>
    <w:rsid w:val="008A372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577700">
      <w:bodyDiv w:val="1"/>
      <w:marLeft w:val="0"/>
      <w:marRight w:val="0"/>
      <w:marTop w:val="0"/>
      <w:marBottom w:val="0"/>
      <w:divBdr>
        <w:top w:val="none" w:sz="0" w:space="0" w:color="auto"/>
        <w:left w:val="none" w:sz="0" w:space="0" w:color="auto"/>
        <w:bottom w:val="none" w:sz="0" w:space="0" w:color="auto"/>
        <w:right w:val="none" w:sz="0" w:space="0" w:color="auto"/>
      </w:divBdr>
    </w:div>
    <w:div w:id="1368022866">
      <w:bodyDiv w:val="1"/>
      <w:marLeft w:val="0"/>
      <w:marRight w:val="0"/>
      <w:marTop w:val="0"/>
      <w:marBottom w:val="0"/>
      <w:divBdr>
        <w:top w:val="none" w:sz="0" w:space="0" w:color="auto"/>
        <w:left w:val="none" w:sz="0" w:space="0" w:color="auto"/>
        <w:bottom w:val="none" w:sz="0" w:space="0" w:color="auto"/>
        <w:right w:val="none" w:sz="0" w:space="0" w:color="auto"/>
      </w:divBdr>
      <w:divsChild>
        <w:div w:id="527523902">
          <w:marLeft w:val="0"/>
          <w:marRight w:val="0"/>
          <w:marTop w:val="100"/>
          <w:marBottom w:val="100"/>
          <w:divBdr>
            <w:top w:val="none" w:sz="0" w:space="0" w:color="auto"/>
            <w:left w:val="none" w:sz="0" w:space="0" w:color="auto"/>
            <w:bottom w:val="none" w:sz="0" w:space="0" w:color="auto"/>
            <w:right w:val="none" w:sz="0" w:space="0" w:color="auto"/>
          </w:divBdr>
          <w:divsChild>
            <w:div w:id="78408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5703">
      <w:bodyDiv w:val="1"/>
      <w:marLeft w:val="0"/>
      <w:marRight w:val="0"/>
      <w:marTop w:val="0"/>
      <w:marBottom w:val="0"/>
      <w:divBdr>
        <w:top w:val="none" w:sz="0" w:space="0" w:color="auto"/>
        <w:left w:val="none" w:sz="0" w:space="0" w:color="auto"/>
        <w:bottom w:val="none" w:sz="0" w:space="0" w:color="auto"/>
        <w:right w:val="none" w:sz="0" w:space="0" w:color="auto"/>
      </w:divBdr>
      <w:divsChild>
        <w:div w:id="1096752952">
          <w:marLeft w:val="0"/>
          <w:marRight w:val="0"/>
          <w:marTop w:val="0"/>
          <w:marBottom w:val="0"/>
          <w:divBdr>
            <w:top w:val="none" w:sz="0" w:space="0" w:color="auto"/>
            <w:left w:val="none" w:sz="0" w:space="0" w:color="auto"/>
            <w:bottom w:val="none" w:sz="0" w:space="0" w:color="auto"/>
            <w:right w:val="none" w:sz="0" w:space="0" w:color="auto"/>
          </w:divBdr>
        </w:div>
      </w:divsChild>
    </w:div>
    <w:div w:id="1678189197">
      <w:bodyDiv w:val="1"/>
      <w:marLeft w:val="0"/>
      <w:marRight w:val="0"/>
      <w:marTop w:val="0"/>
      <w:marBottom w:val="0"/>
      <w:divBdr>
        <w:top w:val="none" w:sz="0" w:space="0" w:color="auto"/>
        <w:left w:val="none" w:sz="0" w:space="0" w:color="auto"/>
        <w:bottom w:val="none" w:sz="0" w:space="0" w:color="auto"/>
        <w:right w:val="none" w:sz="0" w:space="0" w:color="auto"/>
      </w:divBdr>
      <w:divsChild>
        <w:div w:id="1055155463">
          <w:marLeft w:val="0"/>
          <w:marRight w:val="0"/>
          <w:marTop w:val="100"/>
          <w:marBottom w:val="100"/>
          <w:divBdr>
            <w:top w:val="none" w:sz="0" w:space="0" w:color="auto"/>
            <w:left w:val="none" w:sz="0" w:space="0" w:color="auto"/>
            <w:bottom w:val="none" w:sz="0" w:space="0" w:color="auto"/>
            <w:right w:val="none" w:sz="0" w:space="0" w:color="auto"/>
          </w:divBdr>
          <w:divsChild>
            <w:div w:id="139828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mailto:masoud.babaei@manche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FA9D0-7990-41FF-B6E7-432453654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38619</Words>
  <Characters>220130</Characters>
  <Application>Microsoft Office Word</Application>
  <DocSecurity>0</DocSecurity>
  <Lines>1834</Lines>
  <Paragraphs>516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University of Manchester</Company>
  <LinksUpToDate>false</LinksUpToDate>
  <CharactersWithSpaces>258233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Masoud Babaei</dc:creator>
  <cp:lastModifiedBy>Kirsten Loach</cp:lastModifiedBy>
  <cp:revision>2</cp:revision>
  <cp:lastPrinted>2020-08-24T06:18:00Z</cp:lastPrinted>
  <dcterms:created xsi:type="dcterms:W3CDTF">2020-09-01T14:47:00Z</dcterms:created>
  <dcterms:modified xsi:type="dcterms:W3CDTF">2020-09-01T14:47:00Z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http://www.zotero.org/styles/water-resources-research</vt:lpwstr>
  </property>
  <property fmtid="{D5CDD505-2E9C-101B-9397-08002B2CF9AE}" pid="21" name="Mendeley Recent Style Name 9_1">
    <vt:lpwstr>Water Resources Research</vt:lpwstr>
  </property>
  <property fmtid="{D5CDD505-2E9C-101B-9397-08002B2CF9AE}" pid="22" name="Mendeley Document_1">
    <vt:lpwstr>True</vt:lpwstr>
  </property>
  <property fmtid="{D5CDD505-2E9C-101B-9397-08002B2CF9AE}" pid="23" name="Mendeley Unique User Id_1">
    <vt:lpwstr>c1e0fd17-f7df-3773-9783-db069d5702ff</vt:lpwstr>
  </property>
  <property fmtid="{D5CDD505-2E9C-101B-9397-08002B2CF9AE}" pid="24" name="Mendeley Citation Style_1">
    <vt:lpwstr>http://www.zotero.org/styles/water-resources-research</vt:lpwstr>
  </property>
</Properties>
</file>