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96385" w14:textId="77777777" w:rsidR="009620D2" w:rsidRDefault="009620D2" w:rsidP="00120039">
      <w:pPr>
        <w:spacing w:line="480" w:lineRule="auto"/>
        <w:jc w:val="center"/>
      </w:pPr>
      <w:r>
        <w:t>Conspiracy, Pornography, Democracy:</w:t>
      </w:r>
    </w:p>
    <w:p w14:paraId="700BA860" w14:textId="4659D3FE" w:rsidR="009620D2" w:rsidRDefault="009620D2" w:rsidP="00120039">
      <w:pPr>
        <w:spacing w:line="480" w:lineRule="auto"/>
        <w:jc w:val="center"/>
      </w:pPr>
      <w:r>
        <w:t>The Recurrent Aesthetics of the American Illuminati</w:t>
      </w:r>
    </w:p>
    <w:p w14:paraId="7F26826C" w14:textId="6DCB6D9C" w:rsidR="00962A55" w:rsidRDefault="00962A55" w:rsidP="00120039">
      <w:pPr>
        <w:spacing w:line="480" w:lineRule="auto"/>
        <w:jc w:val="center"/>
      </w:pPr>
      <w:r>
        <w:t>Gordon Fraser</w:t>
      </w:r>
    </w:p>
    <w:p w14:paraId="0A475A86" w14:textId="77777777" w:rsidR="00120039" w:rsidRDefault="00120039" w:rsidP="00120039">
      <w:pPr>
        <w:spacing w:line="480" w:lineRule="auto"/>
        <w:jc w:val="center"/>
      </w:pPr>
    </w:p>
    <w:p w14:paraId="6E686CAA" w14:textId="77777777" w:rsidR="009620D2" w:rsidRDefault="00120039" w:rsidP="00120039">
      <w:pPr>
        <w:spacing w:line="480" w:lineRule="auto"/>
        <w:jc w:val="center"/>
      </w:pPr>
      <w:r>
        <w:t>Abstract</w:t>
      </w:r>
    </w:p>
    <w:p w14:paraId="371DB97C" w14:textId="77777777" w:rsidR="009620D2" w:rsidRDefault="00120039" w:rsidP="002D27DC">
      <w:pPr>
        <w:spacing w:line="480" w:lineRule="auto"/>
      </w:pPr>
      <w:r>
        <w:tab/>
        <w:t xml:space="preserve">This essay examines reactionary, counter-subversive fictions produced in the context of two conspiracy theories in the United States: the Illuminati crisis (1798-1800) and </w:t>
      </w:r>
      <w:proofErr w:type="spellStart"/>
      <w:r>
        <w:t>Pizzagate</w:t>
      </w:r>
      <w:proofErr w:type="spellEnd"/>
      <w:r>
        <w:t xml:space="preserve"> (2016-2017). The author suggests that both cases emblematize a </w:t>
      </w:r>
      <w:proofErr w:type="spellStart"/>
      <w:r>
        <w:t>pornotropic</w:t>
      </w:r>
      <w:proofErr w:type="spellEnd"/>
      <w:r>
        <w:t xml:space="preserve"> aesthetic, a racialized sadomasochism that recurs across United States culture. Building on the work of Hortense Spillers, Alexander </w:t>
      </w:r>
      <w:proofErr w:type="spellStart"/>
      <w:r>
        <w:t>Weheliye</w:t>
      </w:r>
      <w:proofErr w:type="spellEnd"/>
      <w:r>
        <w:t xml:space="preserve">, Jennifer Christine Nash, and others, this essay argues that observers should understand counter-subversive political reaction as an aesthetic project, a </w:t>
      </w:r>
      <w:proofErr w:type="spellStart"/>
      <w:r>
        <w:t>pornotropic</w:t>
      </w:r>
      <w:proofErr w:type="spellEnd"/>
      <w:r>
        <w:t xml:space="preserve"> fantasy that distorts underlying conditions of racial subjection. In the context of a resurgent far right that describes its enemies as “cuckolds” and frequently deploys the tropes of highly racialized pornography, this essay suggests that we might find the deep origins of pornographic, reactionary paranoia in the eighteenth century. It suggests, moreover, that understanding and contesting the underlying conditions of racial subjection requires that scholars consider the power of </w:t>
      </w:r>
      <w:proofErr w:type="spellStart"/>
      <w:r>
        <w:t>pornotropic</w:t>
      </w:r>
      <w:proofErr w:type="spellEnd"/>
      <w:r>
        <w:t>, counter-subversive aesthetics to bring pleasure, to move people, and to order the world.</w:t>
      </w:r>
      <w:r w:rsidR="009620D2">
        <w:br w:type="page"/>
      </w:r>
    </w:p>
    <w:p w14:paraId="0A618A1D" w14:textId="77777777" w:rsidR="00927C91" w:rsidRDefault="00927C91" w:rsidP="00927C91">
      <w:pPr>
        <w:spacing w:line="480" w:lineRule="auto"/>
        <w:jc w:val="center"/>
      </w:pPr>
      <w:r>
        <w:lastRenderedPageBreak/>
        <w:t>Conspiracy, Pornography, Democracy:</w:t>
      </w:r>
    </w:p>
    <w:p w14:paraId="5AFC39A0" w14:textId="3038E81E" w:rsidR="00927C91" w:rsidRDefault="00927C91" w:rsidP="00927C91">
      <w:pPr>
        <w:spacing w:line="480" w:lineRule="auto"/>
        <w:jc w:val="center"/>
      </w:pPr>
      <w:r>
        <w:t>The Recurrent Aesthetics of the American Illuminati</w:t>
      </w:r>
    </w:p>
    <w:p w14:paraId="122D96DA" w14:textId="001B5F2F" w:rsidR="00962A55" w:rsidRDefault="00962A55" w:rsidP="00927C91">
      <w:pPr>
        <w:spacing w:line="480" w:lineRule="auto"/>
        <w:jc w:val="center"/>
      </w:pPr>
      <w:r>
        <w:t>Gordon Fraser</w:t>
      </w:r>
      <w:bookmarkStart w:id="0" w:name="_GoBack"/>
      <w:bookmarkEnd w:id="0"/>
    </w:p>
    <w:p w14:paraId="193B86B8" w14:textId="77777777" w:rsidR="003E3CAA" w:rsidRDefault="003E3CAA" w:rsidP="003E3CAA">
      <w:pPr>
        <w:tabs>
          <w:tab w:val="left" w:pos="720"/>
        </w:tabs>
        <w:spacing w:line="480" w:lineRule="auto"/>
      </w:pPr>
      <w:r>
        <w:t>The cultural production of paranoia has long been a concern of literary scholars. Even before the recent proliferation of conspiracy theories about, for instance, a child-sex ring in a Washington, DC, pizza parlor, scholars of American literary studies, in particular, ha</w:t>
      </w:r>
      <w:r w:rsidR="00E6331D">
        <w:t>ve</w:t>
      </w:r>
      <w:r>
        <w:t xml:space="preserve"> been noting among cultural producers a re-articulation of counter-conspiratorial thinking. Russ </w:t>
      </w:r>
      <w:proofErr w:type="spellStart"/>
      <w:r w:rsidRPr="00C50102">
        <w:t>Castronovo</w:t>
      </w:r>
      <w:proofErr w:type="spellEnd"/>
      <w:r w:rsidRPr="00C50102">
        <w:t xml:space="preserve">, for instance, notes that the emergence of Wikileaks in the global </w:t>
      </w:r>
      <w:proofErr w:type="spellStart"/>
      <w:r w:rsidRPr="00C50102">
        <w:t>mediascape</w:t>
      </w:r>
      <w:proofErr w:type="spellEnd"/>
      <w:r w:rsidRPr="00C50102">
        <w:t xml:space="preserve"> recalls an eighteenth-century “</w:t>
      </w:r>
      <w:proofErr w:type="spellStart"/>
      <w:r w:rsidRPr="00C50102">
        <w:t>printscape</w:t>
      </w:r>
      <w:proofErr w:type="spellEnd"/>
      <w:r w:rsidRPr="00C50102">
        <w:t xml:space="preserve">” of politically transformational frauds, leaks, and conspiracies. Early US printer Philip Freneau, </w:t>
      </w:r>
      <w:proofErr w:type="spellStart"/>
      <w:r w:rsidRPr="00C50102">
        <w:t>Castronovo</w:t>
      </w:r>
      <w:proofErr w:type="spellEnd"/>
      <w:r w:rsidRPr="00C50102">
        <w:t xml:space="preserve"> points out, lauded a democratic discourse characterized by outright falsehood. “If he prints some lies,” Freneau suggested of the archetypical country printer, “his lies excuse.”</w:t>
      </w:r>
      <w:r w:rsidRPr="00C50102">
        <w:rPr>
          <w:rStyle w:val="EndnoteReference"/>
        </w:rPr>
        <w:endnoteReference w:id="1"/>
      </w:r>
      <w:r w:rsidRPr="00C50102">
        <w:t xml:space="preserve"> </w:t>
      </w:r>
      <w:proofErr w:type="spellStart"/>
      <w:r w:rsidRPr="00C50102">
        <w:t>Castronovo</w:t>
      </w:r>
      <w:proofErr w:type="spellEnd"/>
      <w:r w:rsidRPr="00C50102">
        <w:t xml:space="preserve"> and others—from</w:t>
      </w:r>
      <w:r w:rsidR="00E6331D">
        <w:t xml:space="preserve"> Elizabeth Maddock Dillon to</w:t>
      </w:r>
      <w:r w:rsidRPr="00C50102">
        <w:t xml:space="preserve"> Duncan </w:t>
      </w:r>
      <w:proofErr w:type="spellStart"/>
      <w:r w:rsidRPr="00C50102">
        <w:t>Faherty</w:t>
      </w:r>
      <w:proofErr w:type="spellEnd"/>
      <w:r w:rsidRPr="00C50102">
        <w:t xml:space="preserve"> to Ed White—have returned to the scenes of counter-conspiratorial </w:t>
      </w:r>
      <w:r w:rsidRPr="00946E32">
        <w:t>politics, moreover, in response to important recent changes in</w:t>
      </w:r>
      <w:r>
        <w:t xml:space="preserve"> the United States.</w:t>
      </w:r>
      <w:r>
        <w:rPr>
          <w:rStyle w:val="EndnoteReference"/>
        </w:rPr>
        <w:endnoteReference w:id="2"/>
      </w:r>
      <w:r>
        <w:t xml:space="preserve"> They discover, finally, that fraudulent and paranoid modes of cultural production have long been constitutive of US democracy. </w:t>
      </w:r>
      <w:r w:rsidRPr="00946E32">
        <w:t xml:space="preserve">One </w:t>
      </w:r>
      <w:r>
        <w:t>can perhaps best understand the project of returning to scenes of counter-conspiratorial wri</w:t>
      </w:r>
      <w:r w:rsidR="00BA44C1">
        <w:t>ting as continuous with Richard</w:t>
      </w:r>
      <w:r w:rsidR="00BA44C1" w:rsidRPr="00BA44C1">
        <w:t xml:space="preserve"> Hofstadter</w:t>
      </w:r>
      <w:r>
        <w:t xml:space="preserve">’s foundational “Paranoid Style </w:t>
      </w:r>
      <w:r w:rsidRPr="00C50102">
        <w:t>in American Politics” (196</w:t>
      </w:r>
      <w:r w:rsidR="00C50102" w:rsidRPr="00C50102">
        <w:t>4)</w:t>
      </w:r>
      <w:r w:rsidRPr="00C50102">
        <w:t xml:space="preserve">, </w:t>
      </w:r>
      <w:r>
        <w:t>but with a key difference. Whereas Hofstadter interrogated democratic paranoia as a means of establishing the boundaries of consensus liberalism, and of excluding modes of political discourse that had no place within that framework, more recent scholars have suggested that frauds, leaks, lies, paranoiac mass movements, and imagined conspiracies are, in fact, continuous with American democracy itself.</w:t>
      </w:r>
    </w:p>
    <w:p w14:paraId="1BAC0149" w14:textId="77777777" w:rsidR="003E3CAA" w:rsidRDefault="003E3CAA" w:rsidP="003E3CAA">
      <w:pPr>
        <w:tabs>
          <w:tab w:val="left" w:pos="720"/>
        </w:tabs>
        <w:spacing w:line="480" w:lineRule="auto"/>
      </w:pPr>
      <w:r>
        <w:lastRenderedPageBreak/>
        <w:tab/>
        <w:t>This essay will return to Hofstadter’s point of departure, the so-called US Illuminati crisis of 1798 and 1799, for two reasons. First, and most simply, I will offer a minor historical corrective to studies of the counter-conspiratorial crisis in the United States. In the late 1790s, anti-Enlightenment writers in the Atlantic world fantasized about a secret society of Bavarian university professors who had masterminded th</w:t>
      </w:r>
      <w:r w:rsidR="002D27DC">
        <w:t>e French Revolution and were</w:t>
      </w:r>
      <w:r>
        <w:t xml:space="preserve"> spreading the spirit of upheaval to other nations, including Great Britain and the United States of America. </w:t>
      </w:r>
      <w:r w:rsidR="005B011C">
        <w:t xml:space="preserve">They called this imagined cabal the “Illuminati,” </w:t>
      </w:r>
      <w:r w:rsidR="00D93728">
        <w:t xml:space="preserve">both </w:t>
      </w:r>
      <w:r w:rsidR="005B011C">
        <w:t>drawing from the name of a</w:t>
      </w:r>
      <w:r w:rsidR="00D93728">
        <w:t>n actual</w:t>
      </w:r>
      <w:r w:rsidR="005B011C">
        <w:t xml:space="preserve"> </w:t>
      </w:r>
      <w:r w:rsidR="00D93728">
        <w:t xml:space="preserve">Bavarian </w:t>
      </w:r>
      <w:r w:rsidR="005B011C">
        <w:t xml:space="preserve">secret society that had disbanded in 1787 and conjuring through wordplay the </w:t>
      </w:r>
      <w:r w:rsidR="00D93728">
        <w:t>central metaphor</w:t>
      </w:r>
      <w:r w:rsidR="005B011C">
        <w:t xml:space="preserve"> of the Enlighte</w:t>
      </w:r>
      <w:r w:rsidR="00D93728">
        <w:t xml:space="preserve">nment itself: intellect as illumination. </w:t>
      </w:r>
      <w:r>
        <w:t xml:space="preserve">Most scholars of this history dwell on the imagined conspiracy’s emergence in 1797 (in </w:t>
      </w:r>
      <w:r w:rsidR="00EE3E33">
        <w:t xml:space="preserve">Great </w:t>
      </w:r>
      <w:r>
        <w:t xml:space="preserve">Britain) and 1798 (in the US), and so ignore how a paranoid fantasy about conspiratorial intellectuals had transformed by 1799 into a fear of black revolutionaries from Saint-Domingue (now Haiti) and the US South. To put as fine a point on this claim as possible: by 1799, the Illuminati crisis in the United States was characterized by a fear that global intellectual elites were conspiring with subaltern black men to rape white women, enslave white men, and destroy Christianity and democracy in a single stroke. </w:t>
      </w:r>
      <w:r w:rsidR="003958E7">
        <w:t xml:space="preserve">By examining the sermons, pamphlets, novels, and even library records of the Illuminati crisis, this </w:t>
      </w:r>
      <w:r>
        <w:t xml:space="preserve">essay will consider how fantasies of </w:t>
      </w:r>
      <w:r w:rsidRPr="00FA3553">
        <w:rPr>
          <w:i/>
        </w:rPr>
        <w:t>racial</w:t>
      </w:r>
      <w:r>
        <w:t xml:space="preserve"> violence transformed the </w:t>
      </w:r>
      <w:r w:rsidR="003958E7">
        <w:t>conspiracy theory in the United States and</w:t>
      </w:r>
      <w:r>
        <w:t xml:space="preserve"> produced an aesthetic model for racialized paranoia.</w:t>
      </w:r>
    </w:p>
    <w:p w14:paraId="30BA0917" w14:textId="77777777" w:rsidR="003E3CAA" w:rsidRDefault="003E3CAA" w:rsidP="003E3CAA">
      <w:pPr>
        <w:tabs>
          <w:tab w:val="left" w:pos="720"/>
        </w:tabs>
        <w:spacing w:line="480" w:lineRule="auto"/>
      </w:pPr>
      <w:r>
        <w:tab/>
        <w:t xml:space="preserve">Second, I suggest that noting the relation between race and paranoia reveals </w:t>
      </w:r>
      <w:r w:rsidRPr="00B55B02">
        <w:t xml:space="preserve">the </w:t>
      </w:r>
      <w:proofErr w:type="spellStart"/>
      <w:r w:rsidRPr="00B55B02">
        <w:t>pornotropic</w:t>
      </w:r>
      <w:proofErr w:type="spellEnd"/>
      <w:r w:rsidRPr="00B55B02">
        <w:t xml:space="preserve"> style of paranoid democratic politics</w:t>
      </w:r>
      <w:r w:rsidR="002D27DC">
        <w:t xml:space="preserve"> in the United States</w:t>
      </w:r>
      <w:r w:rsidRPr="00B55B02">
        <w:t>. The “</w:t>
      </w:r>
      <w:proofErr w:type="spellStart"/>
      <w:r w:rsidRPr="00B55B02">
        <w:t>pornotrope</w:t>
      </w:r>
      <w:proofErr w:type="spellEnd"/>
      <w:r w:rsidRPr="00B55B02">
        <w:t xml:space="preserve">,” first theorized by Hortense Spillers and reconsidered in recent years by Alexander </w:t>
      </w:r>
      <w:proofErr w:type="spellStart"/>
      <w:r w:rsidRPr="00B55B02">
        <w:t>Weheliye</w:t>
      </w:r>
      <w:proofErr w:type="spellEnd"/>
      <w:r w:rsidRPr="00B55B02">
        <w:t xml:space="preserve"> and others, places the experiences of black women during Atlantic slavery and after at the </w:t>
      </w:r>
      <w:r>
        <w:t xml:space="preserve">center of discourse. Importantly, </w:t>
      </w:r>
      <w:proofErr w:type="spellStart"/>
      <w:r w:rsidR="007A378D">
        <w:t>Weheliye</w:t>
      </w:r>
      <w:proofErr w:type="spellEnd"/>
      <w:r w:rsidR="007A378D">
        <w:t xml:space="preserve"> writes, the </w:t>
      </w:r>
      <w:proofErr w:type="spellStart"/>
      <w:r w:rsidR="007A378D">
        <w:t>pornotrope</w:t>
      </w:r>
      <w:proofErr w:type="spellEnd"/>
      <w:r>
        <w:t xml:space="preserve"> concerns “the sexual dimensions of </w:t>
      </w:r>
      <w:r>
        <w:lastRenderedPageBreak/>
        <w:t>objectification” in spaces of “extreme political and social domination</w:t>
      </w:r>
      <w:r w:rsidR="00B55B02">
        <w:t>.</w:t>
      </w:r>
      <w:r>
        <w:t xml:space="preserve">” </w:t>
      </w:r>
      <w:r w:rsidR="007A378D">
        <w:t>T</w:t>
      </w:r>
      <w:r>
        <w:t xml:space="preserve">he word traces multiple etymological trajectories and multiple histories of violence: </w:t>
      </w:r>
      <w:r>
        <w:rPr>
          <w:i/>
        </w:rPr>
        <w:t>p</w:t>
      </w:r>
      <w:r w:rsidRPr="00255944">
        <w:rPr>
          <w:i/>
        </w:rPr>
        <w:t>orno</w:t>
      </w:r>
      <w:r>
        <w:t xml:space="preserve">, from Greek, referred to enslaved women sold for the purposes of prostitution; </w:t>
      </w:r>
      <w:r w:rsidRPr="00255944">
        <w:rPr>
          <w:i/>
        </w:rPr>
        <w:t>trope</w:t>
      </w:r>
      <w:r>
        <w:t xml:space="preserve">, also from Greek, referred to a “turn” or “manner”; and </w:t>
      </w:r>
      <w:r w:rsidRPr="00255944">
        <w:rPr>
          <w:i/>
        </w:rPr>
        <w:t>trope</w:t>
      </w:r>
      <w:r>
        <w:t xml:space="preserve">, from Latin, referred to a recurring figure of speech. In short, then, the </w:t>
      </w:r>
      <w:proofErr w:type="spellStart"/>
      <w:r>
        <w:t>pornotrope</w:t>
      </w:r>
      <w:proofErr w:type="spellEnd"/>
      <w:r>
        <w:t xml:space="preserve"> functions as a figuration of racialized, sexual subjection that turns (now toward the violence of bondage, now toward the violence of sexual exploitation), but one that also recurs </w:t>
      </w:r>
      <w:r w:rsidR="00B55B02">
        <w:t>across time and space.</w:t>
      </w:r>
      <w:r w:rsidR="00B55B02">
        <w:rPr>
          <w:rStyle w:val="EndnoteReference"/>
        </w:rPr>
        <w:endnoteReference w:id="3"/>
      </w:r>
      <w:r>
        <w:t xml:space="preserve"> By suggesting that the paranoia of the Illuminati crisis manifested as </w:t>
      </w:r>
      <w:proofErr w:type="spellStart"/>
      <w:r>
        <w:t>pornotrope</w:t>
      </w:r>
      <w:proofErr w:type="spellEnd"/>
      <w:r>
        <w:t xml:space="preserve">, then, I am attempting to consider the ways in which reactionary political paranoia manifests violent, recurring fantasies of racialized sexual subjection and of bondage. The political paranoid seeks revelation, an unmasking of the heretofore concealed operations of power. But this final revelation is—to borrow Hofstadter’s </w:t>
      </w:r>
      <w:r w:rsidR="009620D2">
        <w:t>phrase</w:t>
      </w:r>
      <w:r>
        <w:t>—</w:t>
      </w:r>
      <w:r w:rsidR="009620D2">
        <w:t>seen always through “distorting lenses</w:t>
      </w:r>
      <w:r>
        <w:t>.</w:t>
      </w:r>
      <w:r w:rsidR="009620D2">
        <w:t>”</w:t>
      </w:r>
      <w:r w:rsidR="009620D2">
        <w:rPr>
          <w:rStyle w:val="EndnoteReference"/>
        </w:rPr>
        <w:endnoteReference w:id="4"/>
      </w:r>
      <w:r>
        <w:t xml:space="preserve"> It was no secret, for instance, that racial slavery constituted a relation of sexual subjection, and yet the political paranoids of the Illuminati crisis sought to unmask this obvious reality. What they suggested, ultimately, was a radical inversion of slavery’s fundamental organization. Of course, they suggested, white men subjected black women to sexual domination. But the </w:t>
      </w:r>
      <w:r w:rsidRPr="009B11DF">
        <w:rPr>
          <w:i/>
        </w:rPr>
        <w:t>secret</w:t>
      </w:r>
      <w:r>
        <w:t xml:space="preserve"> plot—the plot that had to be revealed—was that black men would very soon subject white women to the same sexual enslavement. What emerged, finally, was a voyeuristic political discourse premised on the subjection of all women.</w:t>
      </w:r>
    </w:p>
    <w:p w14:paraId="6BFB7A57" w14:textId="77777777" w:rsidR="003E3CAA" w:rsidRDefault="003E3CAA" w:rsidP="003E3CAA">
      <w:pPr>
        <w:tabs>
          <w:tab w:val="left" w:pos="720"/>
        </w:tabs>
        <w:spacing w:line="480" w:lineRule="auto"/>
      </w:pPr>
      <w:r>
        <w:tab/>
        <w:t xml:space="preserve">The inversion described above was not subtle. In his 1799 oration celebrating the Fourth of July in Hartford, Connecticut, William Brown warned of the Illuminati and asked his listeners to imagine “the groans of wretched white-men, butchered by their infuriate slaves, the shrieks of mothers, and of virgins, a prey to more than demoniac lust and barbarity.” Brown went on to describe French </w:t>
      </w:r>
      <w:r w:rsidR="00302A0A">
        <w:t>soldiers</w:t>
      </w:r>
      <w:r>
        <w:t xml:space="preserve">, who had cast off all Christian belief, “joining in the impure and </w:t>
      </w:r>
      <w:r>
        <w:lastRenderedPageBreak/>
        <w:t>shocking death-dance of Africa.”</w:t>
      </w:r>
      <w:r>
        <w:rPr>
          <w:rStyle w:val="EndnoteReference"/>
        </w:rPr>
        <w:endnoteReference w:id="5"/>
      </w:r>
      <w:r>
        <w:t xml:space="preserve"> Yale President Timothy Dwight likewise asked, “Shall … our daughters [become] the concubines of the Illuminati?”</w:t>
      </w:r>
      <w:r>
        <w:rPr>
          <w:rStyle w:val="EndnoteReference"/>
        </w:rPr>
        <w:endnoteReference w:id="6"/>
      </w:r>
      <w:r>
        <w:t xml:space="preserve"> Behind the ubiquitous characterization of Enlightenment philosophy as a project of secret, totalizing power lay scenes of sexual subjection and bondage. Granted, the circumstances of the Illuminati crisis were highly contingent and local. Orthodox Congregational ministers, threatened by the erosion of their influence in the face of both secularism and enthusiastic Christianity, discovered an explanation for social change in a conspiracy theory that described Enlightenment liberalism as a sinister force ordering world events.</w:t>
      </w:r>
      <w:r w:rsidR="00503DE7">
        <w:rPr>
          <w:rStyle w:val="EndnoteReference"/>
        </w:rPr>
        <w:endnoteReference w:id="7"/>
      </w:r>
      <w:r>
        <w:t xml:space="preserve"> </w:t>
      </w:r>
      <w:r w:rsidR="002D27DC">
        <w:t>Yet</w:t>
      </w:r>
      <w:r w:rsidR="007A378D">
        <w:t xml:space="preserve"> the</w:t>
      </w:r>
      <w:r>
        <w:t xml:space="preserve"> aesthetic quality of this countersubversive fa</w:t>
      </w:r>
      <w:r w:rsidR="00C40B98">
        <w:t xml:space="preserve">ntasy was </w:t>
      </w:r>
      <w:proofErr w:type="spellStart"/>
      <w:r w:rsidR="00C40B98">
        <w:t>pornotropic</w:t>
      </w:r>
      <w:proofErr w:type="spellEnd"/>
      <w:r w:rsidR="00C40B98">
        <w:t>. The fantasy centered on</w:t>
      </w:r>
      <w:r>
        <w:t xml:space="preserve"> </w:t>
      </w:r>
      <w:r w:rsidR="00C40B98">
        <w:t xml:space="preserve">the </w:t>
      </w:r>
      <w:r>
        <w:t xml:space="preserve">sadistic, and often masochistic, desires through which whiteness and </w:t>
      </w:r>
      <w:r w:rsidR="007A378D">
        <w:t xml:space="preserve">hegemonic </w:t>
      </w:r>
      <w:r>
        <w:t>masculinity are constituted.</w:t>
      </w:r>
    </w:p>
    <w:p w14:paraId="29914448" w14:textId="77777777" w:rsidR="003E3CAA" w:rsidRDefault="003E3CAA" w:rsidP="003E3CAA">
      <w:pPr>
        <w:tabs>
          <w:tab w:val="left" w:pos="720"/>
        </w:tabs>
        <w:spacing w:line="480" w:lineRule="auto"/>
      </w:pPr>
      <w:r>
        <w:tab/>
        <w:t>The simultaneous anxiety and fantasy expressed by eighteenth-century</w:t>
      </w:r>
      <w:r w:rsidR="004C377C">
        <w:t xml:space="preserve"> </w:t>
      </w:r>
      <w:r>
        <w:t>counter</w:t>
      </w:r>
      <w:r w:rsidR="004C377C">
        <w:t>-</w:t>
      </w:r>
      <w:r>
        <w:t>subversives—that black men will, in combination with intellectuals and foreigners, sexually dominate white people—should be recognizable to even the most casual observer of contemporary conspiracy theories. An emblematic example can be found in the widespread use of the epithet “</w:t>
      </w:r>
      <w:proofErr w:type="spellStart"/>
      <w:r>
        <w:t>cuckservative</w:t>
      </w:r>
      <w:proofErr w:type="spellEnd"/>
      <w:r>
        <w:t xml:space="preserve">” by white supremacists and counter-conspiratorial writers today, including those who were part </w:t>
      </w:r>
      <w:r w:rsidR="00C40B98">
        <w:t xml:space="preserve">authors </w:t>
      </w:r>
      <w:r>
        <w:t>of the so-called “</w:t>
      </w:r>
      <w:proofErr w:type="spellStart"/>
      <w:r>
        <w:t>Pizzagate</w:t>
      </w:r>
      <w:proofErr w:type="spellEnd"/>
      <w:r>
        <w:t>” and “Gamergate” conspiracy</w:t>
      </w:r>
      <w:r w:rsidR="00C40B98">
        <w:t xml:space="preserve"> theories</w:t>
      </w:r>
      <w:r>
        <w:t>. According to an analysis by the Southern Poverty Law Center, the word reached mainstream usage through Gamergate conspiracy theorist @</w:t>
      </w:r>
      <w:proofErr w:type="spellStart"/>
      <w:r>
        <w:t>Drunknsage</w:t>
      </w:r>
      <w:proofErr w:type="spellEnd"/>
      <w:r>
        <w:t>, and it essentially describes a Republican who cuckolds himself by cooperating with then-President Barack Obama, an intellectual and a black man.</w:t>
      </w:r>
      <w:r>
        <w:rPr>
          <w:rStyle w:val="EndnoteReference"/>
        </w:rPr>
        <w:endnoteReference w:id="8"/>
      </w:r>
      <w:r>
        <w:t xml:space="preserve"> Essentially, “</w:t>
      </w:r>
      <w:proofErr w:type="spellStart"/>
      <w:r>
        <w:t>cuckservative</w:t>
      </w:r>
      <w:proofErr w:type="spellEnd"/>
      <w:r>
        <w:t>” recapitulates the white supremacist aesthetic</w:t>
      </w:r>
      <w:r w:rsidR="002D27DC">
        <w:t>s</w:t>
      </w:r>
      <w:r>
        <w:t xml:space="preserve"> of paranoia in US culture even as its contingent politics manifest in different contexts and among different sociopolitical communities. I am suggesting, then, that we can best understand the reiterative aesthetic logics of conspiracy </w:t>
      </w:r>
      <w:r w:rsidR="007A378D">
        <w:t xml:space="preserve">in the United States </w:t>
      </w:r>
      <w:r>
        <w:t>as</w:t>
      </w:r>
      <w:r w:rsidR="006E4EE5">
        <w:t xml:space="preserve"> a</w:t>
      </w:r>
      <w:r>
        <w:t xml:space="preserve"> </w:t>
      </w:r>
      <w:r w:rsidR="002D27DC">
        <w:t xml:space="preserve">kind of </w:t>
      </w:r>
      <w:r>
        <w:t xml:space="preserve">literary </w:t>
      </w:r>
      <w:r>
        <w:lastRenderedPageBreak/>
        <w:t xml:space="preserve">trope, specifically as </w:t>
      </w:r>
      <w:r w:rsidR="006E4EE5">
        <w:t xml:space="preserve">a </w:t>
      </w:r>
      <w:proofErr w:type="spellStart"/>
      <w:r w:rsidR="006E4EE5">
        <w:t>pornotrope</w:t>
      </w:r>
      <w:proofErr w:type="spellEnd"/>
      <w:r w:rsidR="006E4EE5">
        <w:t>. Such</w:t>
      </w:r>
      <w:r>
        <w:t xml:space="preserve"> recognition, I suggest, not only reveals the literary character of conspiracy theory, but reveals its pleasurable quality. Counter-subversives, in short, derive erotic pleasure from the fictional, </w:t>
      </w:r>
      <w:r w:rsidR="006E4EE5">
        <w:t xml:space="preserve">even </w:t>
      </w:r>
      <w:r>
        <w:t>gothic</w:t>
      </w:r>
      <w:r w:rsidR="006E4EE5">
        <w:t>, conspiracies through which they produce paranoid</w:t>
      </w:r>
      <w:r w:rsidR="00286B11">
        <w:t xml:space="preserve"> forms of sociality</w:t>
      </w:r>
      <w:r w:rsidR="006E4EE5">
        <w:t>.</w:t>
      </w:r>
    </w:p>
    <w:p w14:paraId="44F54E8E" w14:textId="77777777" w:rsidR="00DF7112" w:rsidRDefault="003E3CAA" w:rsidP="003E3CAA">
      <w:pPr>
        <w:tabs>
          <w:tab w:val="left" w:pos="720"/>
        </w:tabs>
        <w:spacing w:line="480" w:lineRule="auto"/>
      </w:pPr>
      <w:r w:rsidRPr="009208CE">
        <w:tab/>
        <w:t>United States democracy has long been characterized</w:t>
      </w:r>
      <w:r>
        <w:t xml:space="preserve"> by</w:t>
      </w:r>
      <w:r w:rsidRPr="009208CE">
        <w:t xml:space="preserve"> fantasies of totalizing, all-powerful enemies, of sexual subjection, and of inescapable racial violence. </w:t>
      </w:r>
      <w:r>
        <w:t xml:space="preserve">The particular politics of such fantasies are historically specific, and yet their aesthetics are surprisingly recurrent. As </w:t>
      </w:r>
      <w:proofErr w:type="spellStart"/>
      <w:r>
        <w:t>Castronovo</w:t>
      </w:r>
      <w:proofErr w:type="spellEnd"/>
      <w:r>
        <w:t xml:space="preserve"> suggests, moreover, aesthetic choices </w:t>
      </w:r>
      <w:r w:rsidRPr="004817D5">
        <w:rPr>
          <w:i/>
        </w:rPr>
        <w:t>are</w:t>
      </w:r>
      <w:r>
        <w:t xml:space="preserve"> political choices, and they “can echo with compulsion, implicitly demanding that all others subscribe” to their conception of the beautiful or, I would add, the disgusting, the terrifying, or the erotic</w:t>
      </w:r>
      <w:r w:rsidR="00E6331D">
        <w:t>.</w:t>
      </w:r>
      <w:r w:rsidR="00E6331D">
        <w:rPr>
          <w:rStyle w:val="EndnoteReference"/>
        </w:rPr>
        <w:endnoteReference w:id="9"/>
      </w:r>
      <w:r>
        <w:t xml:space="preserve"> What I propose here, then, is that we trace the </w:t>
      </w:r>
      <w:proofErr w:type="spellStart"/>
      <w:r>
        <w:t>pornotropic</w:t>
      </w:r>
      <w:proofErr w:type="spellEnd"/>
      <w:r>
        <w:t xml:space="preserve"> re-articulations of paranoid white supremacy through democratic discourse. If paranoia is a style,</w:t>
      </w:r>
      <w:r w:rsidRPr="00973187">
        <w:t xml:space="preserve"> as Hofstadter </w:t>
      </w:r>
      <w:r>
        <w:t>suggested a half-century ago</w:t>
      </w:r>
      <w:r w:rsidRPr="00DF280A">
        <w:t xml:space="preserve">, </w:t>
      </w:r>
      <w:r>
        <w:t xml:space="preserve">then it is a style characterized by sadomasochistic aesthetics. </w:t>
      </w:r>
      <w:r w:rsidRPr="00DF280A">
        <w:t xml:space="preserve">I do not mean to </w:t>
      </w:r>
      <w:r>
        <w:t>collapse the highly contingent politics and histories of particular paranoid moments, but I do mean to suggest that these moments have revealed a recurrent representational logic. Attention to this logic, finally, will reveal the compelling power of conspiratorial fantasy as it comes roaring back into the center of political life in the United States.</w:t>
      </w:r>
      <w:r w:rsidR="00DF7112">
        <w:t xml:space="preserve"> </w:t>
      </w:r>
    </w:p>
    <w:p w14:paraId="11D3739B" w14:textId="77777777" w:rsidR="003E3CAA" w:rsidRDefault="003E3CAA" w:rsidP="003E3CAA">
      <w:pPr>
        <w:tabs>
          <w:tab w:val="left" w:pos="720"/>
        </w:tabs>
        <w:spacing w:line="480" w:lineRule="auto"/>
      </w:pPr>
    </w:p>
    <w:p w14:paraId="7806C8DD" w14:textId="77777777" w:rsidR="003E3CAA" w:rsidRPr="009D7544" w:rsidRDefault="00107E5D" w:rsidP="003E3CAA">
      <w:pPr>
        <w:tabs>
          <w:tab w:val="left" w:pos="720"/>
        </w:tabs>
        <w:spacing w:line="480" w:lineRule="auto"/>
        <w:rPr>
          <w:smallCaps/>
        </w:rPr>
      </w:pPr>
      <w:r>
        <w:rPr>
          <w:smallCaps/>
        </w:rPr>
        <w:t xml:space="preserve">The </w:t>
      </w:r>
      <w:r w:rsidR="003E3CAA">
        <w:rPr>
          <w:smallCaps/>
        </w:rPr>
        <w:t>Sadomasochistic Aesthetics</w:t>
      </w:r>
      <w:r>
        <w:rPr>
          <w:smallCaps/>
        </w:rPr>
        <w:t xml:space="preserve"> of Racial Democracy</w:t>
      </w:r>
    </w:p>
    <w:p w14:paraId="3754B208" w14:textId="77777777" w:rsidR="003E3CAA" w:rsidRPr="0064705B" w:rsidRDefault="003E3CAA" w:rsidP="003E3CAA">
      <w:pPr>
        <w:tabs>
          <w:tab w:val="left" w:pos="720"/>
        </w:tabs>
        <w:spacing w:line="480" w:lineRule="auto"/>
      </w:pPr>
      <w:r>
        <w:t xml:space="preserve">If the present moment demands a reconsideration of paranoia in US politics, as I suggest it does, then Hofstadter’s “Paranoid Style” remains an important—if imperfect—point of departure. The problem with Hofstadter’s mid-twentieth-century view of political paranoia, as Eve </w:t>
      </w:r>
      <w:proofErr w:type="spellStart"/>
      <w:r>
        <w:t>Kosofsky</w:t>
      </w:r>
      <w:proofErr w:type="spellEnd"/>
      <w:r>
        <w:t xml:space="preserve"> Sedgwick observed, is not that it misunderstands such paranoia in any fundamental way. Rather, </w:t>
      </w:r>
      <w:r>
        <w:lastRenderedPageBreak/>
        <w:t>the problem is that the original audience for Hofstadter’s essay appears to have vanished, if it ever existed in the first place. In the intervening half-century since Hofstadter published “The Paranoid Style,” paranoia has proliferated even among those in positions of social authority. Throughout his discussion of the deep history of conspiracy theories in US culture, Hofstadter imagines a reasonable, detached, and secular liberal reader. As Sedgwick explains: “there remains,” in Hofstadter’s essay, “a presumptive ‘we’—apparently still practically everyone—who can agree to view such [counter-conspiratorial] extremes from a calm, understanding, and encompassing middle ground</w:t>
      </w:r>
      <w:r w:rsidR="007A4B46">
        <w:t>.</w:t>
      </w:r>
      <w:r>
        <w:t>”</w:t>
      </w:r>
      <w:r w:rsidR="007A4B46">
        <w:rPr>
          <w:rStyle w:val="EndnoteReference"/>
        </w:rPr>
        <w:endnoteReference w:id="10"/>
      </w:r>
      <w:r>
        <w:t xml:space="preserve"> This audience, Hofstadter seems to imagine, recognizes that the operations of power are contingent and local. There is no totalizing force able to order world events, and even the politically powerful are constrained in the realization of their goals. Sedgwick observed that such </w:t>
      </w:r>
      <w:r w:rsidRPr="0064705B">
        <w:t xml:space="preserve">a consensus reader (if </w:t>
      </w:r>
      <w:r w:rsidR="00952096">
        <w:t>such a reader</w:t>
      </w:r>
      <w:r w:rsidRPr="0064705B">
        <w:t xml:space="preserve"> ever existed) has long since departed from mainstream political discourse. In place </w:t>
      </w:r>
      <w:r>
        <w:t xml:space="preserve">of </w:t>
      </w:r>
      <w:r w:rsidRPr="0064705B">
        <w:t xml:space="preserve">this reader, we have a welter of competing conspiracies, a widespread mistrust of institutions, and a fractured media landscape more akin to the late eighteenth century than to the mid-twentieth. </w:t>
      </w:r>
    </w:p>
    <w:p w14:paraId="473EBE8A" w14:textId="77777777" w:rsidR="003E3CAA" w:rsidRDefault="003E3CAA" w:rsidP="003E3CAA">
      <w:pPr>
        <w:tabs>
          <w:tab w:val="left" w:pos="720"/>
        </w:tabs>
        <w:spacing w:line="480" w:lineRule="auto"/>
      </w:pPr>
      <w:r>
        <w:rPr>
          <w:b/>
          <w:i/>
          <w:color w:val="FF0000"/>
        </w:rPr>
        <w:tab/>
      </w:r>
      <w:r>
        <w:t>In such a context, I suggest that we do not require a totalizing theory of paranoia so much as an understanding of the affective—even libidinal—aesthetic qualities of the conspiracy theory. In short, I am following Ed White’s injunction that we search not for “a saner understanding” of conspiracy, but rather that we seek to understand conspiracy’s role in the “production and praxis of culture</w:t>
      </w:r>
      <w:r w:rsidR="00982D22">
        <w:t>.</w:t>
      </w:r>
      <w:r>
        <w:t>”</w:t>
      </w:r>
      <w:r w:rsidR="00982D22">
        <w:rPr>
          <w:rStyle w:val="EndnoteReference"/>
        </w:rPr>
        <w:endnoteReference w:id="11"/>
      </w:r>
      <w:r>
        <w:t xml:space="preserve"> Such an understanding is only possible, I think, if we engage conspiracy’s recurrent tropes. To that end, I seek to call attention to a recursive pattern, a periodic re-articulation of the </w:t>
      </w:r>
      <w:proofErr w:type="spellStart"/>
      <w:r>
        <w:t>pornotrope</w:t>
      </w:r>
      <w:proofErr w:type="spellEnd"/>
      <w:r>
        <w:t xml:space="preserve"> and its imagined inverse among US political paranoids. Certainly, the counter-conspiratorial thinking behind the Illuminati crisis emerged in a discrete political context of eighteenth-century partisanship, global revolution, Enlightenment secularism, </w:t>
      </w:r>
      <w:r>
        <w:lastRenderedPageBreak/>
        <w:t>and enthusiastic Christianity</w:t>
      </w:r>
      <w:r w:rsidR="00125F33">
        <w:t>.</w:t>
      </w:r>
      <w:r w:rsidR="00125F33">
        <w:rPr>
          <w:rStyle w:val="EndnoteReference"/>
        </w:rPr>
        <w:endnoteReference w:id="12"/>
      </w:r>
      <w:r>
        <w:t xml:space="preserve"> The counter-conspiratorial panic of late eighteenth-century New </w:t>
      </w:r>
      <w:r w:rsidRPr="004B17B9">
        <w:t>England was very different from paranoid conspiracy theories in the present: the fear, for instance, that a secret cabal of “Social Justice Warriors” has systematically propagandized commercial video games to remove misogynist or racist content, or that a former Democratic presidential candidate trafficked children across international borders for the purposes of sexual exploitation.</w:t>
      </w:r>
      <w:r w:rsidR="004B17B9" w:rsidRPr="004B17B9">
        <w:rPr>
          <w:rStyle w:val="EndnoteReference"/>
        </w:rPr>
        <w:endnoteReference w:id="13"/>
      </w:r>
      <w:r w:rsidRPr="004B17B9">
        <w:t xml:space="preserve"> The politics and circumstances of these cases do not map easily onto one another. </w:t>
      </w:r>
      <w:r>
        <w:t>But, in each case, we can observe a similar set of aesthetic decisions through which the contingent politics of political paranoia have been mediated. In each case, we can observe what Eric Lott has called the “undoing of white male sexual sanctity</w:t>
      </w:r>
      <w:r w:rsidR="00125F33">
        <w:t>.</w:t>
      </w:r>
      <w:r>
        <w:t>”</w:t>
      </w:r>
      <w:r w:rsidR="00125F33">
        <w:rPr>
          <w:rStyle w:val="EndnoteReference"/>
        </w:rPr>
        <w:endnoteReference w:id="14"/>
      </w:r>
      <w:r>
        <w:t xml:space="preserve"> A libidinal aesthetic economy premised upon the ongoing exploitation of women, beginning with women of color, gives way in these conspiracy theories to a fantasy of white masculine sexual subjection that is never realized in the material world. </w:t>
      </w:r>
    </w:p>
    <w:p w14:paraId="4D20819C" w14:textId="77777777" w:rsidR="003E3CAA" w:rsidRPr="000350F6" w:rsidRDefault="003E3CAA" w:rsidP="003E3CAA">
      <w:pPr>
        <w:tabs>
          <w:tab w:val="left" w:pos="720"/>
        </w:tabs>
        <w:spacing w:line="480" w:lineRule="auto"/>
      </w:pPr>
      <w:r>
        <w:tab/>
        <w:t>Before considering the periodic re-articulation of these libidinal aesthetics</w:t>
      </w:r>
      <w:r w:rsidRPr="000350F6">
        <w:t>, it will be productive to provide some context for the Illuminati panic itself</w:t>
      </w:r>
      <w:r w:rsidR="002D27DC">
        <w:t>—the scholarship about which is voluminous</w:t>
      </w:r>
      <w:r w:rsidRPr="001F7031">
        <w:t>.</w:t>
      </w:r>
      <w:r w:rsidRPr="001F7031">
        <w:rPr>
          <w:rStyle w:val="EndnoteReference"/>
        </w:rPr>
        <w:endnoteReference w:id="15"/>
      </w:r>
      <w:r w:rsidRPr="001F7031">
        <w:t xml:space="preserve"> The first </w:t>
      </w:r>
      <w:r w:rsidRPr="000350F6">
        <w:t xml:space="preserve">account of the Illuminati to </w:t>
      </w:r>
      <w:r>
        <w:t>be printed</w:t>
      </w:r>
      <w:r w:rsidRPr="000350F6">
        <w:t xml:space="preserve"> in the United States was Jedidiah Morse’s Fast Day sermon of May 9, 1798, although there were forerunners and hints in the epistolary record of what was to come.</w:t>
      </w:r>
      <w:r w:rsidRPr="000350F6">
        <w:rPr>
          <w:rStyle w:val="EndnoteReference"/>
        </w:rPr>
        <w:endnoteReference w:id="16"/>
      </w:r>
      <w:r w:rsidRPr="000350F6">
        <w:t xml:space="preserve"> John Robison’s </w:t>
      </w:r>
      <w:proofErr w:type="spellStart"/>
      <w:r w:rsidRPr="000350F6">
        <w:rPr>
          <w:u w:val="single"/>
        </w:rPr>
        <w:t>Proof’s</w:t>
      </w:r>
      <w:proofErr w:type="spellEnd"/>
      <w:r w:rsidRPr="000350F6">
        <w:rPr>
          <w:u w:val="single"/>
        </w:rPr>
        <w:t xml:space="preserve"> of a Conspiracy</w:t>
      </w:r>
      <w:r w:rsidRPr="000350F6">
        <w:t xml:space="preserve"> (1797), purportedly a complete account of the Illuminati in Europe, had arrived in the United States sometime in March 1798, </w:t>
      </w:r>
      <w:r>
        <w:t>two</w:t>
      </w:r>
      <w:r w:rsidRPr="000350F6">
        <w:t xml:space="preserve"> months before Morse’s sermon, and had been re-published in Philadelphia in mid-April.</w:t>
      </w:r>
      <w:r w:rsidRPr="000350F6">
        <w:rPr>
          <w:rStyle w:val="EndnoteReference"/>
        </w:rPr>
        <w:endnoteReference w:id="17"/>
      </w:r>
      <w:r>
        <w:t xml:space="preserve"> </w:t>
      </w:r>
      <w:r w:rsidRPr="000350F6">
        <w:t>The panic, and the debat</w:t>
      </w:r>
      <w:r>
        <w:t>e it engendered, fully emerged in the</w:t>
      </w:r>
      <w:r w:rsidRPr="000350F6">
        <w:t xml:space="preserve"> summer</w:t>
      </w:r>
      <w:r>
        <w:t xml:space="preserve"> of 1798</w:t>
      </w:r>
      <w:r w:rsidRPr="000350F6">
        <w:t xml:space="preserve">: in newspapers, pamphlets, and particularly sermons. </w:t>
      </w:r>
      <w:r>
        <w:t xml:space="preserve">Shortly after, </w:t>
      </w:r>
      <w:r w:rsidRPr="00676364">
        <w:t xml:space="preserve">Augustin </w:t>
      </w:r>
      <w:proofErr w:type="spellStart"/>
      <w:r w:rsidRPr="00676364">
        <w:t>Barruel’s</w:t>
      </w:r>
      <w:proofErr w:type="spellEnd"/>
      <w:r w:rsidRPr="00676364">
        <w:rPr>
          <w:i/>
        </w:rPr>
        <w:t xml:space="preserve"> </w:t>
      </w:r>
      <w:r w:rsidRPr="00676364">
        <w:rPr>
          <w:u w:val="single"/>
        </w:rPr>
        <w:t>Memoirs of Jacobinism</w:t>
      </w:r>
      <w:r w:rsidRPr="00676364">
        <w:t xml:space="preserve"> (1799)</w:t>
      </w:r>
      <w:r>
        <w:t>, another anti-Illuminati study published in Europe,</w:t>
      </w:r>
      <w:r w:rsidRPr="00676364">
        <w:t xml:space="preserve"> </w:t>
      </w:r>
      <w:r>
        <w:t>arrived in the United States.</w:t>
      </w:r>
      <w:r>
        <w:rPr>
          <w:rStyle w:val="EndnoteReference"/>
        </w:rPr>
        <w:endnoteReference w:id="18"/>
      </w:r>
      <w:r>
        <w:t xml:space="preserve"> </w:t>
      </w:r>
      <w:r w:rsidRPr="000350F6">
        <w:t>The</w:t>
      </w:r>
      <w:r>
        <w:t xml:space="preserve"> US</w:t>
      </w:r>
      <w:r w:rsidRPr="000350F6">
        <w:t xml:space="preserve"> anti-Illuminati writers were generally church leaders: </w:t>
      </w:r>
      <w:r w:rsidRPr="000350F6">
        <w:lastRenderedPageBreak/>
        <w:t xml:space="preserve">Morse, </w:t>
      </w:r>
      <w:r>
        <w:t xml:space="preserve">Yale President Timothy </w:t>
      </w:r>
      <w:r w:rsidRPr="000350F6">
        <w:t>Dwight, John Cotton Smith, and Elijah Parish, among them.</w:t>
      </w:r>
      <w:r w:rsidRPr="000350F6">
        <w:rPr>
          <w:rStyle w:val="EndnoteReference"/>
        </w:rPr>
        <w:endnoteReference w:id="19"/>
      </w:r>
      <w:r w:rsidRPr="000350F6">
        <w:t xml:space="preserve"> Federalist partisans, such as William Brown and Timothy Dwight’s brother, the poet and newspaper editor Theodore Dwight, also contributed.</w:t>
      </w:r>
      <w:r w:rsidRPr="000350F6">
        <w:rPr>
          <w:rStyle w:val="EndnoteReference"/>
        </w:rPr>
        <w:endnoteReference w:id="20"/>
      </w:r>
      <w:r w:rsidRPr="000350F6">
        <w:t xml:space="preserve"> Moreover, printers published at least two novels based upon the conspiracy: Charles </w:t>
      </w:r>
      <w:proofErr w:type="spellStart"/>
      <w:r w:rsidRPr="000350F6">
        <w:t>Brockden</w:t>
      </w:r>
      <w:proofErr w:type="spellEnd"/>
      <w:r w:rsidRPr="000350F6">
        <w:t xml:space="preserve"> Brown’s </w:t>
      </w:r>
      <w:r w:rsidRPr="000350F6">
        <w:rPr>
          <w:u w:val="single"/>
        </w:rPr>
        <w:t>Ormond; or, The Secret Witness</w:t>
      </w:r>
      <w:r w:rsidRPr="000350F6">
        <w:t xml:space="preserve"> (1799) and Sally </w:t>
      </w:r>
      <w:proofErr w:type="spellStart"/>
      <w:r w:rsidRPr="000350F6">
        <w:t>Sayward</w:t>
      </w:r>
      <w:proofErr w:type="spellEnd"/>
      <w:r w:rsidRPr="000350F6">
        <w:t xml:space="preserve"> Barrell Keating Wood’s </w:t>
      </w:r>
      <w:r w:rsidRPr="000350F6">
        <w:rPr>
          <w:u w:val="single"/>
        </w:rPr>
        <w:t>Julia, and the Illuminated Baron</w:t>
      </w:r>
      <w:r w:rsidRPr="000350F6">
        <w:t xml:space="preserve"> (1800).</w:t>
      </w:r>
      <w:r>
        <w:t xml:space="preserve"> Finally, it was i</w:t>
      </w:r>
      <w:r w:rsidRPr="000350F6">
        <w:t xml:space="preserve">n 1799, as anti-Illuminati writers began to feel increasing pressure to substantiate their claims, </w:t>
      </w:r>
      <w:r>
        <w:t xml:space="preserve">that </w:t>
      </w:r>
      <w:r w:rsidRPr="000350F6">
        <w:t xml:space="preserve">they more fully articulated the specific </w:t>
      </w:r>
      <w:r>
        <w:rPr>
          <w:i/>
        </w:rPr>
        <w:t>racial</w:t>
      </w:r>
      <w:r w:rsidRPr="000350F6">
        <w:t xml:space="preserve"> dangers faced by the new United States.</w:t>
      </w:r>
      <w:r w:rsidRPr="000350F6">
        <w:rPr>
          <w:rStyle w:val="EndnoteReference"/>
        </w:rPr>
        <w:endnoteReference w:id="21"/>
      </w:r>
      <w:r>
        <w:t xml:space="preserve"> During this period, </w:t>
      </w:r>
      <w:r w:rsidRPr="007F69AE">
        <w:t xml:space="preserve">counter-subversive writers speculated about whether the “sooty sons of Africa” would </w:t>
      </w:r>
      <w:r>
        <w:t>collaborate with foreign subversives.</w:t>
      </w:r>
      <w:r w:rsidR="007F69AE">
        <w:rPr>
          <w:rStyle w:val="EndnoteReference"/>
        </w:rPr>
        <w:endnoteReference w:id="22"/>
      </w:r>
    </w:p>
    <w:p w14:paraId="73191077" w14:textId="77777777" w:rsidR="003E3CAA" w:rsidRDefault="003E3CAA" w:rsidP="003E3CAA">
      <w:pPr>
        <w:tabs>
          <w:tab w:val="left" w:pos="720"/>
        </w:tabs>
        <w:spacing w:line="480" w:lineRule="auto"/>
      </w:pPr>
      <w:r w:rsidRPr="000350F6">
        <w:tab/>
      </w:r>
      <w:r>
        <w:t>That</w:t>
      </w:r>
      <w:r w:rsidRPr="000350F6">
        <w:t xml:space="preserve"> </w:t>
      </w:r>
      <w:r>
        <w:t xml:space="preserve">a </w:t>
      </w:r>
      <w:r w:rsidRPr="000350F6">
        <w:t>conspiracy theory</w:t>
      </w:r>
      <w:r>
        <w:t xml:space="preserve"> in the United States</w:t>
      </w:r>
      <w:r w:rsidRPr="000350F6">
        <w:t xml:space="preserve"> </w:t>
      </w:r>
      <w:r>
        <w:t xml:space="preserve">quickly transformed into a narrative of racial </w:t>
      </w:r>
      <w:r w:rsidRPr="000350F6">
        <w:t xml:space="preserve">paranoia </w:t>
      </w:r>
      <w:r>
        <w:t xml:space="preserve">should be relatively </w:t>
      </w:r>
      <w:r w:rsidRPr="000350F6">
        <w:t>unsurprising. The crisis emerged, after all,</w:t>
      </w:r>
      <w:r>
        <w:t xml:space="preserve"> in a representational economy already structured by the subjection of black people. Eighteenth- and early nineteenth-century anti-slavery discourse in the US North was constitutive of a highly racialized sexual economy. Marcus Wood, for instance, suggests that “displays of extreme and perverse brutality against the black body” functioned for eighteenth-century readers as “sites of white pornographic projection.”</w:t>
      </w:r>
      <w:r>
        <w:rPr>
          <w:rStyle w:val="EndnoteReference"/>
        </w:rPr>
        <w:endnoteReference w:id="23"/>
      </w:r>
      <w:r>
        <w:t xml:space="preserve"> </w:t>
      </w:r>
      <w:proofErr w:type="spellStart"/>
      <w:r>
        <w:t>Saidiya</w:t>
      </w:r>
      <w:proofErr w:type="spellEnd"/>
      <w:r>
        <w:t xml:space="preserve"> Hartman amplifies this claim when she explains that visual depictions and literary descriptions of beatings complicate the project of “beholding black suffering since the endeavor to bring pain close exploits the spectacle of the body in pain.”</w:t>
      </w:r>
      <w:r>
        <w:rPr>
          <w:rStyle w:val="EndnoteReference"/>
        </w:rPr>
        <w:endnoteReference w:id="24"/>
      </w:r>
      <w:r>
        <w:t xml:space="preserve"> The well-known engravings by William Blake, which appeared in John Stedman’s </w:t>
      </w:r>
      <w:r>
        <w:rPr>
          <w:u w:val="single"/>
        </w:rPr>
        <w:t>Narrative, of five years’ expedition, against the revolted Negroes of Surinam</w:t>
      </w:r>
      <w:r w:rsidRPr="00630DE2">
        <w:t xml:space="preserve"> (1796)</w:t>
      </w:r>
      <w:r>
        <w:t>, perhaps best emblematize the lib</w:t>
      </w:r>
      <w:r w:rsidR="007A378D">
        <w:t xml:space="preserve">idinal economy I am describing. These images simultaneously registered a protest against black suffering and sexualized that suffering. </w:t>
      </w:r>
      <w:r>
        <w:t xml:space="preserve">In one image, a “Female Quadroon” appears in a translucent skirt. In another, a bare-breasted woman hangs by her hands from a tree, her body </w:t>
      </w:r>
      <w:r>
        <w:lastRenderedPageBreak/>
        <w:t>marked by the scourges of a whip. Stedman’s account was available and widely discussed in the United States as early as 1798.</w:t>
      </w:r>
      <w:r>
        <w:rPr>
          <w:rStyle w:val="EndnoteReference"/>
        </w:rPr>
        <w:endnoteReference w:id="25"/>
      </w:r>
      <w:r>
        <w:t xml:space="preserve"> The sexual exploitation of black women in the North, moreover, was not merely a matter of representation. The black writer Nancy Prince would recall, for instance, that her sister Silvia was “deluded away” from a position as a “nursery girl” in Boston and, by February 1816, coerced into performing sex </w:t>
      </w:r>
      <w:r w:rsidR="00952096">
        <w:t>acts</w:t>
      </w:r>
      <w:r>
        <w:t xml:space="preserve"> to pay down debt.</w:t>
      </w:r>
      <w:r>
        <w:rPr>
          <w:rStyle w:val="EndnoteReference"/>
        </w:rPr>
        <w:endnoteReference w:id="26"/>
      </w:r>
      <w:r>
        <w:t xml:space="preserve"> While many of the counter-conspiratorial writers of the Illuminati crisis favored the abolition of slavery, they were nonetheless implicated in a libidinal economy that trafficked in the material and representational subjection of black bodies. </w:t>
      </w:r>
    </w:p>
    <w:p w14:paraId="23999A6C" w14:textId="77777777" w:rsidR="003E3CAA" w:rsidRDefault="003E3CAA" w:rsidP="003E3CAA">
      <w:pPr>
        <w:tabs>
          <w:tab w:val="left" w:pos="720"/>
        </w:tabs>
        <w:spacing w:line="480" w:lineRule="auto"/>
      </w:pPr>
      <w:r>
        <w:tab/>
        <w:t xml:space="preserve">Yet the conspiracy theorists of the Illuminati crisis fantasized about the </w:t>
      </w:r>
      <w:r w:rsidRPr="002A0433">
        <w:rPr>
          <w:i/>
        </w:rPr>
        <w:t>inversion</w:t>
      </w:r>
      <w:r>
        <w:t xml:space="preserve"> of the </w:t>
      </w:r>
      <w:proofErr w:type="spellStart"/>
      <w:r>
        <w:t>pornotropic</w:t>
      </w:r>
      <w:proofErr w:type="spellEnd"/>
      <w:r>
        <w:t xml:space="preserve"> aesthetic mode through which black women had been</w:t>
      </w:r>
      <w:r w:rsidR="007A378D">
        <w:t xml:space="preserve"> made</w:t>
      </w:r>
      <w:r>
        <w:t xml:space="preserve"> available for sexual subjection. When William Brown suggested that French revolutionaries would join self-emancipated black men in “the impure and shocking death-dance of Africa,” he was (perhaps inadvertently) calling attention to a material, representational, and libidinal economy in which white men operated at the center of power and discourse. Brown’s promise that the sexual prerogatives of white US American men would be upended in favor of black men and foreigners traded in the simultaneous fear and pleasure evoked by sadomasochistic play. Just as William Blake’s engravings enabled white men to linger on the exposed and scourged body of a black woman, Brown’s promise that black </w:t>
      </w:r>
      <w:r w:rsidRPr="008D51B7">
        <w:rPr>
          <w:i/>
        </w:rPr>
        <w:t>men</w:t>
      </w:r>
      <w:r>
        <w:t xml:space="preserve"> would let loose their “demoniac lust” upon white “virgins” likewise allowed readers and listeners to indulge in a fantasy of racial humiliation that was materially harmless to the white men construed as its ideal consumers.</w:t>
      </w:r>
      <w:r w:rsidR="003D52D9">
        <w:rPr>
          <w:rStyle w:val="EndnoteReference"/>
        </w:rPr>
        <w:endnoteReference w:id="27"/>
      </w:r>
    </w:p>
    <w:p w14:paraId="56C5D802" w14:textId="77777777" w:rsidR="00887E84" w:rsidRPr="00887E84" w:rsidRDefault="003E3CAA" w:rsidP="003E3CAA">
      <w:pPr>
        <w:tabs>
          <w:tab w:val="left" w:pos="720"/>
        </w:tabs>
        <w:spacing w:line="480" w:lineRule="auto"/>
      </w:pPr>
      <w:r w:rsidRPr="00854DD4">
        <w:tab/>
      </w:r>
      <w:r w:rsidRPr="00E073F7">
        <w:t xml:space="preserve">The </w:t>
      </w:r>
      <w:r>
        <w:t xml:space="preserve">fantasies of racial subjection enabled by the Illuminati crisis in the United States were unlike anything seen during the same paranoid crisis in Europe. This difference between European and US countersubversion is particularly important because, when New England’s </w:t>
      </w:r>
      <w:r>
        <w:lastRenderedPageBreak/>
        <w:t xml:space="preserve">counter-subversive polemicists warned of Illuminati conspiracy, they were describing a gothic doppelganger of their own revolutionary politics. The Illuminati began twenty-two years earlier not as a counter-subversive fantasy but as an Enlightenment intellectual society. Indeed, this society ran a chronologically parallel course to the American Revolution. German academic Adam </w:t>
      </w:r>
      <w:proofErr w:type="spellStart"/>
      <w:r>
        <w:t>Weishaupt</w:t>
      </w:r>
      <w:proofErr w:type="spellEnd"/>
      <w:r>
        <w:t xml:space="preserve"> founded the Illuminati in 1776 at the University of Ingolstadt, in Bavaria</w:t>
      </w:r>
      <w:r w:rsidRPr="008520C6">
        <w:t>.</w:t>
      </w:r>
      <w:r w:rsidRPr="008520C6">
        <w:rPr>
          <w:rStyle w:val="EndnoteReference"/>
        </w:rPr>
        <w:endnoteReference w:id="28"/>
      </w:r>
      <w:r w:rsidRPr="008520C6">
        <w:t xml:space="preserve"> </w:t>
      </w:r>
      <w:r>
        <w:t>The group’s members were part of Europe’s republic of letters. They were political thinkers who wrote to one another using classical pseudonyms, including Cato, Brutus, and Philo, just as numerous revolutionaries in British North America had done.</w:t>
      </w:r>
      <w:r>
        <w:rPr>
          <w:rStyle w:val="EndnoteReference"/>
        </w:rPr>
        <w:endnoteReference w:id="29"/>
      </w:r>
      <w:r>
        <w:t xml:space="preserve"> These names gave a marble polish to what was, in many ways, a modern project of remaking the world in the name of virtue, self-government, and democracy. </w:t>
      </w:r>
      <w:r w:rsidRPr="00196D59">
        <w:t>Carl Theodore, Duke of Bavaria,</w:t>
      </w:r>
      <w:r>
        <w:t xml:space="preserve"> banned the Illuminati on June 22, 1784, a year after the United States signed the Treaty of Paris. On Aug. 16, 1787 (a month before the US Constitutional Convention adjourned), Theodore issued a final edict against the Enlightenment-era society.</w:t>
      </w:r>
      <w:r w:rsidRPr="00196D59">
        <w:rPr>
          <w:rStyle w:val="EndnoteReference"/>
        </w:rPr>
        <w:endnoteReference w:id="30"/>
      </w:r>
      <w:r>
        <w:t xml:space="preserve"> A few of its members, including </w:t>
      </w:r>
      <w:proofErr w:type="spellStart"/>
      <w:r>
        <w:t>Weishaupt</w:t>
      </w:r>
      <w:proofErr w:type="spellEnd"/>
      <w:r>
        <w:t>, would escape persecution.</w:t>
      </w:r>
      <w:r>
        <w:rPr>
          <w:rStyle w:val="EndnoteReference"/>
        </w:rPr>
        <w:endnoteReference w:id="31"/>
      </w:r>
      <w:r>
        <w:t xml:space="preserve"> But the influence of this brief confederacy would live on. British reactionaries would link the French Revolution to the (imagined) influence of the Illuminati.</w:t>
      </w:r>
      <w:r>
        <w:rPr>
          <w:rStyle w:val="EndnoteReference"/>
        </w:rPr>
        <w:endnoteReference w:id="32"/>
      </w:r>
      <w:r>
        <w:t xml:space="preserve"> But it was only in the United States that reactionary polemicists fantasized about the sadomasochistic racial politics of Illuminati conspirators. </w:t>
      </w:r>
      <w:r w:rsidRPr="007A378D">
        <w:t xml:space="preserve">More than a decade after the demise of the Bavarian intellectual society, </w:t>
      </w:r>
      <w:r w:rsidR="007A378D">
        <w:t>one US writer</w:t>
      </w:r>
      <w:r w:rsidRPr="007A378D">
        <w:t xml:space="preserve"> would imagine that</w:t>
      </w:r>
      <w:r w:rsidR="007A378D">
        <w:t xml:space="preserve"> </w:t>
      </w:r>
      <w:r w:rsidR="00887E84">
        <w:t>the Illuminati</w:t>
      </w:r>
      <w:r w:rsidR="007A378D">
        <w:t xml:space="preserve"> were readying “</w:t>
      </w:r>
      <w:r w:rsidR="007A378D" w:rsidRPr="007A378D">
        <w:t>powerful engines of revolution</w:t>
      </w:r>
      <w:r w:rsidR="007A378D">
        <w:t>.</w:t>
      </w:r>
      <w:r w:rsidR="00887E84">
        <w:t>”</w:t>
      </w:r>
      <w:r w:rsidRPr="007A378D">
        <w:rPr>
          <w:rStyle w:val="EndnoteReference"/>
        </w:rPr>
        <w:endnoteReference w:id="33"/>
      </w:r>
      <w:r w:rsidRPr="007A378D">
        <w:t xml:space="preserve"> Having been disbanded in 1787, the Illuminati were engaged in no such activity. </w:t>
      </w:r>
      <w:r w:rsidR="00887E84">
        <w:t xml:space="preserve">But expressing concern about the actions of </w:t>
      </w:r>
      <w:r w:rsidR="00887E84" w:rsidRPr="00887E84">
        <w:rPr>
          <w:i/>
        </w:rPr>
        <w:t>other</w:t>
      </w:r>
      <w:r w:rsidR="00887E84">
        <w:t xml:space="preserve"> Enlightenment-era revolutionaries provided a means of casting doubt on the project of US democracy itself.</w:t>
      </w:r>
    </w:p>
    <w:p w14:paraId="7EFC9618" w14:textId="77777777" w:rsidR="003E3CAA" w:rsidRDefault="003E3CAA" w:rsidP="003E3CAA">
      <w:pPr>
        <w:tabs>
          <w:tab w:val="left" w:pos="720"/>
        </w:tabs>
        <w:spacing w:line="480" w:lineRule="auto"/>
      </w:pPr>
      <w:r>
        <w:tab/>
        <w:t xml:space="preserve">In short, by aestheticizing the sadomasochistic racial dimensions of a conspiracy theory, the paranoids of the US Illuminati crisis produced a complex map of political power in which </w:t>
      </w:r>
      <w:r>
        <w:lastRenderedPageBreak/>
        <w:t xml:space="preserve">they and their gothic doppelgangers operated at the precarious center of discourse. In the world produced by these writers, racialization enabled a proliferation of sexual fantasies that all served the libidinal desires of an imagined white masculine readership. These fantasies derived their erotic </w:t>
      </w:r>
      <w:r w:rsidRPr="008F763B">
        <w:rPr>
          <w:i/>
        </w:rPr>
        <w:t>jouissance</w:t>
      </w:r>
      <w:r>
        <w:t>, moreover, from a materially harmless description of racial humiliation at the hands of imagined conspirators—the chronological and ideological twins of American patriots.</w:t>
      </w:r>
      <w:r w:rsidR="00D62187">
        <w:rPr>
          <w:rStyle w:val="EndnoteReference"/>
        </w:rPr>
        <w:endnoteReference w:id="34"/>
      </w:r>
      <w:r>
        <w:t xml:space="preserve"> To imagine Illuminati conspirators </w:t>
      </w:r>
      <w:r w:rsidR="00D10238">
        <w:t xml:space="preserve">and their black allies </w:t>
      </w:r>
      <w:r>
        <w:t>as sexual sadists, in short, was to</w:t>
      </w:r>
      <w:r w:rsidR="00D10238">
        <w:t xml:space="preserve"> acknowledge</w:t>
      </w:r>
      <w:r>
        <w:t xml:space="preserve"> racial democracy as a kind of sadism. To imagine the sexual subjection of white women and white men at the hands of </w:t>
      </w:r>
      <w:r w:rsidR="00D10238">
        <w:t>these conspirators</w:t>
      </w:r>
      <w:r>
        <w:t xml:space="preserve"> was to </w:t>
      </w:r>
      <w:r w:rsidR="00D10238">
        <w:t xml:space="preserve">acknowledge </w:t>
      </w:r>
      <w:r>
        <w:t xml:space="preserve">the </w:t>
      </w:r>
      <w:r w:rsidR="00D10238">
        <w:t>precarity</w:t>
      </w:r>
      <w:r>
        <w:t xml:space="preserve"> of </w:t>
      </w:r>
      <w:r w:rsidR="00D10238">
        <w:t>a democratic politics built upon a foundation of racial domination</w:t>
      </w:r>
      <w:r>
        <w:t>. As these fantasies played out in the pages of pamphlets and sermons, they revealed fundamental, unresolved questions about the relation between race, sexual domination, and nascent democratic politics.</w:t>
      </w:r>
    </w:p>
    <w:p w14:paraId="3B1720F6" w14:textId="77777777" w:rsidR="003E3CAA" w:rsidRDefault="003E3CAA" w:rsidP="003E3CAA">
      <w:pPr>
        <w:tabs>
          <w:tab w:val="left" w:pos="720"/>
        </w:tabs>
        <w:spacing w:line="480" w:lineRule="auto"/>
      </w:pPr>
      <w:r>
        <w:tab/>
        <w:t>Thirty years ago, Hortense Spillers observed that the trans-Atlantic trade in human beings produced a condition in which “the female body and the male body become a territory of cultural and political maneuver.” The bodies of enslaved people are—from the perspective of enslavers—easily evacuated of gendered meaning and transformed into “the source of an irresistible, destructive sensuality.”</w:t>
      </w:r>
      <w:r w:rsidR="00FC1D73">
        <w:rPr>
          <w:rStyle w:val="EndnoteReference"/>
        </w:rPr>
        <w:endnoteReference w:id="35"/>
      </w:r>
      <w:r>
        <w:t xml:space="preserve"> More recently, scholars such as </w:t>
      </w:r>
      <w:r w:rsidR="000866B1">
        <w:t xml:space="preserve">Ariane Cruz, </w:t>
      </w:r>
      <w:r w:rsidRPr="00420E52">
        <w:t>Jennifer Christine Nash</w:t>
      </w:r>
      <w:r>
        <w:t xml:space="preserve">, </w:t>
      </w:r>
      <w:r w:rsidR="000866B1">
        <w:t xml:space="preserve">Anthony Paul Farley, and </w:t>
      </w:r>
      <w:r>
        <w:t xml:space="preserve">Alexander </w:t>
      </w:r>
      <w:proofErr w:type="spellStart"/>
      <w:r>
        <w:t>Weheliye</w:t>
      </w:r>
      <w:proofErr w:type="spellEnd"/>
      <w:r>
        <w:t xml:space="preserve"> have taken up </w:t>
      </w:r>
      <w:proofErr w:type="spellStart"/>
      <w:r>
        <w:t>Spillers’s</w:t>
      </w:r>
      <w:proofErr w:type="spellEnd"/>
      <w:r>
        <w:t xml:space="preserve"> call to consider the sadomasochistic dimensions of racialized fantasy. For Farley, whiteness is “a way of feeling pleasure in and about one’s body,” a libidinal experience through which “power masks itself as nature.”</w:t>
      </w:r>
      <w:r>
        <w:rPr>
          <w:rStyle w:val="EndnoteReference"/>
        </w:rPr>
        <w:endnoteReference w:id="36"/>
      </w:r>
      <w:r>
        <w:t xml:space="preserve"> For Nash, likewise, race functions as a “technology of domination and a technology of pleasure.”</w:t>
      </w:r>
      <w:r>
        <w:rPr>
          <w:rStyle w:val="EndnoteReference"/>
        </w:rPr>
        <w:endnoteReference w:id="37"/>
      </w:r>
      <w:r>
        <w:t xml:space="preserve"> Each of these scholars calls attention to the sadomasochistic dimensions of racial fantasy, the ways in which racialization provides the aesthetic space in which to stage relations of power</w:t>
      </w:r>
      <w:r w:rsidR="000866B1">
        <w:t xml:space="preserve">, to indulge in what Cruz calls the “unspeakable pleasures” of </w:t>
      </w:r>
      <w:r w:rsidR="000866B1">
        <w:lastRenderedPageBreak/>
        <w:t>“racialized abjection.”</w:t>
      </w:r>
      <w:r w:rsidR="000866B1">
        <w:rPr>
          <w:rStyle w:val="EndnoteReference"/>
        </w:rPr>
        <w:endnoteReference w:id="38"/>
      </w:r>
      <w:r>
        <w:t xml:space="preserve"> For the white men whose writing in 1799 transmitted implausible accounts of impending foreign subversion, the libidinal aesthetics of racialization provided the means by which they could map themselves into those relations. </w:t>
      </w:r>
      <w:r w:rsidRPr="001E6ED1">
        <w:t>The sexuality of black men would be instrumental to the desires of foreign revolutionaries, they imagined, just as the sexual subjection of black women would prefigure the sexual subjection of white women.</w:t>
      </w:r>
      <w:r>
        <w:t xml:space="preserve"> For these counter-conspiratorial fantasists, operating at the intersections of whiteness and masculinity, the sadomasochistic fantasies of racialization provided the critical aesthetic terrain upon which to organize themselves into relation with one another and with the larger world.</w:t>
      </w:r>
    </w:p>
    <w:p w14:paraId="01585C28" w14:textId="77777777" w:rsidR="003E3CAA" w:rsidRDefault="003E3CAA" w:rsidP="003E3CAA">
      <w:pPr>
        <w:tabs>
          <w:tab w:val="left" w:pos="720"/>
        </w:tabs>
        <w:spacing w:line="480" w:lineRule="auto"/>
      </w:pPr>
      <w:r>
        <w:tab/>
        <w:t xml:space="preserve">Importantly, these men </w:t>
      </w:r>
      <w:r w:rsidR="00D10238">
        <w:t>positioned themselves in</w:t>
      </w:r>
      <w:r>
        <w:t xml:space="preserve"> the center of their paranoid discourse. The Illuminati, recall, were of a piece with the Enlightenment-era project that produced US democracy in the first place. Adam </w:t>
      </w:r>
      <w:proofErr w:type="spellStart"/>
      <w:r>
        <w:t>Weishaupt’s</w:t>
      </w:r>
      <w:proofErr w:type="spellEnd"/>
      <w:r>
        <w:t xml:space="preserve"> intellectual society embodied the “Spirit of </w:t>
      </w:r>
      <w:r w:rsidRPr="000866B1">
        <w:t xml:space="preserve">1776” just as readily as the Sons of Liberty. The counter-conspiratorial writers of the Illuminati crisis wove a web of imagined, sadomasochistic relations through which </w:t>
      </w:r>
      <w:r>
        <w:t xml:space="preserve">readers might come to understand the pleasures and perils of racialization. The body of texts they produced (primarily published sermons and pamphlets) compelled readers to visualize the relations between political and human bodies. In short, foreign revolutionaries and black men represented—for the counter-conspiratorial writers of the Illuminati crisis, at least—not only a threat to the demos, but a gothic, sadomasochistic corollary to nascent US democracy. To these writers, black and foreign bodies were at once an ongoing threat to political cohesion and an object of aesthetic desire that could be consumed as terror, pleasure, and eroticism. </w:t>
      </w:r>
    </w:p>
    <w:p w14:paraId="35D41564" w14:textId="77777777" w:rsidR="003E3CAA" w:rsidRDefault="003E3CAA" w:rsidP="003E3CAA">
      <w:pPr>
        <w:tabs>
          <w:tab w:val="left" w:pos="720"/>
        </w:tabs>
        <w:spacing w:line="480" w:lineRule="auto"/>
      </w:pPr>
    </w:p>
    <w:p w14:paraId="24457346" w14:textId="77777777" w:rsidR="003E3CAA" w:rsidRDefault="003E3CAA" w:rsidP="003E3CAA">
      <w:pPr>
        <w:tabs>
          <w:tab w:val="left" w:pos="720"/>
        </w:tabs>
        <w:spacing w:line="480" w:lineRule="auto"/>
        <w:rPr>
          <w:smallCaps/>
        </w:rPr>
      </w:pPr>
      <w:r>
        <w:rPr>
          <w:smallCaps/>
        </w:rPr>
        <w:t>The Libidinal Pleasures of Paranoia in the Eighteenth Century</w:t>
      </w:r>
    </w:p>
    <w:p w14:paraId="1764107C" w14:textId="77777777" w:rsidR="003E3CAA" w:rsidRDefault="003E3CAA" w:rsidP="003E3CAA">
      <w:pPr>
        <w:widowControl w:val="0"/>
        <w:spacing w:line="480" w:lineRule="auto"/>
      </w:pPr>
      <w:r>
        <w:t xml:space="preserve">What does the pleasurable consumption of a conspiracy theory look like in practice? Importantly, </w:t>
      </w:r>
      <w:r>
        <w:lastRenderedPageBreak/>
        <w:t xml:space="preserve">such pleasurably erotic conspiracy theories do not exist in isolation. They are embedded in a complex web of conspiracy fictions. Indeed, recent scholarship has revealed that the </w:t>
      </w:r>
      <w:r w:rsidRPr="0064705B">
        <w:t xml:space="preserve">Illuminati crisis was </w:t>
      </w:r>
      <w:r>
        <w:t xml:space="preserve">only </w:t>
      </w:r>
      <w:r w:rsidRPr="0064705B">
        <w:t>one among several paranoiac fantasies associated with the French Revolution, the Haitian Revolution,</w:t>
      </w:r>
      <w:r>
        <w:t xml:space="preserve"> and</w:t>
      </w:r>
      <w:r w:rsidRPr="0064705B">
        <w:t xml:space="preserve"> the US Quasi-War with France.</w:t>
      </w:r>
      <w:r>
        <w:t xml:space="preserve"> Duncan </w:t>
      </w:r>
      <w:proofErr w:type="spellStart"/>
      <w:r>
        <w:t>Faherty</w:t>
      </w:r>
      <w:proofErr w:type="spellEnd"/>
      <w:r>
        <w:t>, for instance, has traced a widespread panic among newspaper editors and civic officials in 1802 as a flotilla of French prison ships reached the US coastline. Numerous observers feared that re-</w:t>
      </w:r>
      <w:r w:rsidRPr="004D047D">
        <w:t xml:space="preserve">enslaved revolutionaries from Saint-Domingue </w:t>
      </w:r>
      <w:r w:rsidR="004D047D" w:rsidRPr="004D047D">
        <w:t>and elsewhere in the West Indies</w:t>
      </w:r>
      <w:r w:rsidRPr="004D047D">
        <w:t xml:space="preserve"> </w:t>
      </w:r>
      <w:r>
        <w:t xml:space="preserve">would escape into the countryside, fomenting racial revolution. </w:t>
      </w:r>
      <w:proofErr w:type="spellStart"/>
      <w:r>
        <w:t>Faherty</w:t>
      </w:r>
      <w:proofErr w:type="spellEnd"/>
      <w:r>
        <w:t xml:space="preserve"> observes that stories of these prisoners circulated even after the ships themselves had departed, and that these stories often echoed the gothic horrors depicted in popular novels of the period.</w:t>
      </w:r>
      <w:r>
        <w:rPr>
          <w:rStyle w:val="EndnoteReference"/>
        </w:rPr>
        <w:endnoteReference w:id="39"/>
      </w:r>
      <w:r>
        <w:t xml:space="preserve"> The late eighteenth-century United States, like the early twenty-first century United States, was a place of counter-conspiratorial panic—panic </w:t>
      </w:r>
      <w:r w:rsidR="00D93728">
        <w:t>made manifest</w:t>
      </w:r>
      <w:r>
        <w:t xml:space="preserve"> in the aesthetic mode of sadomasochistic racialization. Anti-Illuminati texts not only articulated a disciplinary racial project. Rather, they were consumed as pleasurable, libidinal racialization alongside similar narratives, both the fictional and the (</w:t>
      </w:r>
      <w:r w:rsidR="00D93728">
        <w:t>putatively</w:t>
      </w:r>
      <w:r>
        <w:t>) factual.</w:t>
      </w:r>
    </w:p>
    <w:p w14:paraId="74D92688" w14:textId="77777777" w:rsidR="003E3CAA" w:rsidRDefault="003E3CAA" w:rsidP="003E3CAA">
      <w:pPr>
        <w:widowControl w:val="0"/>
        <w:spacing w:line="480" w:lineRule="auto"/>
        <w:ind w:firstLine="720"/>
      </w:pPr>
      <w:r>
        <w:t xml:space="preserve">To illustrate how anti-Illuminati fantasists spoke in the register of the pleasurably and recognizably gothic, I would like to return briefly to the Hartford attorney William Brown’s prediction that the Illuminati and their black allies would systematically rape and murder as they marched northward to New England. Brown’s predictions are shot through with the pleasurably literary, the pleasurably gothic. At a time when the novelist Charles </w:t>
      </w:r>
      <w:proofErr w:type="spellStart"/>
      <w:r>
        <w:t>Brockden</w:t>
      </w:r>
      <w:proofErr w:type="spellEnd"/>
      <w:r>
        <w:t xml:space="preserve"> Brown (no relation) is articulating a theory of </w:t>
      </w:r>
      <w:r w:rsidR="004D047D">
        <w:t xml:space="preserve">the </w:t>
      </w:r>
      <w:r>
        <w:t xml:space="preserve">gothic </w:t>
      </w:r>
      <w:r w:rsidR="004D047D">
        <w:t xml:space="preserve">novelist as a </w:t>
      </w:r>
      <w:r w:rsidR="004D047D" w:rsidRPr="004D047D">
        <w:t>kind of</w:t>
      </w:r>
      <w:r w:rsidRPr="004D047D">
        <w:t xml:space="preserve"> “paint</w:t>
      </w:r>
      <w:r w:rsidR="004D047D" w:rsidRPr="004D047D">
        <w:t>er</w:t>
      </w:r>
      <w:r w:rsidRPr="004D047D">
        <w:t xml:space="preserve">,” </w:t>
      </w:r>
      <w:r>
        <w:t>William Brown is suggesting that his listeners and readers “paint” for themselves a mental image Illuminati violence.</w:t>
      </w:r>
      <w:r w:rsidR="004D047D">
        <w:rPr>
          <w:rStyle w:val="EndnoteReference"/>
        </w:rPr>
        <w:endnoteReference w:id="40"/>
      </w:r>
      <w:r>
        <w:t xml:space="preserve"> William Brown writes:</w:t>
      </w:r>
    </w:p>
    <w:p w14:paraId="49A8262B" w14:textId="77777777" w:rsidR="003E3CAA" w:rsidRPr="00DC771C" w:rsidRDefault="003E3CAA" w:rsidP="003E3CAA">
      <w:pPr>
        <w:widowControl w:val="0"/>
        <w:spacing w:line="480" w:lineRule="auto"/>
        <w:ind w:left="1440"/>
      </w:pPr>
      <w:r w:rsidRPr="00FD39D6">
        <w:lastRenderedPageBreak/>
        <w:t xml:space="preserve">Imagination already conceives, myriads of furious Africans, collecting together </w:t>
      </w:r>
      <w:r w:rsidRPr="00DC771C">
        <w:t>the materials of vengeance, and marching in dread array, to the dwellings of their masters. Paint to yourselves, cities given up to indiscriminate plunder, villages sacked and burned, the country desolated, and the fields “watered with the blood of their cultivators.” Listen to the groans of wretched white-men, butchered by their infuriate slaves, the shrieks of mothers, and of virgins, a prey to more than demoniac lust and barbarity, and the cries of infants,</w:t>
      </w:r>
    </w:p>
    <w:p w14:paraId="52CD15B6" w14:textId="77777777" w:rsidR="003E3CAA" w:rsidRPr="00DC771C" w:rsidRDefault="003E3CAA" w:rsidP="003E3CAA">
      <w:pPr>
        <w:pStyle w:val="ListParagraph"/>
        <w:widowControl w:val="0"/>
        <w:numPr>
          <w:ilvl w:val="0"/>
          <w:numId w:val="5"/>
        </w:numPr>
        <w:spacing w:line="480" w:lineRule="auto"/>
      </w:pPr>
      <w:r w:rsidRPr="00DC771C">
        <w:t>“stabbed at the breast,</w:t>
      </w:r>
    </w:p>
    <w:p w14:paraId="20C6DC02" w14:textId="77777777" w:rsidR="003E3CAA" w:rsidRDefault="003E3CAA" w:rsidP="003E3CAA">
      <w:pPr>
        <w:widowControl w:val="0"/>
        <w:spacing w:line="480" w:lineRule="auto"/>
        <w:ind w:left="2160"/>
      </w:pPr>
      <w:r w:rsidRPr="00DC771C">
        <w:t>Or reeking on the points of sportive javelins.”</w:t>
      </w:r>
      <w:r>
        <w:rPr>
          <w:rStyle w:val="EndnoteReference"/>
        </w:rPr>
        <w:endnoteReference w:id="41"/>
      </w:r>
    </w:p>
    <w:p w14:paraId="07F2F9FE" w14:textId="77777777" w:rsidR="003E3CAA" w:rsidRDefault="003E3CAA" w:rsidP="00340766">
      <w:pPr>
        <w:widowControl w:val="0"/>
        <w:spacing w:line="480" w:lineRule="auto"/>
      </w:pPr>
      <w:r>
        <w:t>Brown calls upon his readers to perform acts of imagination. “Paint to yourselves” the portrait of Illuminati violence, he writes. “Imagination already conceives” the coming horror, he suggests. Indeed, Brown’s eighteenth-century readers were primed to conceive of the images Brown asked them to paint to themselves. Much of the passage is borrowed or adapted from other sources</w:t>
      </w:r>
      <w:r w:rsidRPr="00334B56">
        <w:t>: a popular translation of Cicero’s oration against Catiline (“the shrieks of mothers, the flight of children, and the violation of the vestal virgins”),</w:t>
      </w:r>
      <w:r w:rsidRPr="00334B56">
        <w:rPr>
          <w:rStyle w:val="EndnoteReference"/>
        </w:rPr>
        <w:endnoteReference w:id="42"/>
      </w:r>
      <w:r w:rsidRPr="00334B56">
        <w:t xml:space="preserve"> an anonymous essay in the </w:t>
      </w:r>
      <w:r w:rsidRPr="00334B56">
        <w:rPr>
          <w:u w:val="single"/>
        </w:rPr>
        <w:t>British Mercury</w:t>
      </w:r>
      <w:r w:rsidRPr="00334B56">
        <w:t xml:space="preserve"> (“overflowed with the blood of their cultivators”),</w:t>
      </w:r>
      <w:r w:rsidRPr="00334B56">
        <w:rPr>
          <w:rStyle w:val="EndnoteReference"/>
        </w:rPr>
        <w:endnoteReference w:id="43"/>
      </w:r>
      <w:r w:rsidRPr="00334B56">
        <w:t xml:space="preserve"> </w:t>
      </w:r>
      <w:r>
        <w:t>and even</w:t>
      </w:r>
      <w:r w:rsidRPr="00334B56">
        <w:t xml:space="preserve"> the Bible (“materials of vengeance,” Revelation 22:9)</w:t>
      </w:r>
      <w:r>
        <w:t xml:space="preserve">. But Brown reveals his ultimate aesthetic project with the final quotation, a line from Henry Brooke’s play, </w:t>
      </w:r>
      <w:proofErr w:type="spellStart"/>
      <w:r w:rsidRPr="00DC771C">
        <w:rPr>
          <w:u w:val="single"/>
        </w:rPr>
        <w:t>Gustavus</w:t>
      </w:r>
      <w:proofErr w:type="spellEnd"/>
      <w:r w:rsidRPr="00DC771C">
        <w:rPr>
          <w:u w:val="single"/>
        </w:rPr>
        <w:t xml:space="preserve"> Vasa</w:t>
      </w:r>
      <w:r>
        <w:t xml:space="preserve"> </w:t>
      </w:r>
      <w:r w:rsidRPr="004D047D">
        <w:t>(</w:t>
      </w:r>
      <w:r w:rsidR="004D047D" w:rsidRPr="004D047D">
        <w:t>173</w:t>
      </w:r>
      <w:r w:rsidRPr="004D047D">
        <w:t xml:space="preserve">9). As Laura Doyle describes it, </w:t>
      </w:r>
      <w:r>
        <w:t>the well-known drama retold the story of the “‘Gothic’ liberator of Sweden.”</w:t>
      </w:r>
      <w:r>
        <w:rPr>
          <w:rStyle w:val="EndnoteReference"/>
        </w:rPr>
        <w:endnoteReference w:id="44"/>
      </w:r>
      <w:r>
        <w:t xml:space="preserve"> Much of the </w:t>
      </w:r>
      <w:r w:rsidRPr="008F3227">
        <w:t>eighteenth-century literature that we would describe today as “gothic” would not have been described as such until the 1820</w:t>
      </w:r>
      <w:r w:rsidRPr="00340766">
        <w:t xml:space="preserve">s, and yet this literature was quite often associated with medieval castles and the histories of Germanic peoples. Horace Walpole’s </w:t>
      </w:r>
      <w:r w:rsidRPr="00340766">
        <w:rPr>
          <w:u w:val="single"/>
        </w:rPr>
        <w:t>The Castle of Otranto</w:t>
      </w:r>
      <w:r w:rsidRPr="00340766">
        <w:t xml:space="preserve"> (1765) was subtitled “a Gothic story.”</w:t>
      </w:r>
      <w:r w:rsidR="00340766" w:rsidRPr="00340766">
        <w:rPr>
          <w:rStyle w:val="EndnoteReference"/>
        </w:rPr>
        <w:endnoteReference w:id="45"/>
      </w:r>
      <w:r w:rsidRPr="008F3227">
        <w:t xml:space="preserve"> Charles </w:t>
      </w:r>
      <w:proofErr w:type="spellStart"/>
      <w:r w:rsidRPr="008F3227">
        <w:t>Brockden</w:t>
      </w:r>
      <w:proofErr w:type="spellEnd"/>
      <w:r w:rsidRPr="008F3227">
        <w:t xml:space="preserve"> Brown described the wilderness setting of his </w:t>
      </w:r>
      <w:r w:rsidRPr="004D047D">
        <w:lastRenderedPageBreak/>
        <w:t xml:space="preserve">novel, </w:t>
      </w:r>
      <w:r w:rsidRPr="004D047D">
        <w:rPr>
          <w:u w:val="single"/>
        </w:rPr>
        <w:t>Edgar Huntly</w:t>
      </w:r>
      <w:r w:rsidRPr="004D047D">
        <w:t xml:space="preserve"> (1799), as more frightening than the “Gothic castles and chimeras” </w:t>
      </w:r>
      <w:r>
        <w:t>of its European corollaries.</w:t>
      </w:r>
      <w:r w:rsidR="004D047D">
        <w:rPr>
          <w:rStyle w:val="EndnoteReference"/>
        </w:rPr>
        <w:endnoteReference w:id="46"/>
      </w:r>
      <w:r>
        <w:t xml:space="preserve"> And </w:t>
      </w:r>
      <w:proofErr w:type="spellStart"/>
      <w:r w:rsidRPr="006F3DB7">
        <w:rPr>
          <w:u w:val="single"/>
        </w:rPr>
        <w:t>Gustavus</w:t>
      </w:r>
      <w:proofErr w:type="spellEnd"/>
      <w:r w:rsidRPr="006F3DB7">
        <w:rPr>
          <w:u w:val="single"/>
        </w:rPr>
        <w:t xml:space="preserve"> Vasa</w:t>
      </w:r>
      <w:r>
        <w:t xml:space="preserve"> was absolutely “Gothic” in this sense: pleasurably </w:t>
      </w:r>
      <w:r w:rsidRPr="00340766">
        <w:t>frightening, sadistically violent, and (as its author described it) “Gothic and glorious.”</w:t>
      </w:r>
      <w:r w:rsidR="00340766">
        <w:rPr>
          <w:rStyle w:val="EndnoteReference"/>
        </w:rPr>
        <w:endnoteReference w:id="47"/>
      </w:r>
      <w:r w:rsidR="008F3227" w:rsidRPr="00340766">
        <w:t xml:space="preserve"> </w:t>
      </w:r>
      <w:r w:rsidRPr="00340766">
        <w:t xml:space="preserve">In </w:t>
      </w:r>
      <w:r>
        <w:t>short, William Brown’s prediction of Illuminati violence drew upon a recognizable, and even pleasurable, literary register. The coming violence would look precisely like the viole</w:t>
      </w:r>
      <w:r w:rsidR="008F3227">
        <w:t xml:space="preserve">nce of a popular “Gothic” play. Moreover, with the 1789 publication of formerly enslaved Londoner Olaudah Equiano’s life story, numerous readers might have known that the </w:t>
      </w:r>
      <w:r w:rsidR="00340766">
        <w:t xml:space="preserve">well-known </w:t>
      </w:r>
      <w:r w:rsidR="008F3227">
        <w:t xml:space="preserve">black writer also went by another name: </w:t>
      </w:r>
      <w:proofErr w:type="spellStart"/>
      <w:r w:rsidR="008F3227">
        <w:t>Gustavus</w:t>
      </w:r>
      <w:proofErr w:type="spellEnd"/>
      <w:r w:rsidR="008F3227">
        <w:t xml:space="preserve"> </w:t>
      </w:r>
      <w:proofErr w:type="spellStart"/>
      <w:r w:rsidR="00340766">
        <w:t>Vassa</w:t>
      </w:r>
      <w:proofErr w:type="spellEnd"/>
      <w:r w:rsidR="00340766">
        <w:t>.</w:t>
      </w:r>
      <w:r w:rsidR="00340766">
        <w:rPr>
          <w:rStyle w:val="EndnoteReference"/>
        </w:rPr>
        <w:endnoteReference w:id="48"/>
      </w:r>
      <w:r w:rsidR="00340766">
        <w:t xml:space="preserve"> In short, Brown’s description of horrific violence came laden with associations—with blackness, with the Gothic, with the pleasurably literary. Through Brown, readers came to</w:t>
      </w:r>
      <w:r>
        <w:t xml:space="preserve"> recognize the violent potentials of black men </w:t>
      </w:r>
      <w:r w:rsidR="00340766">
        <w:t xml:space="preserve">as akin to the violence those </w:t>
      </w:r>
      <w:r w:rsidR="008755E9">
        <w:t>same readers</w:t>
      </w:r>
      <w:r>
        <w:t xml:space="preserve"> already consumed in the safety of circulating libraries and parlors.</w:t>
      </w:r>
    </w:p>
    <w:p w14:paraId="0F6D40C5" w14:textId="77777777" w:rsidR="003E3CAA" w:rsidRDefault="003E3CAA" w:rsidP="003E3CAA">
      <w:pPr>
        <w:widowControl w:val="0"/>
        <w:spacing w:line="480" w:lineRule="auto"/>
      </w:pPr>
      <w:r>
        <w:tab/>
        <w:t xml:space="preserve">I </w:t>
      </w:r>
      <w:r w:rsidR="009723BB">
        <w:t>have</w:t>
      </w:r>
      <w:r>
        <w:t xml:space="preserve"> suggest</w:t>
      </w:r>
      <w:r w:rsidR="009723BB">
        <w:t>ed</w:t>
      </w:r>
      <w:r>
        <w:t xml:space="preserve"> that we can best understand the Illuminati crisis as a period of political paranoia, on the one hand, and as a literary project, on the other. As a literary project, moreover, the crisis borrowed its aesthetics from violent, even erotic, literature. The records of the New York Society Library at the time, for instance, hint at a just such a pleasurable relation between political paranoia and aesthetic consumption. Library patron John J. Watts checked out John Robinson’s anti-Illuminati treatise, </w:t>
      </w:r>
      <w:r>
        <w:rPr>
          <w:u w:val="single"/>
        </w:rPr>
        <w:t>Proofs of a Conspiracy</w:t>
      </w:r>
      <w:r>
        <w:t xml:space="preserve"> (1797), within days of checking out </w:t>
      </w:r>
      <w:r w:rsidRPr="008755E9">
        <w:t xml:space="preserve">Anne Radcliffe’s gothic novel, </w:t>
      </w:r>
      <w:r w:rsidRPr="008755E9">
        <w:rPr>
          <w:u w:val="single"/>
        </w:rPr>
        <w:t>The Italian; or, The Confessional of the Black Penitents</w:t>
      </w:r>
      <w:r w:rsidRPr="008755E9">
        <w:t xml:space="preserve"> (1797). </w:t>
      </w:r>
      <w:r>
        <w:t xml:space="preserve">Patron Rebecca </w:t>
      </w:r>
      <w:proofErr w:type="spellStart"/>
      <w:r>
        <w:t>Laight</w:t>
      </w:r>
      <w:proofErr w:type="spellEnd"/>
      <w:r>
        <w:t xml:space="preserve"> checked out </w:t>
      </w:r>
      <w:r w:rsidRPr="00C55FE9">
        <w:t xml:space="preserve">Augustin </w:t>
      </w:r>
      <w:proofErr w:type="spellStart"/>
      <w:r w:rsidRPr="00C55FE9">
        <w:t>Barruel</w:t>
      </w:r>
      <w:r>
        <w:t>’s</w:t>
      </w:r>
      <w:proofErr w:type="spellEnd"/>
      <w:r>
        <w:t xml:space="preserve"> counter-subversive study of the Illuminati only </w:t>
      </w:r>
      <w:r w:rsidRPr="00C55FE9">
        <w:rPr>
          <w:i/>
        </w:rPr>
        <w:t>one day</w:t>
      </w:r>
      <w:r>
        <w:t xml:space="preserve"> after returning the final volume of </w:t>
      </w:r>
      <w:r>
        <w:rPr>
          <w:u w:val="single"/>
        </w:rPr>
        <w:t xml:space="preserve">Rash Vows; or, The Effects of </w:t>
      </w:r>
      <w:r w:rsidRPr="008755E9">
        <w:rPr>
          <w:u w:val="single"/>
        </w:rPr>
        <w:t>Enthusiasm</w:t>
      </w:r>
      <w:r w:rsidRPr="008755E9">
        <w:t xml:space="preserve"> (</w:t>
      </w:r>
      <w:r w:rsidR="008755E9">
        <w:t>1799</w:t>
      </w:r>
      <w:r w:rsidRPr="008755E9">
        <w:t xml:space="preserve">), the fictional story of a woman whose sexual desire prevents her from </w:t>
      </w:r>
      <w:r>
        <w:t xml:space="preserve">keeping her vow of chastity. Library patron Thomas Delves also checked out </w:t>
      </w:r>
      <w:proofErr w:type="spellStart"/>
      <w:r>
        <w:t>Barruel’s</w:t>
      </w:r>
      <w:proofErr w:type="spellEnd"/>
      <w:r>
        <w:t xml:space="preserve"> study </w:t>
      </w:r>
      <w:r>
        <w:lastRenderedPageBreak/>
        <w:t xml:space="preserve">and, on the day he returned it, he borrowed all three volumes of </w:t>
      </w:r>
      <w:r>
        <w:rPr>
          <w:u w:val="single"/>
        </w:rPr>
        <w:t>Rash Vows</w:t>
      </w:r>
      <w:r>
        <w:t>.</w:t>
      </w:r>
      <w:r w:rsidR="008755E9">
        <w:rPr>
          <w:rStyle w:val="EndnoteReference"/>
        </w:rPr>
        <w:endnoteReference w:id="49"/>
      </w:r>
      <w:r>
        <w:t xml:space="preserve"> Novelistic treatments of illicit sexual desire were very much of a piece with ostensibly factual accounts of </w:t>
      </w:r>
      <w:r w:rsidRPr="009859C5">
        <w:t xml:space="preserve">Illuminati machinations: accounts of abortions that concealed illicit sexual relations, of the rape </w:t>
      </w:r>
      <w:r>
        <w:t>of white “virgins” by African men, and of secret cabals between enslavers and their enslaved laborers.</w:t>
      </w:r>
      <w:r w:rsidR="008755E9">
        <w:rPr>
          <w:rStyle w:val="EndnoteReference"/>
        </w:rPr>
        <w:endnoteReference w:id="50"/>
      </w:r>
      <w:r>
        <w:t xml:space="preserve"> Several of the librar</w:t>
      </w:r>
      <w:r w:rsidR="002D27DC">
        <w:t>y’s</w:t>
      </w:r>
      <w:r>
        <w:t xml:space="preserve"> patrons—including John T. Glover, John Le Conte, and John Mercier—checked out ostensibly factual accounts of the Illuminati </w:t>
      </w:r>
      <w:r>
        <w:rPr>
          <w:i/>
        </w:rPr>
        <w:t xml:space="preserve">and </w:t>
      </w:r>
      <w:r>
        <w:t>novelistic treatments of the international conspirators.</w:t>
      </w:r>
      <w:r w:rsidR="009859C5">
        <w:rPr>
          <w:rStyle w:val="EndnoteReference"/>
        </w:rPr>
        <w:endnoteReference w:id="51"/>
      </w:r>
      <w:r>
        <w:t xml:space="preserve"> While it is impossible to know precisely how library patrons were interacting with these texts (or even if they were reading them at all), one can nonetheless observe in these records that the ostensibly factual anti-Illuminati discourse occupied the same temporal and generic space as gothic fiction.</w:t>
      </w:r>
    </w:p>
    <w:p w14:paraId="6D5A8195" w14:textId="77777777" w:rsidR="003E3CAA" w:rsidRDefault="003E3CAA" w:rsidP="003E3CAA">
      <w:pPr>
        <w:widowControl w:val="0"/>
        <w:spacing w:line="480" w:lineRule="auto"/>
        <w:ind w:firstLine="720"/>
      </w:pPr>
      <w:r>
        <w:t>In the United States</w:t>
      </w:r>
      <w:r w:rsidRPr="00854EE1">
        <w:t>, moreover,</w:t>
      </w:r>
      <w:r>
        <w:t xml:space="preserve"> the authors of gothic fiction wrote obsessively about gendered and racialized bodies.</w:t>
      </w:r>
      <w:r w:rsidRPr="00971D88">
        <w:t xml:space="preserve"> </w:t>
      </w:r>
      <w:r>
        <w:t xml:space="preserve">In Charles </w:t>
      </w:r>
      <w:proofErr w:type="spellStart"/>
      <w:r>
        <w:t>Brockden</w:t>
      </w:r>
      <w:proofErr w:type="spellEnd"/>
      <w:r>
        <w:t xml:space="preserve"> Brown’s </w:t>
      </w:r>
      <w:r>
        <w:rPr>
          <w:u w:val="single"/>
        </w:rPr>
        <w:t>Ormond</w:t>
      </w:r>
      <w:r w:rsidRPr="00823983">
        <w:rPr>
          <w:u w:val="single"/>
        </w:rPr>
        <w:t>; or, The Secret Witness</w:t>
      </w:r>
      <w:r>
        <w:t xml:space="preserve"> (1799), the </w:t>
      </w:r>
      <w:r w:rsidR="002D27DC">
        <w:t>suspected</w:t>
      </w:r>
      <w:r>
        <w:t xml:space="preserve"> Illuminatus and attempted rapist Ormond occasionally disguises hi</w:t>
      </w:r>
      <w:r w:rsidR="00D10238">
        <w:t>mself as a “negro and a chimney-</w:t>
      </w:r>
      <w:r>
        <w:t>sweep” to gather intelligence</w:t>
      </w:r>
      <w:r w:rsidR="00BB53FC">
        <w:t>.</w:t>
      </w:r>
      <w:r w:rsidR="00BB53FC">
        <w:rPr>
          <w:rStyle w:val="EndnoteReference"/>
        </w:rPr>
        <w:endnoteReference w:id="52"/>
      </w:r>
      <w:r>
        <w:t xml:space="preserve"> In Sally </w:t>
      </w:r>
      <w:proofErr w:type="spellStart"/>
      <w:r>
        <w:t>Sayward</w:t>
      </w:r>
      <w:proofErr w:type="spellEnd"/>
      <w:r>
        <w:t xml:space="preserve"> Barrell Keating Wood’s </w:t>
      </w:r>
      <w:r>
        <w:rPr>
          <w:u w:val="single"/>
        </w:rPr>
        <w:t xml:space="preserve">Julia, and </w:t>
      </w:r>
      <w:r w:rsidRPr="00823983">
        <w:rPr>
          <w:u w:val="single"/>
        </w:rPr>
        <w:t>The Illuminated Baron</w:t>
      </w:r>
      <w:r w:rsidRPr="00271F45">
        <w:t xml:space="preserve"> (1</w:t>
      </w:r>
      <w:r>
        <w:t>800</w:t>
      </w:r>
      <w:r w:rsidRPr="00271F45">
        <w:t>)</w:t>
      </w:r>
      <w:r>
        <w:t>, a less widely known novel of the Illuminati crisis, a central character nearly drowns and, when he awakes, is surrounded by “sooty sons of Africa</w:t>
      </w:r>
      <w:r w:rsidR="002D27DC">
        <w:t>.</w:t>
      </w:r>
      <w:r>
        <w:t>” The initial threat—who are these black men?—gives way to relief as he realizes that he has landed at Mount Vernon. The black men, he writes, are “the servants, or rather humble friends, of the Illustrious WASHINGTON; from him they had learnt to follow the dictates of humanity, to obey the impulse of benevolence, and to tread on the broad paths of philanthropy</w:t>
      </w:r>
      <w:r w:rsidR="00BB53FC">
        <w:t>.</w:t>
      </w:r>
      <w:r>
        <w:t>”</w:t>
      </w:r>
      <w:r w:rsidR="00BB53FC">
        <w:rPr>
          <w:rStyle w:val="EndnoteReference"/>
        </w:rPr>
        <w:endnoteReference w:id="53"/>
      </w:r>
      <w:r>
        <w:t xml:space="preserve"> Wood’s language strains for control of the racial hierarchy. The enslaved men are, initially, “servants” to the former president. Then, they are imagined as “humble friends.” They have learned from their enslaver—or, rather, their “fri</w:t>
      </w:r>
      <w:r w:rsidR="002D27DC">
        <w:t xml:space="preserve">end”—to “obey” and to “follow.” </w:t>
      </w:r>
      <w:r w:rsidRPr="00E9205A">
        <w:rPr>
          <w:u w:val="single"/>
        </w:rPr>
        <w:lastRenderedPageBreak/>
        <w:t>Ormond</w:t>
      </w:r>
      <w:r>
        <w:t xml:space="preserve"> and </w:t>
      </w:r>
      <w:r w:rsidRPr="00E9205A">
        <w:rPr>
          <w:u w:val="single"/>
        </w:rPr>
        <w:t>Julia</w:t>
      </w:r>
      <w:r>
        <w:t xml:space="preserve"> were published within months of each other, and each expresses profound anxiety about the relation between blackness and international conspiracy. Would the US racial hierarchy provide a tool of foreign subversion (as in the case of </w:t>
      </w:r>
      <w:r w:rsidRPr="00E9205A">
        <w:rPr>
          <w:u w:val="single"/>
        </w:rPr>
        <w:t>Ormond</w:t>
      </w:r>
      <w:r>
        <w:t xml:space="preserve">), or would the loyalty of sub-sovereign US subjects remain inviolable (as in the case of </w:t>
      </w:r>
      <w:r w:rsidRPr="00E9205A">
        <w:rPr>
          <w:u w:val="single"/>
        </w:rPr>
        <w:t>Julia</w:t>
      </w:r>
      <w:r>
        <w:t>)? The answer was hardly a foregone conclusion.</w:t>
      </w:r>
    </w:p>
    <w:p w14:paraId="442A1DED" w14:textId="77777777" w:rsidR="003E3CAA" w:rsidRDefault="003E3CAA" w:rsidP="003E3CAA">
      <w:pPr>
        <w:widowControl w:val="0"/>
        <w:spacing w:line="480" w:lineRule="auto"/>
        <w:ind w:firstLine="720"/>
      </w:pPr>
      <w:r>
        <w:t>Anti-Illuminati sermons, orations, pamphlets, and even novels enabled writers and readers to focus their attention inward. The lurid descriptions of white women’s bodies and the bodies of black people provided by these texts were, in many ways, the work of fantasists concerned with and titillated by the imagined inversion of a system of sexual domination by white men. For one anonymous counter-subversive writer, for instance, the true horror of the Illuminati lay in their attack on biological reproduction. He described French revolutionaries as murdering the “unborn fruit of the womb,” and added that the present political moment was a gothic doppelganger of a reproductive woman’s body: “big with danger and pregnant with horrid machinations.”</w:t>
      </w:r>
      <w:r>
        <w:rPr>
          <w:rStyle w:val="EndnoteReference"/>
        </w:rPr>
        <w:endnoteReference w:id="54"/>
      </w:r>
      <w:r>
        <w:t xml:space="preserve"> For another anti-Illuminati orator, the impending conflagration was a punishment of Christians in the North for having allowed the sin slavery to persist. “We know where we are most vulnerable,” he writes, “and melancholy is the tale of St. Domingo.”</w:t>
      </w:r>
      <w:r>
        <w:rPr>
          <w:rStyle w:val="EndnoteReference"/>
        </w:rPr>
        <w:endnoteReference w:id="55"/>
      </w:r>
      <w:r>
        <w:t xml:space="preserve"> Counter-subversive texts wove together fantasies of sexual and racial violence, but these fantasies often bore little relation to the actual violence of Atlantic revolutions. They were solipsistic fictions, and very often fictions that did little to conceal their fictionality. One countersubversive writer even suggested that “slaveholders in either Carolina or Virginia” had set their enslaved laborers free in order to “involve the whole country in rebellion and bloodshed.”</w:t>
      </w:r>
      <w:r>
        <w:rPr>
          <w:rStyle w:val="EndnoteReference"/>
        </w:rPr>
        <w:endnoteReference w:id="56"/>
      </w:r>
      <w:r>
        <w:t xml:space="preserve"> Such a claim—that southern enslavers would </w:t>
      </w:r>
      <w:r>
        <w:rPr>
          <w:i/>
        </w:rPr>
        <w:t xml:space="preserve">intentionally </w:t>
      </w:r>
      <w:r>
        <w:t xml:space="preserve">foment a revolution by the enslaved—only makes sense if one does not seek to inquire too closely into the actual </w:t>
      </w:r>
      <w:r>
        <w:lastRenderedPageBreak/>
        <w:t>operations of political and economic power and instead focuses exclusively upon the object of horror and desire: bodies construed through discourse as black, as female, or as both.</w:t>
      </w:r>
    </w:p>
    <w:p w14:paraId="1ECADD0C" w14:textId="77777777" w:rsidR="003E3CAA" w:rsidRDefault="003E3CAA" w:rsidP="003E3CAA">
      <w:pPr>
        <w:widowControl w:val="0"/>
        <w:spacing w:line="480" w:lineRule="auto"/>
        <w:ind w:firstLine="720"/>
      </w:pPr>
      <w:r>
        <w:t xml:space="preserve">Indeed, horror and desire constituted the twinned manifestations of counter-conspiratorial fantasists. For Morse, French subversion constituted an act of national seduction. Nations, he writes, are “easy prey” unless they are “vigorous, active, and united in opposing” these “insidious and seductive </w:t>
      </w:r>
      <w:r>
        <w:rPr>
          <w:i/>
        </w:rPr>
        <w:t>arts</w:t>
      </w:r>
      <w:r w:rsidR="00BB53FC">
        <w:rPr>
          <w:i/>
        </w:rPr>
        <w:t>.</w:t>
      </w:r>
      <w:r>
        <w:t>”</w:t>
      </w:r>
      <w:r w:rsidR="00BB53FC">
        <w:rPr>
          <w:rStyle w:val="EndnoteReference"/>
        </w:rPr>
        <w:endnoteReference w:id="57"/>
      </w:r>
      <w:r>
        <w:t xml:space="preserve"> Literary scholars have long noted the relation between seduction and US democracy. For Elizabeth Barnes, narratives of seduction in the early republic were the inevitable result of “the complicated relationship between coercion and consent characteristic of democratic disciplinary agendas.”</w:t>
      </w:r>
      <w:r>
        <w:rPr>
          <w:rStyle w:val="EndnoteReference"/>
        </w:rPr>
        <w:endnoteReference w:id="58"/>
      </w:r>
      <w:r>
        <w:t xml:space="preserve"> In short, a society based upon (ostensibly) horizontal affiliation required a discourse that could parse the distinctions between legitimate and illegitimate versions of coerced consent—that could distinguish between the loving but coercive father and the coercive (but illegitimate) lover. As a result, novels of </w:t>
      </w:r>
      <w:r w:rsidRPr="00BB53FC">
        <w:t xml:space="preserve">seduction proliferated, including novels featuring Illuminati as villains and antagonists. The </w:t>
      </w:r>
      <w:r>
        <w:t xml:space="preserve">proliferation of such novels is notable in this context because Morse echoes their operative logics when he describes the </w:t>
      </w:r>
      <w:r w:rsidR="002D27DC">
        <w:t>violence of black men</w:t>
      </w:r>
      <w:r>
        <w:t xml:space="preserve"> as an example of the “seductive </w:t>
      </w:r>
      <w:r w:rsidRPr="000041FB">
        <w:rPr>
          <w:i/>
        </w:rPr>
        <w:t>arts</w:t>
      </w:r>
      <w:r>
        <w:t xml:space="preserve">.” Counter-subversive writers feared that foreigners—from French </w:t>
      </w:r>
      <w:r w:rsidRPr="00D10238">
        <w:rPr>
          <w:i/>
        </w:rPr>
        <w:t>philosophes</w:t>
      </w:r>
      <w:r>
        <w:t xml:space="preserve"> to West Indian black soldiers—would seduce and coerce sub-sovereign members of the new US family (white women, enslaved blacks) into unsanctioned relations of sexual violence. But they also </w:t>
      </w:r>
      <w:r w:rsidRPr="002D27DC">
        <w:rPr>
          <w:i/>
        </w:rPr>
        <w:t>fantasized</w:t>
      </w:r>
      <w:r>
        <w:t xml:space="preserve"> about this possibility, and their fantasies took on the qualities of popular, gothic fiction. They consumed their horror as pleasure.</w:t>
      </w:r>
    </w:p>
    <w:p w14:paraId="678EE7EE" w14:textId="77777777" w:rsidR="003E3CAA" w:rsidRDefault="003E3CAA" w:rsidP="003E3CAA">
      <w:pPr>
        <w:widowControl w:val="0"/>
        <w:spacing w:line="480" w:lineRule="auto"/>
      </w:pPr>
      <w:r>
        <w:tab/>
        <w:t xml:space="preserve">Racial democracy depends upon a set of mediating fictions—about membership in a political community, about the collective past, about the inevitable future. And yet consumers of these fictions need not believe in their factuality in order to adhere to their operative logics. </w:t>
      </w:r>
      <w:r>
        <w:lastRenderedPageBreak/>
        <w:t>Fictions are pleasurable. It hardly matters whether eighteenth-century readers distinguished between the ostensibly factual accounts of Illuminati collaboration with enslaved black people and the fictional account of Ormond covering himself with soot to pass for a “negro” in the streets of Philadelphia. Readers consumed the obviously fictional alongside the ostensibly factual. Library patrons borrowed putatively accurate accounts of the Illuminati even as they borrowed gothic novels. Readers found in accounts of the Illuminati conspiracy, moreover, the kind of titillation they encountered in such gothic novels. Counter-subversive writers described white New England women transformed into “concubines.”</w:t>
      </w:r>
      <w:r>
        <w:rPr>
          <w:rStyle w:val="EndnoteReference"/>
        </w:rPr>
        <w:endnoteReference w:id="59"/>
      </w:r>
      <w:r>
        <w:t xml:space="preserve"> They described secret sexual liaisons concealed by illicit abortions</w:t>
      </w:r>
      <w:r w:rsidR="00BB53FC">
        <w:t>.</w:t>
      </w:r>
      <w:r w:rsidR="00BB53FC">
        <w:rPr>
          <w:rStyle w:val="EndnoteReference"/>
        </w:rPr>
        <w:endnoteReference w:id="60"/>
      </w:r>
      <w:r>
        <w:t xml:space="preserve"> They offered readers the chance to linger over words describing the rape of white virginal women by “infuriate” </w:t>
      </w:r>
      <w:r w:rsidR="002D27DC">
        <w:t>black</w:t>
      </w:r>
      <w:r>
        <w:t xml:space="preserve"> men</w:t>
      </w:r>
      <w:r w:rsidR="00BB53FC">
        <w:t>.</w:t>
      </w:r>
      <w:r w:rsidR="00BB53FC">
        <w:rPr>
          <w:rStyle w:val="EndnoteReference"/>
        </w:rPr>
        <w:endnoteReference w:id="61"/>
      </w:r>
      <w:r w:rsidR="00BB53FC">
        <w:t xml:space="preserve"> </w:t>
      </w:r>
      <w:r>
        <w:t>Fiction, like race, is as much a technology of pleasure as a technology of power—and conspiracy theories are indeed a kind of fiction. In a racial democracy, the production and consumption of counter-subversive fiction authorizes libidinal pleasures. The consumer of such fiction is offered a totalizing view of the world. He is offered control over a fictive field of discourse. And he is offered fantasies of sexual domination and sexual subjection that are (to him) materially harmless. Debates about the political authority of orthodox Congregational churches</w:t>
      </w:r>
      <w:r w:rsidR="00D93728">
        <w:t>, a central point of contention during the 1790s,</w:t>
      </w:r>
      <w:r>
        <w:t xml:space="preserve"> have long since been left in the past. </w:t>
      </w:r>
      <w:r w:rsidR="00D93728">
        <w:t>Y</w:t>
      </w:r>
      <w:r>
        <w:t xml:space="preserve">et the aesthetics of the Illuminati crisis—essentially, the </w:t>
      </w:r>
      <w:r w:rsidR="002D27DC">
        <w:t>masochistic</w:t>
      </w:r>
      <w:r>
        <w:t xml:space="preserve"> </w:t>
      </w:r>
      <w:proofErr w:type="spellStart"/>
      <w:r>
        <w:t>pornotropes</w:t>
      </w:r>
      <w:proofErr w:type="spellEnd"/>
      <w:r>
        <w:t xml:space="preserve"> of Illuminati rape fantasies—have proven alarmingly recurrent. They are, I would suggest, very much with us today.</w:t>
      </w:r>
    </w:p>
    <w:p w14:paraId="706475BE" w14:textId="77777777" w:rsidR="003E3CAA" w:rsidRDefault="003E3CAA" w:rsidP="003E3CAA">
      <w:pPr>
        <w:widowControl w:val="0"/>
        <w:spacing w:line="480" w:lineRule="auto"/>
        <w:rPr>
          <w:smallCaps/>
        </w:rPr>
      </w:pPr>
    </w:p>
    <w:p w14:paraId="5905E385" w14:textId="77777777" w:rsidR="003E3CAA" w:rsidRPr="003314C7" w:rsidRDefault="003E3CAA" w:rsidP="003E3CAA">
      <w:pPr>
        <w:widowControl w:val="0"/>
        <w:spacing w:line="480" w:lineRule="auto"/>
        <w:rPr>
          <w:smallCaps/>
        </w:rPr>
      </w:pPr>
      <w:r>
        <w:rPr>
          <w:smallCaps/>
        </w:rPr>
        <w:t xml:space="preserve">The </w:t>
      </w:r>
      <w:proofErr w:type="spellStart"/>
      <w:r>
        <w:rPr>
          <w:smallCaps/>
        </w:rPr>
        <w:t>Pornotropes</w:t>
      </w:r>
      <w:proofErr w:type="spellEnd"/>
      <w:r>
        <w:rPr>
          <w:smallCaps/>
        </w:rPr>
        <w:t xml:space="preserve"> of Contemporary Political Reaction</w:t>
      </w:r>
    </w:p>
    <w:p w14:paraId="51F65BED" w14:textId="77777777" w:rsidR="003E3CAA" w:rsidRDefault="003E3CAA" w:rsidP="003E3CAA">
      <w:pPr>
        <w:spacing w:line="480" w:lineRule="auto"/>
      </w:pPr>
      <w:r>
        <w:t>Shortly before 5:00 PM Eastern Standard Time on October 7, 2016, less than an hour after the leak of a video in which then-Republican presidential nomine</w:t>
      </w:r>
      <w:r w:rsidR="00D10238">
        <w:t xml:space="preserve">e Donald J. Trump bragged about </w:t>
      </w:r>
      <w:r>
        <w:lastRenderedPageBreak/>
        <w:t xml:space="preserve">groping women without their consent, the Wikileaks website began to release e-mails from the account of Hillary Clinton campaign manager John Podesta. Once Podesta’s e-mails began to circulate, numerous users on the Internet imageboard 4chan began to speculate about Podesta’s frequent references to “cheese pizza.” For those familiar with the operations of a political campaign—an organization that depends upon numerous volunteers, interns, and staffers—the idea of a campaign manager ordering cheese pizza would seem innocuous. But on 4chan, “cheese pizza” frequently served as code for child pornography. Equally suspicious, to anonymous 4chan writers, were Podesta’s discussions about Italian fine dining, including </w:t>
      </w:r>
      <w:r w:rsidRPr="00BB53FC">
        <w:t xml:space="preserve">Ligurian cuisine. Surely, 4chan users speculated, references to “walnut sauce” must have been </w:t>
      </w:r>
      <w:r>
        <w:t>code for sexual activity. Within a month, 4chan users had collectively authored an elaborate conspiracy theory. According to this theory, Podesta and his brother, Tony Podesta, were the masterminds of an international child-sex ring centered around a Washington, DC, pizza parlor. The two had, according to this theory, kidnapped the white British child Madeleine McCann (who had disappeared in Portugal in 2007) and had organized lurid forms of sexual exploitation and murder involving then-Democratic presidential nominee Hillary Rodham Clinton, then-President Barack Obama, and others. From the imagined subterranean seraglio beneath the pizza parlor, to the wholly invented “kill room” in the back of the restaurant’s kitchen, to the Italian-American aesthetes behind the entire operation, the story that emerged was positively gothic.</w:t>
      </w:r>
      <w:r w:rsidR="00916E43">
        <w:rPr>
          <w:rStyle w:val="EndnoteReference"/>
        </w:rPr>
        <w:endnoteReference w:id="62"/>
      </w:r>
    </w:p>
    <w:p w14:paraId="7331818A" w14:textId="77777777" w:rsidR="003E3CAA" w:rsidRDefault="003E3CAA" w:rsidP="00916E43">
      <w:pPr>
        <w:spacing w:line="480" w:lineRule="auto"/>
      </w:pPr>
      <w:r>
        <w:tab/>
        <w:t xml:space="preserve">It was, moreover, </w:t>
      </w:r>
      <w:proofErr w:type="spellStart"/>
      <w:r>
        <w:t>pornotropic</w:t>
      </w:r>
      <w:proofErr w:type="spellEnd"/>
      <w:r>
        <w:t xml:space="preserve">. Whatever else it might be, 4chan is a website through which users share highly racialized pornography. Even more significantly, political discussions on the </w:t>
      </w:r>
      <w:r w:rsidR="00D10238">
        <w:t xml:space="preserve">website often center on </w:t>
      </w:r>
      <w:r>
        <w:t xml:space="preserve">racialized fantasies of sexual subjection. Users openly discuss, for instance, whether white women disproportionately favor progressive social policies because they are “subconsciously longing” for the bodies of “brown exotic” men, for sexual liaisons with </w:t>
      </w:r>
      <w:r>
        <w:lastRenderedPageBreak/>
        <w:t>“dominant animalistic” racial others</w:t>
      </w:r>
      <w:r w:rsidR="00916E43">
        <w:t>.</w:t>
      </w:r>
      <w:r w:rsidR="00916E43">
        <w:rPr>
          <w:rStyle w:val="EndnoteReference"/>
        </w:rPr>
        <w:endnoteReference w:id="63"/>
      </w:r>
      <w:r w:rsidR="00916E43">
        <w:t xml:space="preserve"> </w:t>
      </w:r>
      <w:r>
        <w:t xml:space="preserve">In these discussions, questions about the free movement of people or the future of democratic systems often devolve into discussions about the imagined, subversive alliance between global intellectual elites and subaltern and post-colonial subjects. Discussions on 4chan, in other words, manifest the same sadomasochistic aesthetics that have characterized prior gothic political fictions. It should come as no surprise, then, that 4chan users collectively authored a gothic narrative in which black men, white women, and </w:t>
      </w:r>
      <w:r w:rsidR="00C60F21">
        <w:t>cosmopolitan</w:t>
      </w:r>
      <w:r>
        <w:t xml:space="preserve"> elites (in this case, two Italian-American men) conspired to kidnap, rape, murder, </w:t>
      </w:r>
      <w:r w:rsidR="002D27DC">
        <w:t xml:space="preserve">and </w:t>
      </w:r>
      <w:r>
        <w:t>seize control of the US nation-state.</w:t>
      </w:r>
    </w:p>
    <w:p w14:paraId="4D43814B" w14:textId="77777777" w:rsidR="003E3CAA" w:rsidRDefault="003E3CAA" w:rsidP="003E3CAA">
      <w:pPr>
        <w:spacing w:line="480" w:lineRule="auto"/>
      </w:pPr>
      <w:r>
        <w:tab/>
        <w:t xml:space="preserve">Many observers of the </w:t>
      </w:r>
      <w:r w:rsidR="00C60F21">
        <w:t xml:space="preserve">present, </w:t>
      </w:r>
      <w:r>
        <w:t xml:space="preserve">ongoing political crisis have settled upon the question of whether those who articulate conspiracy theories truly believe them. </w:t>
      </w:r>
      <w:r w:rsidRPr="00737BBA">
        <w:rPr>
          <w:u w:val="single"/>
        </w:rPr>
        <w:t xml:space="preserve">The </w:t>
      </w:r>
      <w:r>
        <w:rPr>
          <w:u w:val="single"/>
        </w:rPr>
        <w:t>New Yorker</w:t>
      </w:r>
      <w:r w:rsidRPr="00737BBA">
        <w:t>’s</w:t>
      </w:r>
      <w:r>
        <w:t xml:space="preserve"> Amy Davidson, for instance, observed that high-ranking Republican officials, including former National Security Advisor Michael Flynn, were responsible for disseminating this story, which came to be known as </w:t>
      </w:r>
      <w:proofErr w:type="spellStart"/>
      <w:r>
        <w:t>Pizzagate</w:t>
      </w:r>
      <w:proofErr w:type="spellEnd"/>
      <w:r>
        <w:t xml:space="preserve">. “Which is more alarming,” Davidson asked, “the idea that </w:t>
      </w:r>
      <w:proofErr w:type="spellStart"/>
      <w:r>
        <w:t>Pizzagate</w:t>
      </w:r>
      <w:proofErr w:type="spellEnd"/>
      <w:r>
        <w:t xml:space="preserve"> is being promoted by politically motivated cynics who don’t actually believe it, or that people with influence and proximity to power, including people with access to the [then] President-elect, are really susceptible to this sort of nonsense.”</w:t>
      </w:r>
      <w:r>
        <w:rPr>
          <w:rStyle w:val="EndnoteReference"/>
        </w:rPr>
        <w:endnoteReference w:id="64"/>
      </w:r>
      <w:r>
        <w:t xml:space="preserve"> I would suggest, however, that Davidson’s</w:t>
      </w:r>
      <w:r w:rsidR="002D27DC">
        <w:t xml:space="preserve"> question</w:t>
      </w:r>
      <w:r>
        <w:t xml:space="preserve"> </w:t>
      </w:r>
      <w:r w:rsidR="00D10238">
        <w:t>misses something important about the aesthetic experience of counters-subversive fantasy</w:t>
      </w:r>
      <w:r>
        <w:t xml:space="preserve">. Conspiracy theories, I suggest, can be understood as objects of erotic pleasure. When eighteenth-century counter-subversive William </w:t>
      </w:r>
      <w:proofErr w:type="spellStart"/>
      <w:r>
        <w:t>Bently</w:t>
      </w:r>
      <w:proofErr w:type="spellEnd"/>
      <w:r>
        <w:t xml:space="preserve"> published in Boston a pamphlet </w:t>
      </w:r>
      <w:r w:rsidR="002D27DC">
        <w:t>summarizing</w:t>
      </w:r>
      <w:r>
        <w:t xml:space="preserve"> the charges against the Illuminati, he lingered upon the rumor that the organization’s founder, Adam </w:t>
      </w:r>
      <w:proofErr w:type="spellStart"/>
      <w:r>
        <w:t>Weishaupt</w:t>
      </w:r>
      <w:proofErr w:type="spellEnd"/>
      <w:r>
        <w:t>, had carried on an illicit affair with his brother’s wife, and that this affair had culminated in the abortion of an illegitimate fetus</w:t>
      </w:r>
      <w:r w:rsidR="00916E43">
        <w:t>.</w:t>
      </w:r>
      <w:r w:rsidR="00916E43">
        <w:rPr>
          <w:rStyle w:val="EndnoteReference"/>
        </w:rPr>
        <w:endnoteReference w:id="65"/>
      </w:r>
      <w:r w:rsidR="00916E43">
        <w:t xml:space="preserve"> </w:t>
      </w:r>
      <w:proofErr w:type="spellStart"/>
      <w:r>
        <w:t>Bently</w:t>
      </w:r>
      <w:proofErr w:type="spellEnd"/>
      <w:r>
        <w:t xml:space="preserve"> lingered, in short, on the titillating. When William Brown offered his own description of the Illuminati, he </w:t>
      </w:r>
      <w:r>
        <w:lastRenderedPageBreak/>
        <w:t xml:space="preserve">described for readers the rape of white virginal women by </w:t>
      </w:r>
      <w:r w:rsidR="003958E7">
        <w:t>black</w:t>
      </w:r>
      <w:r>
        <w:t xml:space="preserve"> men.</w:t>
      </w:r>
      <w:r>
        <w:rPr>
          <w:rStyle w:val="EndnoteReference"/>
        </w:rPr>
        <w:endnoteReference w:id="66"/>
      </w:r>
      <w:r>
        <w:t xml:space="preserve"> When Jedidiah Morse imagined the Illuminati in the United States, he described an army of black men practicing the “seductive </w:t>
      </w:r>
      <w:r w:rsidRPr="00AF2857">
        <w:rPr>
          <w:i/>
        </w:rPr>
        <w:t>arts</w:t>
      </w:r>
      <w:r w:rsidR="00916E43">
        <w:t>.”</w:t>
      </w:r>
      <w:r w:rsidR="00916E43">
        <w:rPr>
          <w:rStyle w:val="EndnoteReference"/>
        </w:rPr>
        <w:endnoteReference w:id="67"/>
      </w:r>
      <w:r>
        <w:t xml:space="preserve"> The pleasures of fiction, particularly gothic or erotic fiction, are hardly rational, but they nonetheless provide a</w:t>
      </w:r>
      <w:r w:rsidR="003958E7">
        <w:t xml:space="preserve"> pleasurable</w:t>
      </w:r>
      <w:r>
        <w:t xml:space="preserve"> means of ordering the world.</w:t>
      </w:r>
    </w:p>
    <w:p w14:paraId="31C40552" w14:textId="77777777" w:rsidR="003E3CAA" w:rsidRDefault="003E3CAA" w:rsidP="003958E7">
      <w:pPr>
        <w:spacing w:line="480" w:lineRule="auto"/>
      </w:pPr>
      <w:r>
        <w:tab/>
        <w:t>In “Paranoid Style,” Hofstadter observed in passing that conspiracy very often function</w:t>
      </w:r>
      <w:r w:rsidR="003958E7">
        <w:t>s</w:t>
      </w:r>
      <w:r>
        <w:t xml:space="preserve"> </w:t>
      </w:r>
      <w:r w:rsidRPr="00916E43">
        <w:t>as a kind of “pornography” for political outsiders.</w:t>
      </w:r>
      <w:r w:rsidR="00916E43" w:rsidRPr="00916E43">
        <w:rPr>
          <w:rStyle w:val="EndnoteReference"/>
        </w:rPr>
        <w:endnoteReference w:id="68"/>
      </w:r>
      <w:r w:rsidRPr="00916E43">
        <w:t xml:space="preserve"> I would suggest, however, that the </w:t>
      </w:r>
      <w:proofErr w:type="spellStart"/>
      <w:r w:rsidRPr="00916E43">
        <w:t>pornotropes</w:t>
      </w:r>
      <w:proofErr w:type="spellEnd"/>
      <w:r w:rsidRPr="00916E43">
        <w:t xml:space="preserve"> </w:t>
      </w:r>
      <w:r>
        <w:t>of paranoid counter-subversion represent not only pornographic titillation, but a coherent political aesthetic. Figurations of erotic desire and disgust, as Laura Mulvey writes, are very often significations that fix and freeze</w:t>
      </w:r>
      <w:r w:rsidR="003958E7">
        <w:t xml:space="preserve"> historic events “</w:t>
      </w:r>
      <w:r>
        <w:t>outside of rational memory and individual chronology.”</w:t>
      </w:r>
      <w:r>
        <w:rPr>
          <w:rStyle w:val="EndnoteReference"/>
        </w:rPr>
        <w:endnoteReference w:id="69"/>
      </w:r>
      <w:r>
        <w:t xml:space="preserve"> </w:t>
      </w:r>
      <w:r w:rsidR="003958E7">
        <w:t>O</w:t>
      </w:r>
      <w:r>
        <w:t xml:space="preserve">bjects of desire and repulsion, Mulvey contends, retain the markers through which we can trace their origins in the real world of suffering, violence, and trauma. It should be unsurprising, then, that those who share child pornography under the sobriquet “cheese pizza” would offer their own paranoid readings of a Washington, DC, pizza parlor. It should be unsurprising that those who lived in cities where nominally free black women were forced via debt to perform sex acts for white men would fixate upon the </w:t>
      </w:r>
      <w:proofErr w:type="spellStart"/>
      <w:r>
        <w:t>erotics</w:t>
      </w:r>
      <w:proofErr w:type="spellEnd"/>
      <w:r>
        <w:t xml:space="preserve"> of racial subjection. In the pages of the </w:t>
      </w:r>
      <w:r w:rsidRPr="008A6885">
        <w:rPr>
          <w:u w:val="single"/>
        </w:rPr>
        <w:t>New Yorker</w:t>
      </w:r>
      <w:r>
        <w:t>, Davidson asked if US political conservatives “are really susceptible to this sort of nonsense.”</w:t>
      </w:r>
      <w:r>
        <w:rPr>
          <w:rStyle w:val="EndnoteReference"/>
        </w:rPr>
        <w:endnoteReference w:id="70"/>
      </w:r>
      <w:r>
        <w:t xml:space="preserve"> But the “nonsense” of political paranoia makes sense to its consumers, even if it is non</w:t>
      </w:r>
      <w:r w:rsidR="003958E7">
        <w:t>-rational, implausible, and</w:t>
      </w:r>
      <w:r>
        <w:t xml:space="preserve"> gothic. Paranoia is fiction, and fiction is pleasurable.</w:t>
      </w:r>
    </w:p>
    <w:p w14:paraId="480CE3EB" w14:textId="77777777" w:rsidR="00AF2DD6" w:rsidRDefault="00AF6B36" w:rsidP="003E3CAA">
      <w:pPr>
        <w:spacing w:line="480" w:lineRule="auto"/>
      </w:pPr>
      <w:r>
        <w:tab/>
        <w:t>The resurgent far right in the United States has revealed itself as a group united as much by the sadomasochistic aesthetics</w:t>
      </w:r>
      <w:r w:rsidR="00FB114A">
        <w:t xml:space="preserve"> of counter-subversive fantasy</w:t>
      </w:r>
      <w:r>
        <w:t xml:space="preserve"> as by a coherent political program. </w:t>
      </w:r>
      <w:r w:rsidR="00FB114A">
        <w:t>The newly visible</w:t>
      </w:r>
      <w:r>
        <w:t xml:space="preserve"> interplay between </w:t>
      </w:r>
      <w:r w:rsidR="001537CB">
        <w:t xml:space="preserve">the </w:t>
      </w:r>
      <w:r>
        <w:t xml:space="preserve">pornographic </w:t>
      </w:r>
      <w:r w:rsidR="007F6303">
        <w:t>and the political</w:t>
      </w:r>
      <w:r w:rsidR="00FB114A">
        <w:t xml:space="preserve">, moreover, </w:t>
      </w:r>
      <w:r w:rsidR="007F6303">
        <w:t xml:space="preserve">has </w:t>
      </w:r>
      <w:r w:rsidR="00FB114A">
        <w:t xml:space="preserve">forced journalists for legacy </w:t>
      </w:r>
      <w:r w:rsidR="001537CB">
        <w:t xml:space="preserve">publications to explain to an </w:t>
      </w:r>
      <w:r w:rsidR="00B15904">
        <w:t>often-baffled</w:t>
      </w:r>
      <w:r w:rsidR="001537CB">
        <w:t xml:space="preserve"> readership what, precisely,</w:t>
      </w:r>
      <w:r w:rsidR="00B15904">
        <w:t xml:space="preserve"> is meant by</w:t>
      </w:r>
      <w:r w:rsidR="001537CB">
        <w:t xml:space="preserve"> the </w:t>
      </w:r>
      <w:r w:rsidR="00D87465">
        <w:t xml:space="preserve">sudden </w:t>
      </w:r>
      <w:r w:rsidR="001537CB">
        <w:t>emergence of cuckolds</w:t>
      </w:r>
      <w:r w:rsidR="00D87465">
        <w:t xml:space="preserve"> and other archaic sexual figures</w:t>
      </w:r>
      <w:r w:rsidR="001537CB">
        <w:t xml:space="preserve"> in </w:t>
      </w:r>
      <w:r w:rsidR="001537CB">
        <w:lastRenderedPageBreak/>
        <w:t>electoral</w:t>
      </w:r>
      <w:r w:rsidR="00D25C02">
        <w:t xml:space="preserve"> discourse</w:t>
      </w:r>
      <w:r w:rsidR="001537CB">
        <w:t xml:space="preserve">. </w:t>
      </w:r>
      <w:r w:rsidR="00450DDE">
        <w:t>I have suggested here,</w:t>
      </w:r>
      <w:r w:rsidR="0024600E">
        <w:t xml:space="preserve"> then, that</w:t>
      </w:r>
      <w:r w:rsidR="00D87465">
        <w:t xml:space="preserve"> scholars</w:t>
      </w:r>
      <w:r w:rsidR="00A44C19">
        <w:t xml:space="preserve"> </w:t>
      </w:r>
      <w:r w:rsidR="00D87465">
        <w:t xml:space="preserve">and other observers </w:t>
      </w:r>
      <w:r w:rsidR="00A44C19">
        <w:t>turn with new attention to the</w:t>
      </w:r>
      <w:r w:rsidR="00736023">
        <w:t xml:space="preserve"> </w:t>
      </w:r>
      <w:r w:rsidR="00D25C02">
        <w:t>sadomasochistic</w:t>
      </w:r>
      <w:r w:rsidR="00450DDE">
        <w:t xml:space="preserve"> racial aesthetics of counter-subversion</w:t>
      </w:r>
      <w:r w:rsidR="00A44C19">
        <w:t>’s long history</w:t>
      </w:r>
      <w:r w:rsidR="00450DDE">
        <w:t xml:space="preserve"> in the United States. </w:t>
      </w:r>
      <w:r w:rsidR="00D87465">
        <w:t>A</w:t>
      </w:r>
      <w:r w:rsidR="00A062C2">
        <w:t xml:space="preserve"> close examination of </w:t>
      </w:r>
      <w:r w:rsidR="00A44C19">
        <w:t>paranoid theories—and even a cursory examination of many of them—reveals an underlying aesthetic logic organized around the titillating fictions of racial masochism</w:t>
      </w:r>
      <w:r w:rsidR="007A154C">
        <w:t xml:space="preserve"> and </w:t>
      </w:r>
      <w:r w:rsidR="00A44C19">
        <w:t xml:space="preserve">racial sadism. </w:t>
      </w:r>
      <w:r w:rsidR="00A062C2">
        <w:t xml:space="preserve">Conspiracy fictions </w:t>
      </w:r>
      <w:r w:rsidR="007A154C">
        <w:t xml:space="preserve">in the United States, </w:t>
      </w:r>
      <w:r w:rsidR="00A062C2">
        <w:t>from those of the</w:t>
      </w:r>
      <w:r w:rsidR="007A154C">
        <w:t xml:space="preserve"> Illuminati crisis to</w:t>
      </w:r>
      <w:r w:rsidR="00A062C2">
        <w:t xml:space="preserve"> those of</w:t>
      </w:r>
      <w:r w:rsidR="007A154C">
        <w:t xml:space="preserve"> </w:t>
      </w:r>
      <w:proofErr w:type="spellStart"/>
      <w:r w:rsidR="007A154C">
        <w:t>Pizzagate</w:t>
      </w:r>
      <w:proofErr w:type="spellEnd"/>
      <w:r w:rsidR="007A154C">
        <w:t xml:space="preserve">, are united </w:t>
      </w:r>
      <w:proofErr w:type="spellStart"/>
      <w:r w:rsidR="007A154C">
        <w:t>trans</w:t>
      </w:r>
      <w:r w:rsidR="000B52C1">
        <w:t>temporally</w:t>
      </w:r>
      <w:proofErr w:type="spellEnd"/>
      <w:r w:rsidR="00A062C2">
        <w:t xml:space="preserve"> by the </w:t>
      </w:r>
      <w:proofErr w:type="spellStart"/>
      <w:r w:rsidR="00A062C2">
        <w:t>pornotropes</w:t>
      </w:r>
      <w:proofErr w:type="spellEnd"/>
      <w:r w:rsidR="00A062C2">
        <w:t xml:space="preserve"> their authors encode</w:t>
      </w:r>
      <w:r w:rsidR="007A154C">
        <w:t>.</w:t>
      </w:r>
      <w:r w:rsidR="00D87465">
        <w:t xml:space="preserve"> </w:t>
      </w:r>
      <w:r w:rsidR="000B52C1">
        <w:t xml:space="preserve">Historians and cultural critics since Hofstadter have treated the </w:t>
      </w:r>
      <w:r w:rsidR="00D87465">
        <w:t xml:space="preserve">Illuminati crisis </w:t>
      </w:r>
      <w:r w:rsidR="000B52C1">
        <w:t>as the</w:t>
      </w:r>
      <w:r w:rsidR="00D87465">
        <w:t xml:space="preserve"> </w:t>
      </w:r>
      <w:proofErr w:type="spellStart"/>
      <w:r w:rsidR="00D87465">
        <w:t>antetype</w:t>
      </w:r>
      <w:proofErr w:type="spellEnd"/>
      <w:r w:rsidR="00D87465">
        <w:t xml:space="preserve"> of paranoid politics in US culture</w:t>
      </w:r>
      <w:r w:rsidR="000B52C1">
        <w:t xml:space="preserve">. Certainly, it was the first such national crisis in the republican period. </w:t>
      </w:r>
      <w:r w:rsidR="00CF3035">
        <w:t>W</w:t>
      </w:r>
      <w:r w:rsidR="000B52C1">
        <w:t>e should be unsurprised</w:t>
      </w:r>
      <w:r w:rsidR="00CF3035">
        <w:t>, then,</w:t>
      </w:r>
      <w:r w:rsidR="000B52C1">
        <w:t xml:space="preserve"> by </w:t>
      </w:r>
      <w:r w:rsidR="00CF3035">
        <w:t>the</w:t>
      </w:r>
      <w:r w:rsidR="000B52C1">
        <w:t xml:space="preserve"> </w:t>
      </w:r>
      <w:r w:rsidR="00AF2DD6">
        <w:t>sad</w:t>
      </w:r>
      <w:r w:rsidR="000B52C1">
        <w:t>omasochistic racial aesthetics</w:t>
      </w:r>
      <w:r w:rsidR="00CF3035">
        <w:t xml:space="preserve"> of the Illuminati panic. Such a</w:t>
      </w:r>
      <w:r w:rsidR="000B52C1">
        <w:t>esthetics</w:t>
      </w:r>
      <w:r w:rsidR="00CF3035">
        <w:t>, after all, have reappeared even in conspiracy fictions of the present.</w:t>
      </w:r>
    </w:p>
    <w:p w14:paraId="31909300" w14:textId="77777777" w:rsidR="00852F20" w:rsidRDefault="007A154C" w:rsidP="00852F20">
      <w:pPr>
        <w:spacing w:line="480" w:lineRule="auto"/>
      </w:pPr>
      <w:r>
        <w:tab/>
      </w:r>
      <w:proofErr w:type="spellStart"/>
      <w:r w:rsidR="000B52C1">
        <w:t>P</w:t>
      </w:r>
      <w:r w:rsidR="00886703">
        <w:t>ornotropic</w:t>
      </w:r>
      <w:proofErr w:type="spellEnd"/>
      <w:r w:rsidR="00886703">
        <w:t xml:space="preserve"> aesthetics,</w:t>
      </w:r>
      <w:r w:rsidR="00A062C2">
        <w:t xml:space="preserve"> moreover</w:t>
      </w:r>
      <w:r w:rsidR="00886703">
        <w:t xml:space="preserve">, reveal as they recur. </w:t>
      </w:r>
      <w:r w:rsidR="00A82CF6">
        <w:t>Even as they distort</w:t>
      </w:r>
      <w:r w:rsidR="00886703">
        <w:t xml:space="preserve"> underlying conditions </w:t>
      </w:r>
      <w:r w:rsidR="00E614F3">
        <w:t>of racial domination</w:t>
      </w:r>
      <w:r w:rsidR="00A82CF6">
        <w:t>, they call attention to such conditions</w:t>
      </w:r>
      <w:r w:rsidR="005F583B">
        <w:t xml:space="preserve">. </w:t>
      </w:r>
      <w:r w:rsidR="00A062C2">
        <w:t>T</w:t>
      </w:r>
      <w:r w:rsidR="005F583B">
        <w:t>he fictions of counter-subversive fantasists</w:t>
      </w:r>
      <w:r w:rsidR="00A062C2">
        <w:t xml:space="preserve">, in short, </w:t>
      </w:r>
      <w:r w:rsidR="00C60F21">
        <w:t xml:space="preserve">offer a window onto how those fantasists imagine themselves into relation with the world. </w:t>
      </w:r>
      <w:r w:rsidR="003E3CAA">
        <w:t>When Anthony Paul Farley suggests that whiteness provides a means “of feeling pleasure in and about one’s body,” or when Jennifer Christine Nash suggests that race functions as a “technology of domination and a technology of pleasure,” both are revealing of race what has long been recognized of fictions.</w:t>
      </w:r>
      <w:r w:rsidR="003E3CAA">
        <w:rPr>
          <w:rStyle w:val="EndnoteReference"/>
        </w:rPr>
        <w:endnoteReference w:id="71"/>
      </w:r>
      <w:r w:rsidR="003E3CAA">
        <w:t xml:space="preserve"> Fictions provide the pleasure of a confirmed self and the periodic </w:t>
      </w:r>
      <w:r w:rsidR="003E3CAA" w:rsidRPr="00F93C83">
        <w:rPr>
          <w:i/>
        </w:rPr>
        <w:t>jouissance</w:t>
      </w:r>
      <w:r w:rsidR="003E3CAA">
        <w:t xml:space="preserve"> of that self’s momentary erasure. The act of reading, Roland Barthes suggests, enables the reader to set aside the real and to surrender to the </w:t>
      </w:r>
      <w:proofErr w:type="spellStart"/>
      <w:r w:rsidR="003E3CAA">
        <w:t>erotics</w:t>
      </w:r>
      <w:proofErr w:type="spellEnd"/>
      <w:r w:rsidR="003E3CAA">
        <w:t xml:space="preserve"> of language. Barthes writes: “the reader can keep saying: </w:t>
      </w:r>
      <w:r w:rsidR="003E3CAA">
        <w:rPr>
          <w:i/>
        </w:rPr>
        <w:t xml:space="preserve">I know these are only words, but all the same … </w:t>
      </w:r>
      <w:r w:rsidR="003E3CAA">
        <w:t>(I am moved as though these words were uttering a reality).”</w:t>
      </w:r>
      <w:r w:rsidR="003E3CAA">
        <w:rPr>
          <w:rStyle w:val="EndnoteReference"/>
        </w:rPr>
        <w:endnoteReference w:id="72"/>
      </w:r>
      <w:r w:rsidR="003E3CAA">
        <w:t xml:space="preserve"> In such a context, the lines between </w:t>
      </w:r>
      <w:r w:rsidR="003E3CAA" w:rsidRPr="006E312F">
        <w:t xml:space="preserve">fact and fiction are, very literally, immaterial. The subterranean seraglio beneath a </w:t>
      </w:r>
      <w:r w:rsidR="003E3CAA" w:rsidRPr="006E312F">
        <w:lastRenderedPageBreak/>
        <w:t>pizza parlor echoes with the same “compulsion” as stories of a European rapis</w:t>
      </w:r>
      <w:r w:rsidR="006E312F" w:rsidRPr="006E312F">
        <w:t>t disguised as a “negro chimney-</w:t>
      </w:r>
      <w:r w:rsidR="003E3CAA" w:rsidRPr="006E312F">
        <w:t>sweep,” as an “infuriate” black man escaped from bondage.</w:t>
      </w:r>
      <w:r w:rsidR="006E312F" w:rsidRPr="006E312F">
        <w:rPr>
          <w:rStyle w:val="EndnoteReference"/>
        </w:rPr>
        <w:endnoteReference w:id="73"/>
      </w:r>
      <w:r w:rsidR="003E3CAA" w:rsidRPr="006E312F">
        <w:t xml:space="preserve"> What is missing from these accounts—the actual exploitation of women, including and often especially women of </w:t>
      </w:r>
      <w:r w:rsidR="003E3CAA">
        <w:t xml:space="preserve">color—remains an unacknowledged </w:t>
      </w:r>
      <w:r w:rsidR="00557833">
        <w:t>background condition</w:t>
      </w:r>
      <w:r w:rsidR="003E3CAA">
        <w:t xml:space="preserve">. What is visible instead is the fantasy of </w:t>
      </w:r>
      <w:r w:rsidR="00557833">
        <w:t xml:space="preserve">erotic </w:t>
      </w:r>
      <w:r w:rsidR="003E3CAA">
        <w:t>erasure, an aesthetic of white masculine subjection that periodically obliterates (and restores) the power and pleasure of whiteness and maleness. Readers—turning pages in an eighteenth-century pamphlet or scrolling across a twenty-first century imageboard—are “moved as though these words [are] uttering a reality.”</w:t>
      </w:r>
      <w:r w:rsidR="006E312F">
        <w:rPr>
          <w:rStyle w:val="EndnoteReference"/>
        </w:rPr>
        <w:endnoteReference w:id="74"/>
      </w:r>
      <w:r w:rsidR="003E3CAA">
        <w:t xml:space="preserve"> They are moved by an aesthetics of their own subjection. They are moved to a kind of bliss.</w:t>
      </w:r>
      <w:r w:rsidR="00852F20">
        <w:br w:type="page"/>
      </w:r>
    </w:p>
    <w:p w14:paraId="12643EAB" w14:textId="77777777" w:rsidR="00FC1D73" w:rsidRDefault="003E3CAA" w:rsidP="00852F20">
      <w:pPr>
        <w:jc w:val="center"/>
      </w:pPr>
      <w:r>
        <w:lastRenderedPageBreak/>
        <w:t>Notes</w:t>
      </w:r>
    </w:p>
    <w:sectPr w:rsidR="00FC1D73">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AB7A3" w14:textId="77777777" w:rsidR="00130E36" w:rsidRDefault="00130E36" w:rsidP="003E3CAA">
      <w:pPr>
        <w:spacing w:line="240" w:lineRule="auto"/>
      </w:pPr>
      <w:r>
        <w:separator/>
      </w:r>
    </w:p>
  </w:endnote>
  <w:endnote w:type="continuationSeparator" w:id="0">
    <w:p w14:paraId="6ED283E8" w14:textId="77777777" w:rsidR="00130E36" w:rsidRDefault="00130E36" w:rsidP="003E3CAA">
      <w:pPr>
        <w:spacing w:line="240" w:lineRule="auto"/>
      </w:pPr>
      <w:r>
        <w:continuationSeparator/>
      </w:r>
    </w:p>
  </w:endnote>
  <w:endnote w:id="1">
    <w:p w14:paraId="503426FC" w14:textId="77777777" w:rsidR="003E3CAA" w:rsidRPr="00907264" w:rsidRDefault="003E3CAA" w:rsidP="00907264">
      <w:pPr>
        <w:pStyle w:val="EndnoteText"/>
        <w:spacing w:line="480" w:lineRule="auto"/>
        <w:ind w:firstLine="720"/>
        <w:rPr>
          <w:sz w:val="24"/>
          <w:szCs w:val="24"/>
          <w:u w:val="single"/>
        </w:rPr>
      </w:pPr>
      <w:r w:rsidRPr="00907264">
        <w:rPr>
          <w:rStyle w:val="EndnoteReference"/>
          <w:sz w:val="24"/>
          <w:szCs w:val="24"/>
        </w:rPr>
        <w:endnoteRef/>
      </w:r>
      <w:r w:rsidRPr="00907264">
        <w:rPr>
          <w:sz w:val="24"/>
          <w:szCs w:val="24"/>
        </w:rPr>
        <w:t xml:space="preserve"> </w:t>
      </w:r>
      <w:r w:rsidR="008E30EB">
        <w:rPr>
          <w:sz w:val="24"/>
          <w:szCs w:val="24"/>
        </w:rPr>
        <w:t xml:space="preserve">Russ </w:t>
      </w:r>
      <w:r w:rsidR="008E30EB" w:rsidRPr="00907264">
        <w:rPr>
          <w:sz w:val="24"/>
          <w:szCs w:val="24"/>
        </w:rPr>
        <w:t>Castronovo</w:t>
      </w:r>
      <w:r w:rsidR="008E30EB">
        <w:rPr>
          <w:sz w:val="24"/>
          <w:szCs w:val="24"/>
        </w:rPr>
        <w:t>,</w:t>
      </w:r>
      <w:r w:rsidR="008E30EB" w:rsidRPr="00907264">
        <w:rPr>
          <w:sz w:val="24"/>
          <w:szCs w:val="24"/>
        </w:rPr>
        <w:t xml:space="preserve"> </w:t>
      </w:r>
      <w:r w:rsidR="008E30EB" w:rsidRPr="00907264">
        <w:rPr>
          <w:sz w:val="24"/>
          <w:szCs w:val="24"/>
          <w:u w:val="single"/>
        </w:rPr>
        <w:t>Propaganda, 1776: Secrets, Leaks, and Revolutionary Communications in</w:t>
      </w:r>
      <w:r w:rsidR="008E30EB">
        <w:rPr>
          <w:sz w:val="24"/>
          <w:szCs w:val="24"/>
          <w:u w:val="single"/>
        </w:rPr>
        <w:t xml:space="preserve"> Early America</w:t>
      </w:r>
      <w:r w:rsidR="008E30EB" w:rsidRPr="008E30EB">
        <w:rPr>
          <w:i/>
          <w:sz w:val="24"/>
          <w:szCs w:val="24"/>
        </w:rPr>
        <w:t xml:space="preserve"> (</w:t>
      </w:r>
      <w:r w:rsidR="008E30EB" w:rsidRPr="00907264">
        <w:rPr>
          <w:sz w:val="24"/>
          <w:szCs w:val="24"/>
        </w:rPr>
        <w:t>New York and Oxford</w:t>
      </w:r>
      <w:r w:rsidR="008E30EB">
        <w:rPr>
          <w:sz w:val="24"/>
          <w:szCs w:val="24"/>
        </w:rPr>
        <w:t>: Oxford University Press, 2014),</w:t>
      </w:r>
      <w:r w:rsidRPr="00907264">
        <w:rPr>
          <w:sz w:val="24"/>
          <w:szCs w:val="24"/>
        </w:rPr>
        <w:t xml:space="preserve"> 7-9 and 156.</w:t>
      </w:r>
    </w:p>
  </w:endnote>
  <w:endnote w:id="2">
    <w:p w14:paraId="7BC87B44" w14:textId="77777777" w:rsidR="003E3CAA" w:rsidRPr="00907264" w:rsidRDefault="003E3CAA" w:rsidP="008E30EB">
      <w:pPr>
        <w:spacing w:line="480" w:lineRule="auto"/>
        <w:ind w:firstLine="720"/>
      </w:pPr>
      <w:r w:rsidRPr="00907264">
        <w:rPr>
          <w:rStyle w:val="EndnoteReference"/>
        </w:rPr>
        <w:endnoteRef/>
      </w:r>
      <w:r w:rsidR="00EF4398" w:rsidRPr="00907264">
        <w:t xml:space="preserve"> </w:t>
      </w:r>
      <w:r w:rsidR="008E30EB">
        <w:t>Elizabeth Maddock Dillon,</w:t>
      </w:r>
      <w:r w:rsidR="008E30EB" w:rsidRPr="00907264">
        <w:t xml:space="preserve"> </w:t>
      </w:r>
      <w:r w:rsidR="008E30EB" w:rsidRPr="00907264">
        <w:rPr>
          <w:u w:val="single"/>
        </w:rPr>
        <w:t>New World Drama: The Performative Commons in the Atlantic</w:t>
      </w:r>
      <w:r w:rsidR="008E30EB">
        <w:rPr>
          <w:u w:val="single"/>
        </w:rPr>
        <w:t xml:space="preserve"> </w:t>
      </w:r>
      <w:r w:rsidR="008E30EB" w:rsidRPr="00907264">
        <w:rPr>
          <w:u w:val="single"/>
        </w:rPr>
        <w:t>World, 1649-1849</w:t>
      </w:r>
      <w:r w:rsidR="008E30EB">
        <w:t xml:space="preserve"> (</w:t>
      </w:r>
      <w:r w:rsidR="008E30EB" w:rsidRPr="00907264">
        <w:t>Durham and London: Duk</w:t>
      </w:r>
      <w:r w:rsidR="008E30EB">
        <w:t xml:space="preserve">e University Press, 2014), </w:t>
      </w:r>
      <w:r w:rsidR="005E577F" w:rsidRPr="005E577F">
        <w:t>252</w:t>
      </w:r>
      <w:r w:rsidR="00C50102" w:rsidRPr="00907264">
        <w:t>;</w:t>
      </w:r>
      <w:r w:rsidR="00EF4398" w:rsidRPr="00907264">
        <w:t xml:space="preserve"> </w:t>
      </w:r>
      <w:r w:rsidR="008E30EB">
        <w:t xml:space="preserve">Duncan </w:t>
      </w:r>
      <w:r w:rsidR="008E30EB">
        <w:t>Faherty,</w:t>
      </w:r>
      <w:r w:rsidR="008E30EB" w:rsidRPr="00907264">
        <w:t xml:space="preserve"> “‘The Mischief that Awaits Us’: Revolution, Rumor, and Serial Unrest in the</w:t>
      </w:r>
      <w:r w:rsidR="008E30EB">
        <w:t xml:space="preserve"> Early Republic,” i</w:t>
      </w:r>
      <w:r w:rsidR="008E30EB" w:rsidRPr="00907264">
        <w:t xml:space="preserve">n </w:t>
      </w:r>
      <w:r w:rsidR="008E30EB" w:rsidRPr="00907264">
        <w:rPr>
          <w:u w:val="single"/>
        </w:rPr>
        <w:t>The Haitian Revolution and the Early United States: Histories, Textualities, Geographies</w:t>
      </w:r>
      <w:r w:rsidR="008E30EB" w:rsidRPr="00907264">
        <w:t>, edited by Elizabeth Maddock Dillon and Michael Drexle</w:t>
      </w:r>
      <w:r w:rsidR="008E30EB">
        <w:t>r (</w:t>
      </w:r>
      <w:r w:rsidR="008E30EB" w:rsidRPr="00907264">
        <w:t>Philadelphia: Univers</w:t>
      </w:r>
      <w:r w:rsidR="008E30EB">
        <w:t xml:space="preserve">ity of Pennsylvania Press, 2016), </w:t>
      </w:r>
      <w:r w:rsidR="00C50102" w:rsidRPr="00907264">
        <w:t>58-79;</w:t>
      </w:r>
      <w:r w:rsidR="00EF4398" w:rsidRPr="00907264">
        <w:t xml:space="preserve"> </w:t>
      </w:r>
      <w:r w:rsidR="008E30EB" w:rsidRPr="00907264">
        <w:rPr>
          <w:bCs/>
        </w:rPr>
        <w:t>Ed</w:t>
      </w:r>
      <w:r w:rsidR="008E30EB">
        <w:rPr>
          <w:bCs/>
        </w:rPr>
        <w:t xml:space="preserve"> White,</w:t>
      </w:r>
      <w:r w:rsidR="008E30EB" w:rsidRPr="00907264">
        <w:rPr>
          <w:bCs/>
        </w:rPr>
        <w:t xml:space="preserve"> “The Value of Conspiracy Theory,” </w:t>
      </w:r>
      <w:r w:rsidR="008E30EB" w:rsidRPr="00907264">
        <w:rPr>
          <w:bCs/>
          <w:u w:val="single"/>
        </w:rPr>
        <w:t>American Literary History</w:t>
      </w:r>
      <w:r w:rsidR="008E30EB">
        <w:rPr>
          <w:bCs/>
        </w:rPr>
        <w:t xml:space="preserve"> 4, no. 1 (2002): </w:t>
      </w:r>
      <w:r w:rsidR="00EF4398" w:rsidRPr="00907264">
        <w:t>24-5.</w:t>
      </w:r>
    </w:p>
  </w:endnote>
  <w:endnote w:id="3">
    <w:p w14:paraId="552DEB38" w14:textId="77777777" w:rsidR="008E30EB" w:rsidRPr="00907264" w:rsidRDefault="00B55B02" w:rsidP="008E30EB">
      <w:pPr>
        <w:spacing w:line="480" w:lineRule="auto"/>
        <w:ind w:firstLine="720"/>
      </w:pPr>
      <w:r w:rsidRPr="00907264">
        <w:rPr>
          <w:rStyle w:val="EndnoteReference"/>
        </w:rPr>
        <w:endnoteRef/>
      </w:r>
      <w:r w:rsidR="008E30EB">
        <w:t xml:space="preserve"> Alexander</w:t>
      </w:r>
      <w:r w:rsidRPr="00907264">
        <w:t xml:space="preserve"> </w:t>
      </w:r>
      <w:r w:rsidR="008E30EB" w:rsidRPr="00907264">
        <w:t xml:space="preserve">Weheliye, “Pornotropes,” </w:t>
      </w:r>
      <w:r w:rsidR="008E30EB" w:rsidRPr="00907264">
        <w:rPr>
          <w:u w:val="single"/>
        </w:rPr>
        <w:t>Journal of Visual Culture</w:t>
      </w:r>
      <w:r w:rsidR="008E30EB">
        <w:t xml:space="preserve"> 7, no. 1 (2008): 67 and </w:t>
      </w:r>
      <w:r w:rsidR="008E30EB" w:rsidRPr="00907264">
        <w:rPr>
          <w:bCs/>
          <w:u w:val="single"/>
        </w:rPr>
        <w:t>Habeas Viscus: Racializing Assemblages, Biopolitics, and Black Feminist</w:t>
      </w:r>
      <w:r w:rsidR="008E30EB">
        <w:rPr>
          <w:bCs/>
          <w:u w:val="single"/>
        </w:rPr>
        <w:t xml:space="preserve"> </w:t>
      </w:r>
      <w:r w:rsidR="008E30EB" w:rsidRPr="00907264">
        <w:rPr>
          <w:bCs/>
          <w:u w:val="single"/>
        </w:rPr>
        <w:t>Theories of the Human</w:t>
      </w:r>
      <w:r w:rsidR="008E30EB">
        <w:rPr>
          <w:bCs/>
        </w:rPr>
        <w:t xml:space="preserve"> (</w:t>
      </w:r>
      <w:r w:rsidR="008E30EB" w:rsidRPr="00907264">
        <w:rPr>
          <w:bCs/>
        </w:rPr>
        <w:t>Durham and Londo</w:t>
      </w:r>
      <w:r w:rsidR="008E30EB">
        <w:rPr>
          <w:bCs/>
        </w:rPr>
        <w:t xml:space="preserve">n: Duke University Press, 2014), </w:t>
      </w:r>
      <w:r w:rsidRPr="00907264">
        <w:t xml:space="preserve">89-112. </w:t>
      </w:r>
      <w:r w:rsidR="00E6331D" w:rsidRPr="00907264">
        <w:t>See also</w:t>
      </w:r>
      <w:r w:rsidR="008E30EB">
        <w:t xml:space="preserve"> Hortense </w:t>
      </w:r>
      <w:r w:rsidR="008E30EB" w:rsidRPr="00907264">
        <w:rPr>
          <w:bCs/>
        </w:rPr>
        <w:t>Spillers,</w:t>
      </w:r>
      <w:r w:rsidR="008E30EB">
        <w:rPr>
          <w:bCs/>
        </w:rPr>
        <w:t xml:space="preserve"> </w:t>
      </w:r>
      <w:r w:rsidR="008E30EB" w:rsidRPr="00907264">
        <w:rPr>
          <w:bCs/>
        </w:rPr>
        <w:t xml:space="preserve">“Mama’s Baby, Papa’s Maybe: An American Grammar Book,” </w:t>
      </w:r>
      <w:r w:rsidR="008E30EB" w:rsidRPr="00907264">
        <w:rPr>
          <w:bCs/>
          <w:u w:val="single"/>
        </w:rPr>
        <w:t>Diacritics</w:t>
      </w:r>
      <w:r w:rsidR="008E30EB" w:rsidRPr="00907264">
        <w:rPr>
          <w:bCs/>
        </w:rPr>
        <w:t xml:space="preserve"> 17,</w:t>
      </w:r>
      <w:r w:rsidR="008E30EB">
        <w:rPr>
          <w:bCs/>
        </w:rPr>
        <w:t xml:space="preserve"> </w:t>
      </w:r>
      <w:r w:rsidR="008E30EB" w:rsidRPr="00907264">
        <w:rPr>
          <w:bCs/>
        </w:rPr>
        <w:t>no. 2 (1987): 6</w:t>
      </w:r>
      <w:r w:rsidR="00E6331D" w:rsidRPr="00907264">
        <w:t>7.</w:t>
      </w:r>
    </w:p>
  </w:endnote>
  <w:endnote w:id="4">
    <w:p w14:paraId="5DA5A593" w14:textId="77777777" w:rsidR="009620D2" w:rsidRPr="008E30EB" w:rsidRDefault="009620D2" w:rsidP="008E30EB">
      <w:pPr>
        <w:spacing w:line="480" w:lineRule="auto"/>
        <w:ind w:firstLine="720"/>
        <w:rPr>
          <w:bCs/>
        </w:rPr>
      </w:pPr>
      <w:r w:rsidRPr="00907264">
        <w:rPr>
          <w:rStyle w:val="EndnoteReference"/>
        </w:rPr>
        <w:endnoteRef/>
      </w:r>
      <w:r w:rsidRPr="00907264">
        <w:t xml:space="preserve"> </w:t>
      </w:r>
      <w:r w:rsidR="008E30EB" w:rsidRPr="00907264">
        <w:rPr>
          <w:bCs/>
        </w:rPr>
        <w:t>Richard</w:t>
      </w:r>
      <w:r w:rsidR="00387DC9">
        <w:rPr>
          <w:bCs/>
        </w:rPr>
        <w:t xml:space="preserve"> </w:t>
      </w:r>
      <w:r w:rsidR="00387DC9" w:rsidRPr="00387DC9">
        <w:rPr>
          <w:bCs/>
        </w:rPr>
        <w:t>Hofstadter</w:t>
      </w:r>
      <w:r w:rsidR="00387DC9">
        <w:rPr>
          <w:bCs/>
        </w:rPr>
        <w:t>,</w:t>
      </w:r>
      <w:r w:rsidR="008E30EB" w:rsidRPr="00907264">
        <w:rPr>
          <w:bCs/>
        </w:rPr>
        <w:t xml:space="preserve"> “The Paranoid Style in American Politics,” </w:t>
      </w:r>
      <w:r w:rsidR="008E30EB" w:rsidRPr="00907264">
        <w:rPr>
          <w:bCs/>
          <w:u w:val="single"/>
        </w:rPr>
        <w:t>Harper’s Magazine</w:t>
      </w:r>
      <w:r w:rsidR="008E30EB" w:rsidRPr="00907264">
        <w:rPr>
          <w:bCs/>
        </w:rPr>
        <w:t xml:space="preserve"> (November</w:t>
      </w:r>
      <w:r w:rsidR="008E30EB">
        <w:rPr>
          <w:bCs/>
        </w:rPr>
        <w:t xml:space="preserve"> </w:t>
      </w:r>
      <w:r w:rsidR="008E30EB" w:rsidRPr="00907264">
        <w:rPr>
          <w:bCs/>
        </w:rPr>
        <w:t>1964), 86.</w:t>
      </w:r>
    </w:p>
  </w:endnote>
  <w:endnote w:id="5">
    <w:p w14:paraId="36CDD743" w14:textId="77777777" w:rsidR="003E3CAA" w:rsidRPr="00907264" w:rsidRDefault="003E3CAA" w:rsidP="00907264">
      <w:pPr>
        <w:pStyle w:val="EndnoteText"/>
        <w:spacing w:line="480" w:lineRule="auto"/>
        <w:ind w:firstLine="720"/>
        <w:rPr>
          <w:sz w:val="24"/>
          <w:szCs w:val="24"/>
        </w:rPr>
      </w:pPr>
      <w:r w:rsidRPr="00907264">
        <w:rPr>
          <w:rStyle w:val="EndnoteReference"/>
          <w:sz w:val="24"/>
          <w:szCs w:val="24"/>
        </w:rPr>
        <w:endnoteRef/>
      </w:r>
      <w:r w:rsidR="000866B1">
        <w:rPr>
          <w:sz w:val="24"/>
          <w:szCs w:val="24"/>
        </w:rPr>
        <w:t xml:space="preserve"> </w:t>
      </w:r>
      <w:r w:rsidR="008E30EB">
        <w:rPr>
          <w:sz w:val="24"/>
          <w:szCs w:val="24"/>
        </w:rPr>
        <w:t>William Brown,</w:t>
      </w:r>
      <w:r w:rsidR="008E30EB" w:rsidRPr="00907264">
        <w:rPr>
          <w:sz w:val="24"/>
          <w:szCs w:val="24"/>
        </w:rPr>
        <w:t xml:space="preserve"> </w:t>
      </w:r>
      <w:r w:rsidR="008E30EB" w:rsidRPr="00907264">
        <w:rPr>
          <w:sz w:val="24"/>
          <w:szCs w:val="24"/>
          <w:u w:val="single"/>
        </w:rPr>
        <w:t>An Oration, Spoken at Hartford, in the State of Connecticut, on the</w:t>
      </w:r>
      <w:r w:rsidR="008E30EB">
        <w:rPr>
          <w:sz w:val="24"/>
          <w:szCs w:val="24"/>
          <w:u w:val="single"/>
        </w:rPr>
        <w:t xml:space="preserve"> </w:t>
      </w:r>
      <w:r w:rsidR="008E30EB" w:rsidRPr="00907264">
        <w:rPr>
          <w:sz w:val="24"/>
          <w:szCs w:val="24"/>
          <w:u w:val="single"/>
        </w:rPr>
        <w:t>Anniversary of American Independence, July 4</w:t>
      </w:r>
      <w:r w:rsidR="008E30EB" w:rsidRPr="00907264">
        <w:rPr>
          <w:sz w:val="24"/>
          <w:szCs w:val="24"/>
          <w:u w:val="single"/>
          <w:vertAlign w:val="superscript"/>
        </w:rPr>
        <w:t>th</w:t>
      </w:r>
      <w:r w:rsidR="008E30EB" w:rsidRPr="00907264">
        <w:rPr>
          <w:sz w:val="24"/>
          <w:szCs w:val="24"/>
          <w:u w:val="single"/>
        </w:rPr>
        <w:t xml:space="preserve"> A.D. 1799</w:t>
      </w:r>
      <w:r w:rsidR="008E30EB" w:rsidRPr="00907264">
        <w:rPr>
          <w:sz w:val="24"/>
          <w:szCs w:val="24"/>
        </w:rPr>
        <w:t xml:space="preserve"> </w:t>
      </w:r>
      <w:r w:rsidR="008E30EB">
        <w:rPr>
          <w:sz w:val="24"/>
          <w:szCs w:val="24"/>
        </w:rPr>
        <w:t>(</w:t>
      </w:r>
      <w:r w:rsidR="008E30EB" w:rsidRPr="00907264">
        <w:rPr>
          <w:sz w:val="24"/>
          <w:szCs w:val="24"/>
        </w:rPr>
        <w:t>Har</w:t>
      </w:r>
      <w:r w:rsidR="008E30EB">
        <w:rPr>
          <w:sz w:val="24"/>
          <w:szCs w:val="24"/>
        </w:rPr>
        <w:t xml:space="preserve">tford: Hudson and Goodwin, 1799), </w:t>
      </w:r>
      <w:r w:rsidRPr="00907264">
        <w:rPr>
          <w:sz w:val="24"/>
          <w:szCs w:val="24"/>
        </w:rPr>
        <w:t>6, 20.</w:t>
      </w:r>
    </w:p>
  </w:endnote>
  <w:endnote w:id="6">
    <w:p w14:paraId="11C7FD89" w14:textId="77777777" w:rsidR="003E3CAA" w:rsidRPr="00907264" w:rsidRDefault="007A4B46" w:rsidP="00387DC9">
      <w:pPr>
        <w:spacing w:line="480" w:lineRule="auto"/>
      </w:pPr>
      <w:r w:rsidRPr="00907264">
        <w:tab/>
      </w:r>
      <w:r w:rsidR="003E3CAA" w:rsidRPr="00907264">
        <w:rPr>
          <w:rStyle w:val="EndnoteReference"/>
        </w:rPr>
        <w:endnoteRef/>
      </w:r>
      <w:r w:rsidR="003E3CAA" w:rsidRPr="00907264">
        <w:t xml:space="preserve"> </w:t>
      </w:r>
      <w:r w:rsidR="00387DC9" w:rsidRPr="00907264">
        <w:t>Timothy</w:t>
      </w:r>
      <w:r w:rsidR="00387DC9">
        <w:t xml:space="preserve"> Dwight,</w:t>
      </w:r>
      <w:r w:rsidR="00387DC9" w:rsidRPr="00907264">
        <w:t xml:space="preserve"> </w:t>
      </w:r>
      <w:r w:rsidR="00387DC9" w:rsidRPr="00907264">
        <w:rPr>
          <w:u w:val="single"/>
        </w:rPr>
        <w:t>The Duty of Americans, at the Present Crisis, Illustrated in a Discourse,</w:t>
      </w:r>
      <w:r w:rsidR="00387DC9">
        <w:rPr>
          <w:u w:val="single"/>
        </w:rPr>
        <w:t xml:space="preserve"> </w:t>
      </w:r>
      <w:r w:rsidR="00387DC9" w:rsidRPr="00907264">
        <w:rPr>
          <w:u w:val="single"/>
        </w:rPr>
        <w:t>Preached on the Fourth of July, 1798</w:t>
      </w:r>
      <w:r w:rsidR="00387DC9">
        <w:t xml:space="preserve"> (</w:t>
      </w:r>
      <w:r w:rsidR="00387DC9" w:rsidRPr="00907264">
        <w:t>New-Haven: Thomas and Samuel Green, 1</w:t>
      </w:r>
      <w:r w:rsidR="00387DC9">
        <w:t>798),</w:t>
      </w:r>
      <w:r w:rsidR="009620D2" w:rsidRPr="00907264">
        <w:t xml:space="preserve"> </w:t>
      </w:r>
      <w:r w:rsidR="003E3CAA" w:rsidRPr="00907264">
        <w:t>20-</w:t>
      </w:r>
      <w:r w:rsidR="009620D2" w:rsidRPr="00907264">
        <w:t>2</w:t>
      </w:r>
      <w:r w:rsidR="003E3CAA" w:rsidRPr="00907264">
        <w:t>1.</w:t>
      </w:r>
    </w:p>
  </w:endnote>
  <w:endnote w:id="7">
    <w:p w14:paraId="40561C3A" w14:textId="77777777" w:rsidR="00503DE7" w:rsidRPr="003D1D69" w:rsidRDefault="00503DE7" w:rsidP="003D1D69">
      <w:pPr>
        <w:pStyle w:val="EndnoteText"/>
        <w:spacing w:line="480" w:lineRule="auto"/>
        <w:ind w:firstLine="720"/>
        <w:rPr>
          <w:bCs/>
          <w:sz w:val="24"/>
          <w:szCs w:val="24"/>
          <w:u w:val="single"/>
        </w:rPr>
      </w:pPr>
      <w:r w:rsidRPr="003D1D69">
        <w:rPr>
          <w:rStyle w:val="EndnoteReference"/>
          <w:sz w:val="24"/>
          <w:szCs w:val="24"/>
        </w:rPr>
        <w:endnoteRef/>
      </w:r>
      <w:r w:rsidRPr="003D1D69">
        <w:rPr>
          <w:sz w:val="24"/>
          <w:szCs w:val="24"/>
        </w:rPr>
        <w:t xml:space="preserve"> </w:t>
      </w:r>
      <w:r w:rsidR="00CC549F" w:rsidRPr="003D1D69">
        <w:rPr>
          <w:bCs/>
          <w:sz w:val="24"/>
          <w:szCs w:val="24"/>
        </w:rPr>
        <w:t xml:space="preserve">Bryan Waterman, “The Bavarian Illuminati, the Early American Novel, and Histories of the Public Sphere,” </w:t>
      </w:r>
      <w:r w:rsidR="00CC549F" w:rsidRPr="003D1D69">
        <w:rPr>
          <w:bCs/>
          <w:sz w:val="24"/>
          <w:szCs w:val="24"/>
          <w:u w:val="single"/>
        </w:rPr>
        <w:t>William and Mary Quarterly</w:t>
      </w:r>
      <w:r w:rsidR="00CC549F" w:rsidRPr="003D1D69">
        <w:rPr>
          <w:bCs/>
          <w:sz w:val="24"/>
          <w:szCs w:val="24"/>
        </w:rPr>
        <w:t xml:space="preserve"> 62, no. 1 (2005): </w:t>
      </w:r>
      <w:r w:rsidR="003D1D69" w:rsidRPr="003D1D69">
        <w:rPr>
          <w:bCs/>
          <w:sz w:val="24"/>
          <w:szCs w:val="24"/>
        </w:rPr>
        <w:t>11, 17</w:t>
      </w:r>
      <w:r w:rsidR="00CC549F" w:rsidRPr="003D1D69">
        <w:rPr>
          <w:bCs/>
          <w:sz w:val="24"/>
          <w:szCs w:val="24"/>
        </w:rPr>
        <w:t xml:space="preserve"> and </w:t>
      </w:r>
      <w:r w:rsidR="00CC549F" w:rsidRPr="003D1D69">
        <w:rPr>
          <w:bCs/>
          <w:sz w:val="24"/>
          <w:szCs w:val="24"/>
          <w:u w:val="single"/>
        </w:rPr>
        <w:t>Republic of Intellect: The Friendly Club of New York City and the Making of American Literature</w:t>
      </w:r>
      <w:r w:rsidR="00CC549F" w:rsidRPr="003D1D69">
        <w:rPr>
          <w:bCs/>
          <w:sz w:val="24"/>
          <w:szCs w:val="24"/>
        </w:rPr>
        <w:t xml:space="preserve"> (Baltimore: Johns Hopkins University Press, 2007), </w:t>
      </w:r>
      <w:r w:rsidR="00CC549F" w:rsidRPr="003D1D69">
        <w:rPr>
          <w:sz w:val="24"/>
          <w:szCs w:val="24"/>
        </w:rPr>
        <w:t>50-91.</w:t>
      </w:r>
    </w:p>
  </w:endnote>
  <w:endnote w:id="8">
    <w:p w14:paraId="4285C466" w14:textId="77777777" w:rsidR="003E3CAA" w:rsidRPr="00907264" w:rsidRDefault="003E3CAA" w:rsidP="00697EC1">
      <w:pPr>
        <w:pStyle w:val="EndnoteText"/>
        <w:spacing w:line="480" w:lineRule="auto"/>
        <w:ind w:firstLine="720"/>
        <w:rPr>
          <w:sz w:val="24"/>
          <w:szCs w:val="24"/>
        </w:rPr>
      </w:pPr>
      <w:r w:rsidRPr="00907264">
        <w:rPr>
          <w:rStyle w:val="EndnoteReference"/>
          <w:sz w:val="24"/>
          <w:szCs w:val="24"/>
        </w:rPr>
        <w:endnoteRef/>
      </w:r>
      <w:r w:rsidRPr="00907264">
        <w:rPr>
          <w:sz w:val="24"/>
          <w:szCs w:val="24"/>
        </w:rPr>
        <w:t xml:space="preserve"> </w:t>
      </w:r>
      <w:r w:rsidR="00697EC1" w:rsidRPr="00907264">
        <w:rPr>
          <w:sz w:val="24"/>
          <w:szCs w:val="24"/>
        </w:rPr>
        <w:t>Hatewatch Staff, “Getting Cucky: A Brief Primer on the Radical Right’s Newest ‘Cuckservative’</w:t>
      </w:r>
      <w:r w:rsidR="00697EC1">
        <w:rPr>
          <w:sz w:val="24"/>
          <w:szCs w:val="24"/>
        </w:rPr>
        <w:t xml:space="preserve"> </w:t>
      </w:r>
      <w:r w:rsidR="00697EC1" w:rsidRPr="00907264">
        <w:rPr>
          <w:sz w:val="24"/>
          <w:szCs w:val="24"/>
        </w:rPr>
        <w:t>Meme,” Southern Poverty Law Center, August 7, 2015. Accessed 10 May 2017.</w:t>
      </w:r>
      <w:r w:rsidR="00697EC1">
        <w:rPr>
          <w:sz w:val="24"/>
          <w:szCs w:val="24"/>
        </w:rPr>
        <w:t xml:space="preserve"> </w:t>
      </w:r>
      <w:r w:rsidR="00697EC1" w:rsidRPr="00907264">
        <w:rPr>
          <w:sz w:val="24"/>
          <w:szCs w:val="24"/>
        </w:rPr>
        <w:t>https://www.splcenter.org/hatewatch/2015/08/07/getting-cucky-brief-primer-radical-rights-newest-cuckservative-meme.</w:t>
      </w:r>
    </w:p>
  </w:endnote>
  <w:endnote w:id="9">
    <w:p w14:paraId="20CC430A" w14:textId="77777777" w:rsidR="00E6331D" w:rsidRPr="00907264" w:rsidRDefault="00E6331D" w:rsidP="005E433A">
      <w:pPr>
        <w:spacing w:line="480" w:lineRule="auto"/>
        <w:ind w:firstLine="720"/>
      </w:pPr>
      <w:r w:rsidRPr="00907264">
        <w:rPr>
          <w:rStyle w:val="EndnoteReference"/>
        </w:rPr>
        <w:endnoteRef/>
      </w:r>
      <w:r w:rsidRPr="00907264">
        <w:t xml:space="preserve"> </w:t>
      </w:r>
      <w:r w:rsidR="005E433A">
        <w:t xml:space="preserve">Russ </w:t>
      </w:r>
      <w:r w:rsidR="005E433A" w:rsidRPr="00907264">
        <w:rPr>
          <w:bCs/>
        </w:rPr>
        <w:t xml:space="preserve">Castronovo, </w:t>
      </w:r>
      <w:r w:rsidR="005E433A" w:rsidRPr="00907264">
        <w:rPr>
          <w:bCs/>
          <w:u w:val="single"/>
        </w:rPr>
        <w:t>Beautiful Democracy: Aesthetics and Anarchy in a Global Era</w:t>
      </w:r>
      <w:r w:rsidR="005E433A">
        <w:t xml:space="preserve"> (</w:t>
      </w:r>
      <w:r w:rsidR="005E433A" w:rsidRPr="00907264">
        <w:t>Chicago:</w:t>
      </w:r>
      <w:r w:rsidR="005E433A">
        <w:t xml:space="preserve"> </w:t>
      </w:r>
      <w:r w:rsidR="005E433A" w:rsidRPr="00907264">
        <w:t>Un</w:t>
      </w:r>
      <w:r w:rsidR="005E433A">
        <w:t xml:space="preserve">iversity of Chicago Press, 2007), </w:t>
      </w:r>
      <w:r w:rsidRPr="00907264">
        <w:t xml:space="preserve">215 and </w:t>
      </w:r>
      <w:r w:rsidRPr="00907264">
        <w:rPr>
          <w:u w:val="single"/>
        </w:rPr>
        <w:t>Propaganda, 1776</w:t>
      </w:r>
      <w:r w:rsidRPr="00907264">
        <w:t xml:space="preserve">, 177-80. </w:t>
      </w:r>
    </w:p>
  </w:endnote>
  <w:endnote w:id="10">
    <w:p w14:paraId="5734A322" w14:textId="77777777" w:rsidR="007A4B46" w:rsidRPr="00907264" w:rsidRDefault="007A4B46" w:rsidP="008A5AA7">
      <w:pPr>
        <w:spacing w:line="480" w:lineRule="auto"/>
        <w:ind w:firstLine="720"/>
      </w:pPr>
      <w:r w:rsidRPr="00907264">
        <w:rPr>
          <w:rStyle w:val="EndnoteReference"/>
        </w:rPr>
        <w:endnoteRef/>
      </w:r>
      <w:r w:rsidRPr="00907264">
        <w:t xml:space="preserve"> </w:t>
      </w:r>
      <w:r w:rsidR="008A5AA7">
        <w:t xml:space="preserve">Eve </w:t>
      </w:r>
      <w:r w:rsidR="008A5AA7">
        <w:t>Kosofsky Sedgwick,</w:t>
      </w:r>
      <w:r w:rsidR="008A5AA7" w:rsidRPr="00907264">
        <w:t xml:space="preserve"> “Paranoid Reading and Reparative Reading: Or, You’re So Paranoid,</w:t>
      </w:r>
      <w:r w:rsidR="008A5AA7">
        <w:t xml:space="preserve"> </w:t>
      </w:r>
      <w:r w:rsidR="008A5AA7" w:rsidRPr="00907264">
        <w:t>You Probabl</w:t>
      </w:r>
      <w:r w:rsidR="008A5AA7">
        <w:t>y Think This Essay is About You</w:t>
      </w:r>
      <w:r w:rsidR="008A5AA7" w:rsidRPr="00907264">
        <w:t xml:space="preserve">,” </w:t>
      </w:r>
      <w:r w:rsidR="008A5AA7" w:rsidRPr="00907264">
        <w:rPr>
          <w:u w:val="single"/>
        </w:rPr>
        <w:t>Touching Feeling: Affect, Pedagogy, Performativity</w:t>
      </w:r>
      <w:r w:rsidR="008A5AA7">
        <w:t>, 123-151 (</w:t>
      </w:r>
      <w:r w:rsidR="008A5AA7" w:rsidRPr="00907264">
        <w:t>Durham and Lond</w:t>
      </w:r>
      <w:r w:rsidR="008A5AA7">
        <w:t xml:space="preserve">on: Duke University Press, 2003): </w:t>
      </w:r>
      <w:r w:rsidRPr="00907264">
        <w:t>142.</w:t>
      </w:r>
    </w:p>
  </w:endnote>
  <w:endnote w:id="11">
    <w:p w14:paraId="19633AA7" w14:textId="77777777" w:rsidR="00982D22" w:rsidRPr="00907264" w:rsidRDefault="00982D22" w:rsidP="00907264">
      <w:pPr>
        <w:pStyle w:val="EndnoteText"/>
        <w:spacing w:line="480" w:lineRule="auto"/>
        <w:ind w:firstLine="720"/>
        <w:rPr>
          <w:sz w:val="24"/>
          <w:szCs w:val="24"/>
        </w:rPr>
      </w:pPr>
      <w:r w:rsidRPr="00907264">
        <w:rPr>
          <w:rStyle w:val="EndnoteReference"/>
          <w:sz w:val="24"/>
          <w:szCs w:val="24"/>
        </w:rPr>
        <w:endnoteRef/>
      </w:r>
      <w:r w:rsidRPr="00907264">
        <w:rPr>
          <w:sz w:val="24"/>
          <w:szCs w:val="24"/>
        </w:rPr>
        <w:t xml:space="preserve"> White, “The Value of Conspiracy Theory,” 1 and 26. </w:t>
      </w:r>
    </w:p>
  </w:endnote>
  <w:endnote w:id="12">
    <w:p w14:paraId="0ECDD058" w14:textId="77777777" w:rsidR="00125F33" w:rsidRPr="00AD06E3" w:rsidRDefault="00125F33" w:rsidP="008A5AA7">
      <w:pPr>
        <w:spacing w:line="480" w:lineRule="auto"/>
        <w:ind w:firstLine="720"/>
      </w:pPr>
      <w:r w:rsidRPr="00AD06E3">
        <w:rPr>
          <w:rStyle w:val="EndnoteReference"/>
        </w:rPr>
        <w:endnoteRef/>
      </w:r>
      <w:r w:rsidRPr="00AD06E3">
        <w:t xml:space="preserve"> </w:t>
      </w:r>
      <w:r w:rsidR="008A5AA7" w:rsidRPr="00AD06E3">
        <w:t xml:space="preserve">Jonathan Den </w:t>
      </w:r>
      <w:r w:rsidR="008A5AA7" w:rsidRPr="00AD06E3">
        <w:t xml:space="preserve">Hartog, “Trans-Atlantic Anti-Jacobinism: Reaction and Religion,” </w:t>
      </w:r>
      <w:r w:rsidR="008A5AA7" w:rsidRPr="00AD06E3">
        <w:rPr>
          <w:u w:val="single"/>
        </w:rPr>
        <w:t>Early American Studies</w:t>
      </w:r>
      <w:r w:rsidR="008A5AA7" w:rsidRPr="00AD06E3">
        <w:t xml:space="preserve"> 11, no. 1 (2013): </w:t>
      </w:r>
      <w:r w:rsidRPr="00AD06E3">
        <w:t xml:space="preserve">135 and Waterman, </w:t>
      </w:r>
      <w:r w:rsidRPr="00AD06E3">
        <w:rPr>
          <w:u w:val="single"/>
        </w:rPr>
        <w:t>Republic of Intellect</w:t>
      </w:r>
      <w:r w:rsidRPr="00AD06E3">
        <w:t>, 50-91.</w:t>
      </w:r>
    </w:p>
  </w:endnote>
  <w:endnote w:id="13">
    <w:p w14:paraId="08BE71E0" w14:textId="77777777" w:rsidR="004B17B9" w:rsidRPr="00907264" w:rsidRDefault="004B17B9" w:rsidP="00907264">
      <w:pPr>
        <w:spacing w:line="480" w:lineRule="auto"/>
        <w:ind w:firstLine="720"/>
      </w:pPr>
      <w:r w:rsidRPr="00907264">
        <w:rPr>
          <w:rStyle w:val="EndnoteReference"/>
        </w:rPr>
        <w:endnoteRef/>
      </w:r>
      <w:r w:rsidRPr="00907264">
        <w:t xml:space="preserve"> </w:t>
      </w:r>
      <w:r w:rsidR="00AD06E3" w:rsidRPr="00907264">
        <w:rPr>
          <w:bCs/>
        </w:rPr>
        <w:t>Dan</w:t>
      </w:r>
      <w:r w:rsidR="00AE064C">
        <w:rPr>
          <w:bCs/>
        </w:rPr>
        <w:t xml:space="preserve"> </w:t>
      </w:r>
      <w:r w:rsidR="00AE064C">
        <w:rPr>
          <w:bCs/>
        </w:rPr>
        <w:t>Beran,</w:t>
      </w:r>
      <w:r w:rsidR="00AD06E3" w:rsidRPr="00907264">
        <w:rPr>
          <w:bCs/>
        </w:rPr>
        <w:t xml:space="preserve"> “4chan: The Skeleton Key to the Rise of Trump,” </w:t>
      </w:r>
      <w:r w:rsidR="00AD06E3" w:rsidRPr="00907264">
        <w:rPr>
          <w:bCs/>
          <w:u w:val="single"/>
        </w:rPr>
        <w:t>Medium</w:t>
      </w:r>
      <w:r w:rsidR="00AD06E3" w:rsidRPr="00907264">
        <w:t>, February 14, 2017.</w:t>
      </w:r>
      <w:r w:rsidR="00AD06E3">
        <w:t xml:space="preserve"> </w:t>
      </w:r>
      <w:r w:rsidR="00AD06E3" w:rsidRPr="00907264">
        <w:t>Accessed April 4, 2017. https://medium.com/@DaleBeran/4chan-the-skeleton-key-to-the-rise-of-trump-624e7cb798cb.</w:t>
      </w:r>
    </w:p>
  </w:endnote>
  <w:endnote w:id="14">
    <w:p w14:paraId="0D2350CE" w14:textId="77777777" w:rsidR="00125F33" w:rsidRPr="00907264" w:rsidRDefault="00125F33" w:rsidP="00AE064C">
      <w:pPr>
        <w:spacing w:line="480" w:lineRule="auto"/>
        <w:ind w:firstLine="720"/>
      </w:pPr>
      <w:r w:rsidRPr="00907264">
        <w:rPr>
          <w:rStyle w:val="EndnoteReference"/>
        </w:rPr>
        <w:endnoteRef/>
      </w:r>
      <w:r w:rsidRPr="00907264">
        <w:t xml:space="preserve"> </w:t>
      </w:r>
      <w:r w:rsidR="00AE064C">
        <w:t xml:space="preserve">Eric </w:t>
      </w:r>
      <w:r w:rsidR="00AE064C" w:rsidRPr="00907264">
        <w:rPr>
          <w:bCs/>
        </w:rPr>
        <w:t xml:space="preserve">Lott, </w:t>
      </w:r>
      <w:r w:rsidR="00AE064C" w:rsidRPr="00907264">
        <w:rPr>
          <w:bCs/>
          <w:u w:val="single"/>
        </w:rPr>
        <w:t>Love and Theft: Blackface Minstrelsy and the American Working Class</w:t>
      </w:r>
      <w:r w:rsidR="00AE064C" w:rsidRPr="00907264">
        <w:rPr>
          <w:bCs/>
        </w:rPr>
        <w:t xml:space="preserve"> [1993] </w:t>
      </w:r>
      <w:r w:rsidR="00AE064C">
        <w:rPr>
          <w:bCs/>
        </w:rPr>
        <w:t>(</w:t>
      </w:r>
      <w:r w:rsidR="00AE064C" w:rsidRPr="00907264">
        <w:rPr>
          <w:bCs/>
        </w:rPr>
        <w:t>New</w:t>
      </w:r>
      <w:r w:rsidR="00AE064C">
        <w:rPr>
          <w:bCs/>
        </w:rPr>
        <w:t xml:space="preserve"> </w:t>
      </w:r>
      <w:r w:rsidR="00AE064C" w:rsidRPr="00907264">
        <w:rPr>
          <w:bCs/>
        </w:rPr>
        <w:t>York and Oxford: Oxford University Press, 2013</w:t>
      </w:r>
      <w:r w:rsidR="00AE064C">
        <w:rPr>
          <w:bCs/>
        </w:rPr>
        <w:t xml:space="preserve">), </w:t>
      </w:r>
      <w:r w:rsidR="005E577F" w:rsidRPr="005E577F">
        <w:t>152.</w:t>
      </w:r>
    </w:p>
  </w:endnote>
  <w:endnote w:id="15">
    <w:p w14:paraId="1EDFABAE" w14:textId="77777777" w:rsidR="003E3CAA" w:rsidRPr="0074402F" w:rsidRDefault="003E2434" w:rsidP="00B9375A">
      <w:pPr>
        <w:spacing w:line="480" w:lineRule="auto"/>
      </w:pPr>
      <w:r w:rsidRPr="002B281A">
        <w:tab/>
      </w:r>
      <w:r w:rsidR="003E3CAA" w:rsidRPr="002B281A">
        <w:rPr>
          <w:rStyle w:val="EndnoteReference"/>
        </w:rPr>
        <w:endnoteRef/>
      </w:r>
      <w:r w:rsidR="003E3CAA" w:rsidRPr="002B281A">
        <w:t xml:space="preserve"> Consider, for instance, </w:t>
      </w:r>
      <w:r w:rsidR="0074402F" w:rsidRPr="002B281A">
        <w:t>V</w:t>
      </w:r>
      <w:r w:rsidR="0074402F" w:rsidRPr="002B281A">
        <w:rPr>
          <w:bCs/>
        </w:rPr>
        <w:t xml:space="preserve">ernon Stauffer, </w:t>
      </w:r>
      <w:r w:rsidR="0074402F" w:rsidRPr="002B281A">
        <w:rPr>
          <w:bCs/>
          <w:u w:val="single"/>
        </w:rPr>
        <w:t>New England and the Bavarian Illuminati</w:t>
      </w:r>
      <w:r w:rsidR="0074402F" w:rsidRPr="002B281A">
        <w:rPr>
          <w:bCs/>
        </w:rPr>
        <w:t xml:space="preserve"> </w:t>
      </w:r>
      <w:r w:rsidR="0074402F">
        <w:rPr>
          <w:bCs/>
        </w:rPr>
        <w:t>(</w:t>
      </w:r>
      <w:r w:rsidR="0074402F" w:rsidRPr="00907264">
        <w:rPr>
          <w:bCs/>
        </w:rPr>
        <w:t>New York: Columbia University,</w:t>
      </w:r>
      <w:r w:rsidR="0074402F">
        <w:rPr>
          <w:bCs/>
        </w:rPr>
        <w:t xml:space="preserve"> </w:t>
      </w:r>
      <w:r w:rsidR="0074402F" w:rsidRPr="0074402F">
        <w:rPr>
          <w:bCs/>
        </w:rPr>
        <w:t>1918);</w:t>
      </w:r>
      <w:r w:rsidR="00B9375A">
        <w:rPr>
          <w:bCs/>
        </w:rPr>
        <w:t xml:space="preserve"> </w:t>
      </w:r>
      <w:r w:rsidR="00B9375A" w:rsidRPr="00907264">
        <w:rPr>
          <w:bCs/>
        </w:rPr>
        <w:t>Gordon S.</w:t>
      </w:r>
      <w:r w:rsidR="00B9375A">
        <w:rPr>
          <w:bCs/>
        </w:rPr>
        <w:t xml:space="preserve"> Wood,</w:t>
      </w:r>
      <w:r w:rsidR="00B9375A" w:rsidRPr="00907264">
        <w:rPr>
          <w:bCs/>
        </w:rPr>
        <w:t xml:space="preserve"> “Conspiracy and the Paranoid Style: Causality and Deceit in the Eighteenth</w:t>
      </w:r>
      <w:r w:rsidR="00B9375A">
        <w:rPr>
          <w:bCs/>
        </w:rPr>
        <w:t xml:space="preserve"> </w:t>
      </w:r>
      <w:r w:rsidR="00B9375A" w:rsidRPr="00907264">
        <w:rPr>
          <w:bCs/>
        </w:rPr>
        <w:t xml:space="preserve">Century,” </w:t>
      </w:r>
      <w:r w:rsidR="00B9375A" w:rsidRPr="00907264">
        <w:rPr>
          <w:bCs/>
          <w:u w:val="single"/>
        </w:rPr>
        <w:t>William and Mary Quarterly</w:t>
      </w:r>
      <w:r w:rsidR="00B9375A">
        <w:rPr>
          <w:bCs/>
        </w:rPr>
        <w:t xml:space="preserve"> 39, no. 3 (1982): 401-41</w:t>
      </w:r>
      <w:r w:rsidR="003E3CAA" w:rsidRPr="0074402F">
        <w:rPr>
          <w:bCs/>
        </w:rPr>
        <w:t xml:space="preserve">; White, </w:t>
      </w:r>
      <w:r w:rsidRPr="0074402F">
        <w:rPr>
          <w:bCs/>
        </w:rPr>
        <w:t>“</w:t>
      </w:r>
      <w:r w:rsidR="003E3CAA" w:rsidRPr="0074402F">
        <w:rPr>
          <w:bCs/>
        </w:rPr>
        <w:t>The Value of Conspiracy Theory,</w:t>
      </w:r>
      <w:r w:rsidRPr="0074402F">
        <w:rPr>
          <w:bCs/>
        </w:rPr>
        <w:t xml:space="preserve">” </w:t>
      </w:r>
      <w:r w:rsidR="0074402F">
        <w:rPr>
          <w:bCs/>
        </w:rPr>
        <w:t>1-31</w:t>
      </w:r>
      <w:r w:rsidR="003E3CAA" w:rsidRPr="0074402F">
        <w:rPr>
          <w:bCs/>
        </w:rPr>
        <w:t xml:space="preserve">; </w:t>
      </w:r>
      <w:r w:rsidR="0074402F">
        <w:t xml:space="preserve">Seth </w:t>
      </w:r>
      <w:r w:rsidR="0074402F">
        <w:t>Cotlar,</w:t>
      </w:r>
      <w:r w:rsidR="0074402F" w:rsidRPr="00907264">
        <w:t xml:space="preserve"> “The Federalists’ Transatlantic Cultural Offensive of 1798 and the Moderation of</w:t>
      </w:r>
      <w:r w:rsidR="0074402F">
        <w:t xml:space="preserve"> </w:t>
      </w:r>
      <w:r w:rsidR="0074402F" w:rsidRPr="00907264">
        <w:t>American Democratic</w:t>
      </w:r>
      <w:r w:rsidR="0074402F" w:rsidRPr="0074402F">
        <w:t xml:space="preserve"> Discourse,” </w:t>
      </w:r>
      <w:r w:rsidR="0074402F" w:rsidRPr="0074402F">
        <w:rPr>
          <w:u w:val="single"/>
        </w:rPr>
        <w:t>Beyond the Borders: New Approaches to the Political History of the Early American Republic</w:t>
      </w:r>
      <w:r w:rsidR="0074402F" w:rsidRPr="0074402F">
        <w:t xml:space="preserve">, eds. Jeffrey L. Pasley, Andrew Robertson, and David Waldstreicher (Chapel Hill: University of North Carolina Press, 2004): </w:t>
      </w:r>
      <w:r w:rsidRPr="0074402F">
        <w:t>274-301;</w:t>
      </w:r>
      <w:r w:rsidR="003E3CAA" w:rsidRPr="0074402F">
        <w:rPr>
          <w:bCs/>
        </w:rPr>
        <w:t xml:space="preserve"> Waterman, </w:t>
      </w:r>
      <w:r w:rsidR="003E3CAA" w:rsidRPr="0074402F">
        <w:rPr>
          <w:bCs/>
          <w:u w:val="single"/>
        </w:rPr>
        <w:t>Republic of Intellect</w:t>
      </w:r>
      <w:r w:rsidRPr="0074402F">
        <w:rPr>
          <w:bCs/>
        </w:rPr>
        <w:t>, 50-91.</w:t>
      </w:r>
    </w:p>
  </w:endnote>
  <w:endnote w:id="16">
    <w:p w14:paraId="05C9F893" w14:textId="77777777" w:rsidR="003E3CAA" w:rsidRPr="00907264" w:rsidRDefault="003E3CAA" w:rsidP="00B9375A">
      <w:pPr>
        <w:spacing w:line="480" w:lineRule="auto"/>
        <w:ind w:firstLine="720"/>
      </w:pPr>
      <w:r w:rsidRPr="00907264">
        <w:rPr>
          <w:rStyle w:val="EndnoteReference"/>
        </w:rPr>
        <w:endnoteRef/>
      </w:r>
      <w:r w:rsidRPr="00907264">
        <w:t xml:space="preserve"> In January of the previous year, Morse received a letter from the Rev. John Erskine of Edinburgh, who hinted at the imagined cabal and mentioned the forthcoming publication of John Robison’s </w:t>
      </w:r>
      <w:r w:rsidRPr="00907264">
        <w:rPr>
          <w:u w:val="single"/>
        </w:rPr>
        <w:t>Proof’s of a Conspiracy</w:t>
      </w:r>
      <w:r w:rsidRPr="00907264">
        <w:t xml:space="preserve"> (1797). See </w:t>
      </w:r>
      <w:r w:rsidR="002B281A" w:rsidRPr="00907264">
        <w:t>James King</w:t>
      </w:r>
      <w:r w:rsidR="002B281A">
        <w:t xml:space="preserve"> Morse</w:t>
      </w:r>
      <w:r w:rsidR="002B281A" w:rsidRPr="00907264">
        <w:t xml:space="preserve">, </w:t>
      </w:r>
      <w:r w:rsidR="002B281A" w:rsidRPr="00907264">
        <w:rPr>
          <w:u w:val="single"/>
        </w:rPr>
        <w:t>Jedidiah Morse: A Champion of New England Orthodoxy</w:t>
      </w:r>
      <w:r w:rsidR="002B281A">
        <w:t xml:space="preserve"> (</w:t>
      </w:r>
      <w:r w:rsidR="002B281A" w:rsidRPr="00907264">
        <w:t>New York:</w:t>
      </w:r>
      <w:r w:rsidR="002B281A">
        <w:t xml:space="preserve"> Columbia University Press, 1939), </w:t>
      </w:r>
      <w:r w:rsidRPr="00907264">
        <w:t xml:space="preserve">55. See also Stauffer, </w:t>
      </w:r>
      <w:r w:rsidRPr="00907264">
        <w:rPr>
          <w:u w:val="single"/>
        </w:rPr>
        <w:t>New England and the Bavarian Illuminati</w:t>
      </w:r>
      <w:r w:rsidR="003E2434" w:rsidRPr="00907264">
        <w:t xml:space="preserve">, </w:t>
      </w:r>
      <w:r w:rsidRPr="00907264">
        <w:t>233, n</w:t>
      </w:r>
      <w:r w:rsidR="00791331">
        <w:t>.</w:t>
      </w:r>
      <w:r w:rsidRPr="00907264">
        <w:t xml:space="preserve"> 2.</w:t>
      </w:r>
    </w:p>
  </w:endnote>
  <w:endnote w:id="17">
    <w:p w14:paraId="3051C205" w14:textId="77777777" w:rsidR="003E3CAA" w:rsidRPr="00907264" w:rsidRDefault="003E3CAA" w:rsidP="00907264">
      <w:pPr>
        <w:pStyle w:val="EndnoteText"/>
        <w:spacing w:line="480" w:lineRule="auto"/>
        <w:ind w:firstLine="720"/>
        <w:rPr>
          <w:sz w:val="24"/>
          <w:szCs w:val="24"/>
        </w:rPr>
      </w:pPr>
      <w:r w:rsidRPr="00907264">
        <w:rPr>
          <w:rStyle w:val="EndnoteReference"/>
          <w:sz w:val="24"/>
          <w:szCs w:val="24"/>
        </w:rPr>
        <w:endnoteRef/>
      </w:r>
      <w:r w:rsidRPr="00907264">
        <w:rPr>
          <w:sz w:val="24"/>
          <w:szCs w:val="24"/>
        </w:rPr>
        <w:t xml:space="preserve"> See Jedidiah Morse, “For the Chronicle,” in </w:t>
      </w:r>
      <w:r w:rsidRPr="00907264">
        <w:rPr>
          <w:sz w:val="24"/>
          <w:szCs w:val="24"/>
          <w:u w:val="single"/>
        </w:rPr>
        <w:t>The Independent Chronicle and the Universal Advertiser</w:t>
      </w:r>
      <w:r w:rsidRPr="00907264">
        <w:rPr>
          <w:sz w:val="24"/>
          <w:szCs w:val="24"/>
        </w:rPr>
        <w:t xml:space="preserve"> [Boston], June 14 to June 18, 1798: 4.</w:t>
      </w:r>
    </w:p>
  </w:endnote>
  <w:endnote w:id="18">
    <w:p w14:paraId="4B8D1082" w14:textId="77777777" w:rsidR="003E3CAA" w:rsidRPr="00907264" w:rsidRDefault="003E3CAA" w:rsidP="00907264">
      <w:pPr>
        <w:pStyle w:val="EndnoteText"/>
        <w:spacing w:line="480" w:lineRule="auto"/>
        <w:ind w:firstLine="720"/>
        <w:rPr>
          <w:sz w:val="24"/>
          <w:szCs w:val="24"/>
        </w:rPr>
      </w:pPr>
      <w:r w:rsidRPr="00907264">
        <w:rPr>
          <w:rStyle w:val="EndnoteReference"/>
          <w:sz w:val="24"/>
          <w:szCs w:val="24"/>
        </w:rPr>
        <w:endnoteRef/>
      </w:r>
      <w:r w:rsidRPr="00907264">
        <w:rPr>
          <w:sz w:val="24"/>
          <w:szCs w:val="24"/>
        </w:rPr>
        <w:t xml:space="preserve"> References to </w:t>
      </w:r>
      <w:r w:rsidRPr="00907264">
        <w:rPr>
          <w:sz w:val="24"/>
          <w:szCs w:val="24"/>
        </w:rPr>
        <w:t xml:space="preserve">Barruel appeared as early as June 24, 1799, in the Connecticut </w:t>
      </w:r>
      <w:r w:rsidRPr="00907264">
        <w:rPr>
          <w:sz w:val="24"/>
          <w:szCs w:val="24"/>
          <w:u w:val="single"/>
        </w:rPr>
        <w:t>Courant</w:t>
      </w:r>
      <w:r w:rsidRPr="00907264">
        <w:rPr>
          <w:sz w:val="24"/>
          <w:szCs w:val="24"/>
        </w:rPr>
        <w:t xml:space="preserve">. </w:t>
      </w:r>
      <w:r w:rsidR="001F7031" w:rsidRPr="00907264">
        <w:rPr>
          <w:sz w:val="24"/>
          <w:szCs w:val="24"/>
        </w:rPr>
        <w:t xml:space="preserve">See </w:t>
      </w:r>
      <w:r w:rsidRPr="00907264">
        <w:rPr>
          <w:sz w:val="24"/>
          <w:szCs w:val="24"/>
        </w:rPr>
        <w:t xml:space="preserve">Stauffer, </w:t>
      </w:r>
      <w:r w:rsidRPr="00907264">
        <w:rPr>
          <w:sz w:val="24"/>
          <w:szCs w:val="24"/>
          <w:u w:val="single"/>
        </w:rPr>
        <w:t>New England and the Bavarian Illuminati</w:t>
      </w:r>
      <w:r w:rsidRPr="00907264">
        <w:rPr>
          <w:sz w:val="24"/>
          <w:szCs w:val="24"/>
        </w:rPr>
        <w:t>, 311, n. 1.</w:t>
      </w:r>
    </w:p>
  </w:endnote>
  <w:endnote w:id="19">
    <w:p w14:paraId="7DBF2B22" w14:textId="77777777" w:rsidR="003E3CAA" w:rsidRPr="00EF47FA" w:rsidRDefault="003E3CAA" w:rsidP="00EF47FA">
      <w:pPr>
        <w:spacing w:line="480" w:lineRule="auto"/>
        <w:ind w:firstLine="720"/>
        <w:rPr>
          <w:bCs/>
        </w:rPr>
      </w:pPr>
      <w:r w:rsidRPr="00EF47FA">
        <w:rPr>
          <w:rStyle w:val="EndnoteReference"/>
        </w:rPr>
        <w:endnoteRef/>
      </w:r>
      <w:r w:rsidRPr="00EF47FA">
        <w:t xml:space="preserve"> In chronological order, see: </w:t>
      </w:r>
      <w:r w:rsidR="00EF47FA" w:rsidRPr="00EF47FA">
        <w:t xml:space="preserve">Timothy Dwight, </w:t>
      </w:r>
      <w:r w:rsidR="00EF47FA" w:rsidRPr="00EF47FA">
        <w:rPr>
          <w:u w:val="single"/>
        </w:rPr>
        <w:t xml:space="preserve">The Nature and Danger of Infidel Philosophy, </w:t>
      </w:r>
      <w:r w:rsidR="00EF47FA" w:rsidRPr="00907264">
        <w:rPr>
          <w:u w:val="single"/>
        </w:rPr>
        <w:t>Exhibited in Two Discourses,</w:t>
      </w:r>
      <w:r w:rsidR="00EF47FA">
        <w:rPr>
          <w:u w:val="single"/>
        </w:rPr>
        <w:t xml:space="preserve"> </w:t>
      </w:r>
      <w:r w:rsidR="00EF47FA" w:rsidRPr="00907264">
        <w:rPr>
          <w:u w:val="single"/>
        </w:rPr>
        <w:t>Addressed to the Candidates for the Baccalaureate, in Yale College, September 9</w:t>
      </w:r>
      <w:r w:rsidR="00EF47FA" w:rsidRPr="00907264">
        <w:rPr>
          <w:u w:val="single"/>
          <w:vertAlign w:val="superscript"/>
        </w:rPr>
        <w:t>th</w:t>
      </w:r>
      <w:r w:rsidR="00EF47FA" w:rsidRPr="00907264">
        <w:rPr>
          <w:u w:val="single"/>
        </w:rPr>
        <w:t>, 1797</w:t>
      </w:r>
      <w:r w:rsidR="00EF47FA">
        <w:t xml:space="preserve"> (New Haven: Geo. GE Bunce, 1799); Jedidiah </w:t>
      </w:r>
      <w:r w:rsidR="00EF47FA" w:rsidRPr="00907264">
        <w:t xml:space="preserve">Morse, </w:t>
      </w:r>
      <w:r w:rsidR="00EF47FA" w:rsidRPr="00907264">
        <w:rPr>
          <w:u w:val="single"/>
        </w:rPr>
        <w:t>Doctor Morse’s Sermon on the National Fast, May 9</w:t>
      </w:r>
      <w:r w:rsidR="00EF47FA" w:rsidRPr="00907264">
        <w:rPr>
          <w:u w:val="single"/>
          <w:vertAlign w:val="superscript"/>
        </w:rPr>
        <w:t>th</w:t>
      </w:r>
      <w:r w:rsidR="00EF47FA" w:rsidRPr="00907264">
        <w:rPr>
          <w:u w:val="single"/>
        </w:rPr>
        <w:t>, 1798</w:t>
      </w:r>
      <w:r w:rsidR="00EF47FA" w:rsidRPr="00907264">
        <w:t xml:space="preserve"> </w:t>
      </w:r>
      <w:r w:rsidR="00EF47FA">
        <w:t>(</w:t>
      </w:r>
      <w:r w:rsidR="00EF47FA" w:rsidRPr="00907264">
        <w:t>Boston: Samuel</w:t>
      </w:r>
      <w:r w:rsidR="00EF47FA">
        <w:t xml:space="preserve"> Hall, No. 53, Cornhill, </w:t>
      </w:r>
      <w:r w:rsidR="00EF47FA" w:rsidRPr="00EF47FA">
        <w:t xml:space="preserve">1798); </w:t>
      </w:r>
      <w:r w:rsidRPr="00EF47FA">
        <w:t xml:space="preserve">Dwight, </w:t>
      </w:r>
      <w:r w:rsidRPr="00EF47FA">
        <w:rPr>
          <w:u w:val="single"/>
        </w:rPr>
        <w:t>The Duty of Americans</w:t>
      </w:r>
      <w:r w:rsidR="001F7031" w:rsidRPr="00EF47FA">
        <w:t xml:space="preserve">; </w:t>
      </w:r>
      <w:r w:rsidR="00EF47FA" w:rsidRPr="00EF47FA">
        <w:t xml:space="preserve">John Cotton Smith, </w:t>
      </w:r>
      <w:r w:rsidR="00EF47FA" w:rsidRPr="00EF47FA">
        <w:rPr>
          <w:u w:val="single"/>
        </w:rPr>
        <w:t xml:space="preserve">Oration, Pronounced at Sharon, on </w:t>
      </w:r>
      <w:r w:rsidR="00EF47FA" w:rsidRPr="00907264">
        <w:rPr>
          <w:u w:val="single"/>
        </w:rPr>
        <w:t>the Anniversary of American</w:t>
      </w:r>
      <w:r w:rsidR="00EF47FA">
        <w:rPr>
          <w:u w:val="single"/>
        </w:rPr>
        <w:t xml:space="preserve"> </w:t>
      </w:r>
      <w:r w:rsidR="00EF47FA" w:rsidRPr="00907264">
        <w:rPr>
          <w:u w:val="single"/>
        </w:rPr>
        <w:t>Independence, 4</w:t>
      </w:r>
      <w:r w:rsidR="00EF47FA" w:rsidRPr="00907264">
        <w:rPr>
          <w:u w:val="single"/>
          <w:vertAlign w:val="superscript"/>
        </w:rPr>
        <w:t>th</w:t>
      </w:r>
      <w:r w:rsidR="00EF47FA" w:rsidRPr="00907264">
        <w:rPr>
          <w:u w:val="single"/>
        </w:rPr>
        <w:t xml:space="preserve"> of July, 1798</w:t>
      </w:r>
      <w:r w:rsidR="00EF47FA">
        <w:t xml:space="preserve"> (</w:t>
      </w:r>
      <w:r w:rsidR="00EF47FA" w:rsidRPr="00907264">
        <w:t xml:space="preserve">Litchfield, CT: T. Collier, </w:t>
      </w:r>
      <w:r w:rsidR="00EF47FA">
        <w:t>1798); Jedidiah Morse,</w:t>
      </w:r>
      <w:r w:rsidR="00EF47FA" w:rsidRPr="00907264">
        <w:t xml:space="preserve"> </w:t>
      </w:r>
      <w:r w:rsidR="00EF47FA" w:rsidRPr="00907264">
        <w:rPr>
          <w:u w:val="single"/>
        </w:rPr>
        <w:t>A Sermon Preached at Charlestown, November 29, 1798,” on the Anniversary</w:t>
      </w:r>
      <w:r w:rsidR="00EF47FA">
        <w:rPr>
          <w:u w:val="single"/>
        </w:rPr>
        <w:t xml:space="preserve"> </w:t>
      </w:r>
      <w:r w:rsidR="00EF47FA" w:rsidRPr="00907264">
        <w:rPr>
          <w:u w:val="single"/>
        </w:rPr>
        <w:t>Thanksgiving in Massachusetts</w:t>
      </w:r>
      <w:r w:rsidR="00EF47FA">
        <w:t xml:space="preserve"> (Boston: Samuel Hall, 1798); Jedidiah Morse, </w:t>
      </w:r>
      <w:r w:rsidR="00EF47FA" w:rsidRPr="00907264">
        <w:rPr>
          <w:u w:val="single"/>
        </w:rPr>
        <w:t>A Sermon, exhibiting The Present Dangers, and Consequent Duties of the</w:t>
      </w:r>
      <w:r w:rsidR="00EF47FA">
        <w:rPr>
          <w:u w:val="single"/>
        </w:rPr>
        <w:t xml:space="preserve"> </w:t>
      </w:r>
      <w:r w:rsidR="00EF47FA" w:rsidRPr="00907264">
        <w:rPr>
          <w:u w:val="single"/>
        </w:rPr>
        <w:t>Citizens of the United States of America. Delivered at Charlestown, April 25, 1799, the Day of the National Fast</w:t>
      </w:r>
      <w:r w:rsidR="00EF47FA">
        <w:t xml:space="preserve"> (</w:t>
      </w:r>
      <w:r w:rsidR="00EF47FA" w:rsidRPr="00907264">
        <w:t>Hartford: Reprin</w:t>
      </w:r>
      <w:r w:rsidR="00EF47FA">
        <w:t xml:space="preserve">ted by Hudson and Goodwin, 1799); </w:t>
      </w:r>
      <w:r w:rsidR="00EF47FA" w:rsidRPr="00907264">
        <w:t>Elijah</w:t>
      </w:r>
      <w:r w:rsidR="00EF47FA">
        <w:t xml:space="preserve"> Parish,</w:t>
      </w:r>
      <w:r w:rsidR="00EF47FA" w:rsidRPr="00907264">
        <w:t xml:space="preserve"> </w:t>
      </w:r>
      <w:r w:rsidR="00EF47FA" w:rsidRPr="00907264">
        <w:rPr>
          <w:u w:val="single"/>
        </w:rPr>
        <w:t xml:space="preserve">An Oration Delivered at </w:t>
      </w:r>
      <w:r w:rsidR="00EF47FA" w:rsidRPr="00907264">
        <w:rPr>
          <w:u w:val="single"/>
        </w:rPr>
        <w:t>Byfield July 4, 1799</w:t>
      </w:r>
      <w:r w:rsidR="00EF47FA">
        <w:t xml:space="preserve"> (Newburyport: Angier March, 1799).</w:t>
      </w:r>
    </w:p>
  </w:endnote>
  <w:endnote w:id="20">
    <w:p w14:paraId="29E6A460" w14:textId="77777777" w:rsidR="003E3CAA" w:rsidRPr="00C10EF3" w:rsidRDefault="003E3CAA" w:rsidP="00C10EF3">
      <w:pPr>
        <w:pStyle w:val="EndnoteText"/>
        <w:spacing w:line="480" w:lineRule="auto"/>
        <w:ind w:firstLine="720"/>
        <w:rPr>
          <w:sz w:val="24"/>
          <w:szCs w:val="24"/>
        </w:rPr>
      </w:pPr>
      <w:r w:rsidRPr="00907264">
        <w:rPr>
          <w:rStyle w:val="EndnoteReference"/>
          <w:sz w:val="24"/>
          <w:szCs w:val="24"/>
        </w:rPr>
        <w:endnoteRef/>
      </w:r>
      <w:r w:rsidRPr="00907264">
        <w:rPr>
          <w:sz w:val="24"/>
          <w:szCs w:val="24"/>
        </w:rPr>
        <w:t xml:space="preserve"> See Brown, </w:t>
      </w:r>
      <w:r w:rsidRPr="00907264">
        <w:rPr>
          <w:sz w:val="24"/>
          <w:szCs w:val="24"/>
          <w:u w:val="single"/>
        </w:rPr>
        <w:t>An Oration, Spoken at Hartford</w:t>
      </w:r>
      <w:r w:rsidR="00CC2AC0" w:rsidRPr="00907264">
        <w:rPr>
          <w:sz w:val="24"/>
          <w:szCs w:val="24"/>
        </w:rPr>
        <w:t xml:space="preserve"> and </w:t>
      </w:r>
      <w:r w:rsidR="00C10EF3" w:rsidRPr="00907264">
        <w:rPr>
          <w:sz w:val="24"/>
          <w:szCs w:val="24"/>
        </w:rPr>
        <w:t xml:space="preserve">Dwight, Theodore. </w:t>
      </w:r>
      <w:r w:rsidR="00C10EF3" w:rsidRPr="00907264">
        <w:rPr>
          <w:sz w:val="24"/>
          <w:szCs w:val="24"/>
          <w:u w:val="single"/>
        </w:rPr>
        <w:t>Oration Spoken at Hartford, in the State of Connecticut, on the Anniversary</w:t>
      </w:r>
      <w:r w:rsidR="00C10EF3">
        <w:rPr>
          <w:sz w:val="24"/>
          <w:szCs w:val="24"/>
          <w:u w:val="single"/>
        </w:rPr>
        <w:t xml:space="preserve"> </w:t>
      </w:r>
      <w:r w:rsidR="00C10EF3" w:rsidRPr="00907264">
        <w:rPr>
          <w:sz w:val="24"/>
          <w:szCs w:val="24"/>
          <w:u w:val="single"/>
        </w:rPr>
        <w:t>of American Independence, July 4</w:t>
      </w:r>
      <w:r w:rsidR="00C10EF3" w:rsidRPr="00907264">
        <w:rPr>
          <w:sz w:val="24"/>
          <w:szCs w:val="24"/>
          <w:u w:val="single"/>
          <w:vertAlign w:val="superscript"/>
        </w:rPr>
        <w:t>th</w:t>
      </w:r>
      <w:r w:rsidR="00C10EF3" w:rsidRPr="00907264">
        <w:rPr>
          <w:sz w:val="24"/>
          <w:szCs w:val="24"/>
          <w:u w:val="single"/>
        </w:rPr>
        <w:t>, 1798</w:t>
      </w:r>
      <w:r w:rsidR="00C10EF3">
        <w:rPr>
          <w:sz w:val="24"/>
          <w:szCs w:val="24"/>
        </w:rPr>
        <w:t xml:space="preserve"> (</w:t>
      </w:r>
      <w:r w:rsidR="00C10EF3" w:rsidRPr="00907264">
        <w:rPr>
          <w:sz w:val="24"/>
          <w:szCs w:val="24"/>
        </w:rPr>
        <w:t>Har</w:t>
      </w:r>
      <w:r w:rsidR="00C10EF3">
        <w:rPr>
          <w:sz w:val="24"/>
          <w:szCs w:val="24"/>
        </w:rPr>
        <w:t>tford: Hudson and Goodwin, 1798).</w:t>
      </w:r>
      <w:r w:rsidRPr="00907264">
        <w:rPr>
          <w:sz w:val="24"/>
          <w:szCs w:val="24"/>
        </w:rPr>
        <w:t xml:space="preserve"> See also</w:t>
      </w:r>
      <w:r w:rsidR="00C10EF3">
        <w:rPr>
          <w:sz w:val="24"/>
          <w:szCs w:val="24"/>
        </w:rPr>
        <w:t xml:space="preserve"> </w:t>
      </w:r>
      <w:r w:rsidR="00C10EF3" w:rsidRPr="00907264">
        <w:rPr>
          <w:sz w:val="24"/>
          <w:szCs w:val="24"/>
        </w:rPr>
        <w:t xml:space="preserve">Cicero [pseud.], </w:t>
      </w:r>
      <w:r w:rsidR="00C10EF3" w:rsidRPr="00907264">
        <w:rPr>
          <w:sz w:val="24"/>
          <w:szCs w:val="24"/>
          <w:u w:val="single"/>
        </w:rPr>
        <w:t>Cicero, or, A Discovery of a Clan of Conspirators against All Religions and</w:t>
      </w:r>
      <w:r w:rsidR="00C10EF3">
        <w:rPr>
          <w:sz w:val="24"/>
          <w:szCs w:val="24"/>
          <w:u w:val="single"/>
        </w:rPr>
        <w:t xml:space="preserve"> </w:t>
      </w:r>
      <w:r w:rsidR="00C10EF3" w:rsidRPr="00907264">
        <w:rPr>
          <w:sz w:val="24"/>
          <w:szCs w:val="24"/>
          <w:u w:val="single"/>
        </w:rPr>
        <w:t xml:space="preserve">Governments in The Whole World. Extracted from Robison, </w:t>
      </w:r>
      <w:r w:rsidR="00C10EF3" w:rsidRPr="00907264">
        <w:rPr>
          <w:sz w:val="24"/>
          <w:szCs w:val="24"/>
          <w:u w:val="single"/>
        </w:rPr>
        <w:t>Mournier and Barruel; and interspersed with hints in due season</w:t>
      </w:r>
      <w:r w:rsidR="00C10EF3" w:rsidRPr="00907264">
        <w:rPr>
          <w:sz w:val="24"/>
          <w:szCs w:val="24"/>
        </w:rPr>
        <w:t xml:space="preserve"> </w:t>
      </w:r>
      <w:r w:rsidR="00C10EF3">
        <w:rPr>
          <w:sz w:val="24"/>
          <w:szCs w:val="24"/>
        </w:rPr>
        <w:t xml:space="preserve">(Baltimore: J. Hayes, 1799). </w:t>
      </w:r>
      <w:r w:rsidRPr="00907264">
        <w:rPr>
          <w:sz w:val="24"/>
          <w:szCs w:val="24"/>
        </w:rPr>
        <w:t>The Presbyterian minister and future Rutgers president, William Linn, would contribute, as well. See</w:t>
      </w:r>
      <w:r w:rsidR="00C10EF3">
        <w:rPr>
          <w:sz w:val="24"/>
          <w:szCs w:val="24"/>
        </w:rPr>
        <w:t xml:space="preserve"> William Linn,</w:t>
      </w:r>
      <w:r w:rsidR="00C10EF3" w:rsidRPr="00907264">
        <w:rPr>
          <w:sz w:val="24"/>
          <w:szCs w:val="24"/>
        </w:rPr>
        <w:t xml:space="preserve"> </w:t>
      </w:r>
      <w:r w:rsidR="00C10EF3" w:rsidRPr="00907264">
        <w:rPr>
          <w:sz w:val="24"/>
          <w:szCs w:val="24"/>
          <w:u w:val="single"/>
        </w:rPr>
        <w:t>A Discourse on National Sins: Delivered May 9, 1798; Being the Day</w:t>
      </w:r>
      <w:r w:rsidR="00C10EF3">
        <w:rPr>
          <w:sz w:val="24"/>
          <w:szCs w:val="24"/>
          <w:u w:val="single"/>
        </w:rPr>
        <w:t xml:space="preserve"> </w:t>
      </w:r>
      <w:r w:rsidR="00C10EF3" w:rsidRPr="00907264">
        <w:rPr>
          <w:sz w:val="24"/>
          <w:szCs w:val="24"/>
          <w:u w:val="single"/>
        </w:rPr>
        <w:t>Recommended by the President of the United States to be Observed as a Day of General Fast</w:t>
      </w:r>
      <w:r w:rsidR="00C10EF3">
        <w:rPr>
          <w:sz w:val="24"/>
          <w:szCs w:val="24"/>
        </w:rPr>
        <w:t xml:space="preserve"> (New York: T. &amp; J. Swords, 1798)</w:t>
      </w:r>
      <w:r w:rsidR="00CC2AC0" w:rsidRPr="00C10EF3">
        <w:rPr>
          <w:sz w:val="24"/>
          <w:szCs w:val="24"/>
        </w:rPr>
        <w:t>, 22-3, note</w:t>
      </w:r>
      <w:r w:rsidRPr="00C10EF3">
        <w:rPr>
          <w:sz w:val="24"/>
          <w:szCs w:val="24"/>
        </w:rPr>
        <w:t>.</w:t>
      </w:r>
    </w:p>
  </w:endnote>
  <w:endnote w:id="21">
    <w:p w14:paraId="103CB572" w14:textId="77777777" w:rsidR="003E3CAA" w:rsidRPr="00907264" w:rsidRDefault="003E3CAA" w:rsidP="00907264">
      <w:pPr>
        <w:pStyle w:val="EndnoteText"/>
        <w:spacing w:line="480" w:lineRule="auto"/>
        <w:ind w:firstLine="720"/>
        <w:rPr>
          <w:sz w:val="24"/>
          <w:szCs w:val="24"/>
        </w:rPr>
      </w:pPr>
      <w:r w:rsidRPr="00907264">
        <w:rPr>
          <w:rStyle w:val="EndnoteReference"/>
          <w:sz w:val="24"/>
          <w:szCs w:val="24"/>
        </w:rPr>
        <w:endnoteRef/>
      </w:r>
      <w:r w:rsidRPr="00907264">
        <w:rPr>
          <w:sz w:val="24"/>
          <w:szCs w:val="24"/>
        </w:rPr>
        <w:t xml:space="preserve"> </w:t>
      </w:r>
      <w:r w:rsidR="007F69AE" w:rsidRPr="00907264">
        <w:rPr>
          <w:sz w:val="24"/>
          <w:szCs w:val="24"/>
        </w:rPr>
        <w:t xml:space="preserve">The first instance I have been able to locate is Morse, </w:t>
      </w:r>
      <w:r w:rsidR="007F69AE" w:rsidRPr="00907264">
        <w:rPr>
          <w:sz w:val="24"/>
          <w:szCs w:val="24"/>
          <w:u w:val="single"/>
        </w:rPr>
        <w:t>A Sermon, exhibiting The Present Dangers</w:t>
      </w:r>
      <w:r w:rsidR="007F69AE" w:rsidRPr="00907264">
        <w:rPr>
          <w:sz w:val="24"/>
          <w:szCs w:val="24"/>
        </w:rPr>
        <w:t>, esp. 25, n. A.</w:t>
      </w:r>
    </w:p>
  </w:endnote>
  <w:endnote w:id="22">
    <w:p w14:paraId="04097D3B" w14:textId="77777777" w:rsidR="007F69AE" w:rsidRPr="00907264" w:rsidRDefault="007F69AE" w:rsidP="00907264">
      <w:pPr>
        <w:pStyle w:val="EndnoteText"/>
        <w:spacing w:line="480" w:lineRule="auto"/>
        <w:ind w:firstLine="720"/>
        <w:rPr>
          <w:sz w:val="24"/>
          <w:szCs w:val="24"/>
        </w:rPr>
      </w:pPr>
      <w:r w:rsidRPr="00907264">
        <w:rPr>
          <w:rStyle w:val="EndnoteReference"/>
          <w:sz w:val="24"/>
          <w:szCs w:val="24"/>
        </w:rPr>
        <w:endnoteRef/>
      </w:r>
      <w:r w:rsidRPr="00907264">
        <w:rPr>
          <w:sz w:val="24"/>
          <w:szCs w:val="24"/>
        </w:rPr>
        <w:t xml:space="preserve"> </w:t>
      </w:r>
      <w:r w:rsidR="00FC5E66" w:rsidRPr="00907264">
        <w:rPr>
          <w:sz w:val="24"/>
          <w:szCs w:val="24"/>
        </w:rPr>
        <w:t xml:space="preserve">[Sally </w:t>
      </w:r>
      <w:r w:rsidR="00FC5E66" w:rsidRPr="00907264">
        <w:rPr>
          <w:sz w:val="24"/>
          <w:szCs w:val="24"/>
        </w:rPr>
        <w:t>Sayward Barrell Keating</w:t>
      </w:r>
      <w:r w:rsidR="00FC5E66">
        <w:rPr>
          <w:sz w:val="24"/>
          <w:szCs w:val="24"/>
        </w:rPr>
        <w:t xml:space="preserve"> Wood],</w:t>
      </w:r>
      <w:r w:rsidR="00FC5E66" w:rsidRPr="00907264">
        <w:rPr>
          <w:sz w:val="24"/>
          <w:szCs w:val="24"/>
        </w:rPr>
        <w:t xml:space="preserve"> </w:t>
      </w:r>
      <w:r w:rsidR="00FC5E66" w:rsidRPr="00907264">
        <w:rPr>
          <w:sz w:val="24"/>
          <w:szCs w:val="24"/>
          <w:u w:val="single"/>
        </w:rPr>
        <w:t>Julia, and the Illuminated Baron</w:t>
      </w:r>
      <w:r w:rsidR="00FC5E66">
        <w:rPr>
          <w:sz w:val="24"/>
          <w:szCs w:val="24"/>
        </w:rPr>
        <w:t xml:space="preserve"> (</w:t>
      </w:r>
      <w:r w:rsidR="00FC5E66" w:rsidRPr="00907264">
        <w:rPr>
          <w:sz w:val="24"/>
          <w:szCs w:val="24"/>
        </w:rPr>
        <w:t>Portsmouth, NH:</w:t>
      </w:r>
      <w:r w:rsidR="00FC5E66">
        <w:rPr>
          <w:sz w:val="24"/>
          <w:szCs w:val="24"/>
        </w:rPr>
        <w:t xml:space="preserve"> Charles Peirce, 1800), 134.</w:t>
      </w:r>
    </w:p>
  </w:endnote>
  <w:endnote w:id="23">
    <w:p w14:paraId="7B15F75A" w14:textId="77777777" w:rsidR="003E3CAA" w:rsidRPr="00FC5E66" w:rsidRDefault="003E3CAA" w:rsidP="00FC5E66">
      <w:pPr>
        <w:pStyle w:val="EndnoteText"/>
        <w:spacing w:line="480" w:lineRule="auto"/>
        <w:rPr>
          <w:color w:val="FF0000"/>
          <w:sz w:val="24"/>
          <w:szCs w:val="24"/>
        </w:rPr>
      </w:pPr>
      <w:r w:rsidRPr="00FC5E66">
        <w:rPr>
          <w:sz w:val="24"/>
          <w:szCs w:val="24"/>
        </w:rPr>
        <w:tab/>
      </w:r>
      <w:r w:rsidRPr="00FC5E66">
        <w:rPr>
          <w:rStyle w:val="EndnoteReference"/>
          <w:sz w:val="24"/>
          <w:szCs w:val="24"/>
        </w:rPr>
        <w:endnoteRef/>
      </w:r>
      <w:r w:rsidRPr="00FC5E66">
        <w:rPr>
          <w:sz w:val="24"/>
          <w:szCs w:val="24"/>
        </w:rPr>
        <w:t xml:space="preserve"> </w:t>
      </w:r>
      <w:r w:rsidR="00FC5E66" w:rsidRPr="00FC5E66">
        <w:rPr>
          <w:sz w:val="24"/>
          <w:szCs w:val="24"/>
        </w:rPr>
        <w:t xml:space="preserve">Marcus Wood, </w:t>
      </w:r>
      <w:r w:rsidR="00FC5E66" w:rsidRPr="00FC5E66">
        <w:rPr>
          <w:sz w:val="24"/>
          <w:szCs w:val="24"/>
          <w:u w:val="single"/>
        </w:rPr>
        <w:t>Slavery, Empathy, Pornography</w:t>
      </w:r>
      <w:r w:rsidR="00FC5E66" w:rsidRPr="00FC5E66">
        <w:rPr>
          <w:sz w:val="24"/>
          <w:szCs w:val="24"/>
        </w:rPr>
        <w:t xml:space="preserve"> (New York and Oxford: Oxford University Press, 2002), </w:t>
      </w:r>
      <w:r w:rsidR="007F69AE" w:rsidRPr="00FC5E66">
        <w:rPr>
          <w:sz w:val="24"/>
          <w:szCs w:val="24"/>
        </w:rPr>
        <w:t>139.</w:t>
      </w:r>
    </w:p>
  </w:endnote>
  <w:endnote w:id="24">
    <w:p w14:paraId="14BF3D5F" w14:textId="77777777" w:rsidR="003E3CAA" w:rsidRPr="00EF47FA" w:rsidRDefault="007F69AE" w:rsidP="004469D1">
      <w:pPr>
        <w:spacing w:line="480" w:lineRule="auto"/>
        <w:rPr>
          <w:color w:val="FF0000"/>
          <w:u w:val="single"/>
        </w:rPr>
      </w:pPr>
      <w:r w:rsidRPr="00907264">
        <w:tab/>
      </w:r>
      <w:r w:rsidR="003E3CAA" w:rsidRPr="00907264">
        <w:rPr>
          <w:rStyle w:val="EndnoteReference"/>
        </w:rPr>
        <w:endnoteRef/>
      </w:r>
      <w:r w:rsidR="003E3CAA" w:rsidRPr="00907264">
        <w:t xml:space="preserve"> </w:t>
      </w:r>
      <w:r w:rsidR="004469D1" w:rsidRPr="00907264">
        <w:t>Saidiya V.</w:t>
      </w:r>
      <w:r w:rsidR="004469D1">
        <w:t xml:space="preserve"> Hartman,</w:t>
      </w:r>
      <w:r w:rsidR="004469D1" w:rsidRPr="00907264">
        <w:t xml:space="preserve"> </w:t>
      </w:r>
      <w:r w:rsidR="004469D1" w:rsidRPr="00907264">
        <w:rPr>
          <w:u w:val="single"/>
        </w:rPr>
        <w:t>Scenes of Subjection: Terror, Slavery, and Self-Making in Nineteenth</w:t>
      </w:r>
      <w:r w:rsidR="004469D1">
        <w:rPr>
          <w:u w:val="single"/>
        </w:rPr>
        <w:t>-</w:t>
      </w:r>
      <w:r w:rsidR="004469D1" w:rsidRPr="00907264">
        <w:rPr>
          <w:u w:val="single"/>
        </w:rPr>
        <w:t>Century America</w:t>
      </w:r>
      <w:r w:rsidR="004469D1">
        <w:t xml:space="preserve"> (</w:t>
      </w:r>
      <w:r w:rsidR="004469D1" w:rsidRPr="00907264">
        <w:t>New York and Oxford</w:t>
      </w:r>
      <w:r w:rsidR="004469D1">
        <w:t>: Oxford University Press, 1997), 20.</w:t>
      </w:r>
      <w:r w:rsidR="003E3CAA" w:rsidRPr="00EF47FA">
        <w:rPr>
          <w:color w:val="FF0000"/>
        </w:rPr>
        <w:t xml:space="preserve"> </w:t>
      </w:r>
    </w:p>
  </w:endnote>
  <w:endnote w:id="25">
    <w:p w14:paraId="07A21ACA" w14:textId="77777777" w:rsidR="003E3CAA" w:rsidRPr="00907264" w:rsidRDefault="007F69AE" w:rsidP="00256058">
      <w:pPr>
        <w:spacing w:line="480" w:lineRule="auto"/>
        <w:rPr>
          <w:u w:val="single"/>
        </w:rPr>
      </w:pPr>
      <w:r w:rsidRPr="00907264">
        <w:tab/>
      </w:r>
      <w:r w:rsidR="003E3CAA" w:rsidRPr="00907264">
        <w:rPr>
          <w:rStyle w:val="EndnoteReference"/>
        </w:rPr>
        <w:endnoteRef/>
      </w:r>
      <w:r w:rsidR="003E3CAA" w:rsidRPr="00907264">
        <w:t xml:space="preserve"> </w:t>
      </w:r>
      <w:r w:rsidR="00E61084">
        <w:t>John Gabriel Stedman,</w:t>
      </w:r>
      <w:r w:rsidR="00256058" w:rsidRPr="00907264">
        <w:t xml:space="preserve"> </w:t>
      </w:r>
      <w:r w:rsidR="00256058" w:rsidRPr="00907264">
        <w:rPr>
          <w:u w:val="single"/>
        </w:rPr>
        <w:t>Narrative, of five years’ expedition, against the revolted Negroes of</w:t>
      </w:r>
      <w:r w:rsidR="00256058">
        <w:rPr>
          <w:u w:val="single"/>
        </w:rPr>
        <w:t xml:space="preserve"> </w:t>
      </w:r>
      <w:r w:rsidR="00256058" w:rsidRPr="00907264">
        <w:rPr>
          <w:u w:val="single"/>
        </w:rPr>
        <w:t>Surinam, in Guiana, on the wild coast of South America, Volume I</w:t>
      </w:r>
      <w:r w:rsidR="00256058">
        <w:t xml:space="preserve">, Engraver William Blake (London: J. Johnson, 1796), </w:t>
      </w:r>
      <w:r w:rsidR="00E63952" w:rsidRPr="00256058">
        <w:t>201, 297, 327. See also</w:t>
      </w:r>
      <w:r w:rsidR="003E3CAA" w:rsidRPr="00256058">
        <w:t xml:space="preserve"> “An Account of some of the </w:t>
      </w:r>
      <w:r w:rsidR="003E3CAA" w:rsidRPr="00907264">
        <w:t xml:space="preserve">Cruelties Exercised on the Negro Slaves in </w:t>
      </w:r>
      <w:r w:rsidR="003E3CAA" w:rsidRPr="00907264">
        <w:t xml:space="preserve">Surrinam.” </w:t>
      </w:r>
      <w:r w:rsidR="003E3CAA" w:rsidRPr="00907264">
        <w:rPr>
          <w:u w:val="single"/>
        </w:rPr>
        <w:t>The Philadelphia Monthly Magazine</w:t>
      </w:r>
      <w:r w:rsidR="003E3CAA" w:rsidRPr="00907264">
        <w:t xml:space="preserve"> 2, no. 9 (1798): 127</w:t>
      </w:r>
      <w:r w:rsidR="00E63952" w:rsidRPr="00907264">
        <w:t>.</w:t>
      </w:r>
    </w:p>
  </w:endnote>
  <w:endnote w:id="26">
    <w:p w14:paraId="70EA707A" w14:textId="77777777" w:rsidR="003E3CAA" w:rsidRPr="00E61084" w:rsidRDefault="00E63952" w:rsidP="00E61084">
      <w:pPr>
        <w:spacing w:line="480" w:lineRule="auto"/>
      </w:pPr>
      <w:r w:rsidRPr="00907264">
        <w:tab/>
      </w:r>
      <w:r w:rsidR="003E3CAA" w:rsidRPr="00907264">
        <w:rPr>
          <w:rStyle w:val="EndnoteReference"/>
        </w:rPr>
        <w:endnoteRef/>
      </w:r>
      <w:r w:rsidR="003E3CAA" w:rsidRPr="00907264">
        <w:t xml:space="preserve"> </w:t>
      </w:r>
      <w:r w:rsidR="00E61084" w:rsidRPr="00907264">
        <w:rPr>
          <w:bCs/>
        </w:rPr>
        <w:t xml:space="preserve">Prince, Nancy. </w:t>
      </w:r>
      <w:r w:rsidR="00E61084" w:rsidRPr="00907264">
        <w:rPr>
          <w:u w:val="single"/>
        </w:rPr>
        <w:t>A Narrative of the Life and Travels of Mrs. Nancy Prince, Third Edition</w:t>
      </w:r>
      <w:r w:rsidR="00E61084">
        <w:t xml:space="preserve"> (</w:t>
      </w:r>
      <w:r w:rsidR="00E61084" w:rsidRPr="00907264">
        <w:t>Boston:</w:t>
      </w:r>
      <w:r w:rsidR="00E61084">
        <w:t xml:space="preserve"> Published by the Author, 1856), </w:t>
      </w:r>
      <w:r w:rsidR="003E3CAA" w:rsidRPr="00E61084">
        <w:t>12 and 14.</w:t>
      </w:r>
    </w:p>
  </w:endnote>
  <w:endnote w:id="27">
    <w:p w14:paraId="6CE9E1E4" w14:textId="77777777" w:rsidR="003D52D9" w:rsidRPr="00C10EF3" w:rsidRDefault="003D52D9" w:rsidP="003D52D9">
      <w:pPr>
        <w:pStyle w:val="EndnoteText"/>
        <w:spacing w:line="480" w:lineRule="auto"/>
        <w:ind w:firstLine="720"/>
        <w:rPr>
          <w:sz w:val="24"/>
          <w:szCs w:val="24"/>
        </w:rPr>
      </w:pPr>
      <w:r w:rsidRPr="00C10EF3">
        <w:rPr>
          <w:rStyle w:val="EndnoteReference"/>
          <w:sz w:val="24"/>
          <w:szCs w:val="24"/>
        </w:rPr>
        <w:endnoteRef/>
      </w:r>
      <w:r w:rsidRPr="00C10EF3">
        <w:rPr>
          <w:sz w:val="24"/>
          <w:szCs w:val="24"/>
        </w:rPr>
        <w:t xml:space="preserve"> Brown, </w:t>
      </w:r>
      <w:r w:rsidRPr="00C10EF3">
        <w:rPr>
          <w:sz w:val="24"/>
          <w:szCs w:val="24"/>
          <w:u w:val="single"/>
        </w:rPr>
        <w:t>An Oration, Spoken at Hartford</w:t>
      </w:r>
      <w:r w:rsidRPr="00C10EF3">
        <w:rPr>
          <w:sz w:val="24"/>
          <w:szCs w:val="24"/>
        </w:rPr>
        <w:t>, , 6, 20.</w:t>
      </w:r>
    </w:p>
  </w:endnote>
  <w:endnote w:id="28">
    <w:p w14:paraId="638BE57B" w14:textId="77777777" w:rsidR="003E3CAA" w:rsidRPr="00EF47FA" w:rsidRDefault="003E3CAA" w:rsidP="00E61084">
      <w:pPr>
        <w:pStyle w:val="EndnoteText"/>
        <w:spacing w:line="480" w:lineRule="auto"/>
        <w:ind w:firstLine="720"/>
        <w:rPr>
          <w:color w:val="FF0000"/>
          <w:sz w:val="24"/>
          <w:szCs w:val="24"/>
        </w:rPr>
      </w:pPr>
      <w:r w:rsidRPr="00E61084">
        <w:rPr>
          <w:rStyle w:val="EndnoteReference"/>
          <w:sz w:val="24"/>
          <w:szCs w:val="24"/>
        </w:rPr>
        <w:endnoteRef/>
      </w:r>
      <w:r w:rsidRPr="00E61084">
        <w:rPr>
          <w:sz w:val="24"/>
          <w:szCs w:val="24"/>
        </w:rPr>
        <w:t xml:space="preserve"> Adam </w:t>
      </w:r>
      <w:r w:rsidRPr="00E61084">
        <w:rPr>
          <w:sz w:val="24"/>
          <w:szCs w:val="24"/>
        </w:rPr>
        <w:t xml:space="preserve">Weishaupt officially founded the Illuminati on May 1, 1776. See Stauffer, </w:t>
      </w:r>
      <w:r w:rsidRPr="00E61084">
        <w:rPr>
          <w:sz w:val="24"/>
          <w:szCs w:val="24"/>
          <w:u w:val="single"/>
        </w:rPr>
        <w:t>New England and the Bavarian Illuminati</w:t>
      </w:r>
      <w:r w:rsidR="002775B0" w:rsidRPr="00E61084">
        <w:rPr>
          <w:sz w:val="24"/>
          <w:szCs w:val="24"/>
        </w:rPr>
        <w:t>,</w:t>
      </w:r>
      <w:r w:rsidRPr="00E61084">
        <w:rPr>
          <w:sz w:val="24"/>
          <w:szCs w:val="24"/>
        </w:rPr>
        <w:t xml:space="preserve"> 151.</w:t>
      </w:r>
      <w:r w:rsidR="002775B0" w:rsidRPr="00E61084">
        <w:rPr>
          <w:sz w:val="24"/>
          <w:szCs w:val="24"/>
        </w:rPr>
        <w:t xml:space="preserve"> Thomas </w:t>
      </w:r>
      <w:r w:rsidRPr="00E61084">
        <w:rPr>
          <w:sz w:val="24"/>
          <w:szCs w:val="24"/>
        </w:rPr>
        <w:t>Jefferson began drafting the Declaration of Independence the same month. See</w:t>
      </w:r>
      <w:r w:rsidR="00E61084" w:rsidRPr="00E61084">
        <w:rPr>
          <w:sz w:val="24"/>
          <w:szCs w:val="24"/>
        </w:rPr>
        <w:t xml:space="preserve"> Julian P.</w:t>
      </w:r>
      <w:r w:rsidRPr="00E61084">
        <w:rPr>
          <w:sz w:val="24"/>
          <w:szCs w:val="24"/>
        </w:rPr>
        <w:t xml:space="preserve"> </w:t>
      </w:r>
      <w:r w:rsidR="00E61084" w:rsidRPr="00E61084">
        <w:rPr>
          <w:sz w:val="24"/>
          <w:szCs w:val="24"/>
        </w:rPr>
        <w:t xml:space="preserve">Boyd, ed. </w:t>
      </w:r>
      <w:r w:rsidR="00E61084" w:rsidRPr="00E61084">
        <w:rPr>
          <w:sz w:val="24"/>
          <w:szCs w:val="24"/>
          <w:u w:val="single"/>
        </w:rPr>
        <w:t>The Papers of Thomas Jefferson, Volume I, 1760-1776</w:t>
      </w:r>
      <w:r w:rsidR="00E61084" w:rsidRPr="00E61084">
        <w:rPr>
          <w:sz w:val="24"/>
          <w:szCs w:val="24"/>
        </w:rPr>
        <w:t xml:space="preserve">, by Thomas Jefferson (Princeton: Princeton University Press, 1950), </w:t>
      </w:r>
      <w:r w:rsidR="002775B0" w:rsidRPr="00E61084">
        <w:rPr>
          <w:sz w:val="24"/>
          <w:szCs w:val="24"/>
        </w:rPr>
        <w:t>345,</w:t>
      </w:r>
      <w:r w:rsidR="00E61084" w:rsidRPr="00E61084">
        <w:rPr>
          <w:sz w:val="24"/>
          <w:szCs w:val="24"/>
        </w:rPr>
        <w:t xml:space="preserve"> </w:t>
      </w:r>
      <w:r w:rsidR="002775B0" w:rsidRPr="00E61084">
        <w:rPr>
          <w:sz w:val="24"/>
          <w:szCs w:val="24"/>
        </w:rPr>
        <w:t>unnumbered note.</w:t>
      </w:r>
    </w:p>
  </w:endnote>
  <w:endnote w:id="29">
    <w:p w14:paraId="08EF910E" w14:textId="77777777" w:rsidR="003E3CAA" w:rsidRPr="00E61084" w:rsidRDefault="003E3CAA" w:rsidP="00F927C9">
      <w:pPr>
        <w:spacing w:line="480" w:lineRule="auto"/>
        <w:ind w:firstLine="720"/>
        <w:rPr>
          <w:color w:val="FF0000"/>
        </w:rPr>
      </w:pPr>
      <w:r w:rsidRPr="00E61084">
        <w:rPr>
          <w:rStyle w:val="EndnoteReference"/>
        </w:rPr>
        <w:endnoteRef/>
      </w:r>
      <w:r w:rsidRPr="00E61084">
        <w:t xml:space="preserve"> For the use of classical pseudonyms </w:t>
      </w:r>
      <w:r w:rsidR="002775B0" w:rsidRPr="00E61084">
        <w:t>during the American Revolution</w:t>
      </w:r>
      <w:r w:rsidRPr="00E61084">
        <w:t>, see</w:t>
      </w:r>
      <w:r w:rsidR="00E61084" w:rsidRPr="00E61084">
        <w:t xml:space="preserve"> Erin</w:t>
      </w:r>
      <w:r w:rsidRPr="00E61084">
        <w:t xml:space="preserve"> </w:t>
      </w:r>
      <w:r w:rsidRPr="00E61084">
        <w:t>Shaley,</w:t>
      </w:r>
      <w:r w:rsidR="00E61084" w:rsidRPr="00E61084">
        <w:t xml:space="preserve"> </w:t>
      </w:r>
      <w:r w:rsidR="00E61084" w:rsidRPr="00E61084">
        <w:rPr>
          <w:shd w:val="clear" w:color="auto" w:fill="FFFFFF"/>
        </w:rPr>
        <w:t>“Ancient Masks, American Fathers: Classical Pseudonyms during the American Revolution and Early Republic,” </w:t>
      </w:r>
      <w:r w:rsidR="00E61084" w:rsidRPr="00E61084">
        <w:rPr>
          <w:rStyle w:val="Emphasis"/>
          <w:i w:val="0"/>
          <w:u w:val="single"/>
          <w:shd w:val="clear" w:color="auto" w:fill="FFFFFF"/>
        </w:rPr>
        <w:t>Journal of the Early Republic</w:t>
      </w:r>
      <w:r w:rsidR="00E61084" w:rsidRPr="00E61084">
        <w:rPr>
          <w:shd w:val="clear" w:color="auto" w:fill="FFFFFF"/>
        </w:rPr>
        <w:t xml:space="preserve"> 25, no. </w:t>
      </w:r>
      <w:r w:rsidR="00E61084" w:rsidRPr="00DB6712">
        <w:rPr>
          <w:shd w:val="clear" w:color="auto" w:fill="FFFFFF"/>
        </w:rPr>
        <w:t>3 (2003)</w:t>
      </w:r>
      <w:r w:rsidR="008F771B" w:rsidRPr="00DB6712">
        <w:t>,</w:t>
      </w:r>
      <w:r w:rsidRPr="00DB6712">
        <w:t xml:space="preserve"> </w:t>
      </w:r>
      <w:r w:rsidR="008F771B" w:rsidRPr="00DB6712">
        <w:t xml:space="preserve">esp. </w:t>
      </w:r>
      <w:r w:rsidRPr="00DB6712">
        <w:t>156-7</w:t>
      </w:r>
      <w:r w:rsidR="008F771B" w:rsidRPr="00DB6712">
        <w:t xml:space="preserve"> and 160, n. 19. For the use of pseudonyms by the Illuminati, see</w:t>
      </w:r>
      <w:r w:rsidR="00DB6712" w:rsidRPr="00DB6712">
        <w:t xml:space="preserve"> John Robison, </w:t>
      </w:r>
      <w:r w:rsidR="00DB6712" w:rsidRPr="00DB6712">
        <w:rPr>
          <w:u w:val="single"/>
        </w:rPr>
        <w:t>Proofs of a Conspiracy</w:t>
      </w:r>
      <w:r w:rsidR="00DB6712" w:rsidRPr="00DB6712">
        <w:t xml:space="preserve">. [1797] (Boston and Los Angeles: Western Islands, 1967), </w:t>
      </w:r>
      <w:r w:rsidR="008F771B" w:rsidRPr="00DB6712">
        <w:t>117.</w:t>
      </w:r>
    </w:p>
  </w:endnote>
  <w:endnote w:id="30">
    <w:p w14:paraId="699C72BE" w14:textId="77777777" w:rsidR="003E3CAA" w:rsidRPr="00DB6712" w:rsidRDefault="003E3CAA" w:rsidP="00DB6712">
      <w:pPr>
        <w:pStyle w:val="EndnoteText"/>
        <w:spacing w:line="480" w:lineRule="auto"/>
        <w:ind w:firstLine="720"/>
        <w:rPr>
          <w:sz w:val="24"/>
          <w:szCs w:val="24"/>
        </w:rPr>
      </w:pPr>
      <w:r w:rsidRPr="00907264">
        <w:rPr>
          <w:rStyle w:val="EndnoteReference"/>
          <w:sz w:val="24"/>
          <w:szCs w:val="24"/>
        </w:rPr>
        <w:endnoteRef/>
      </w:r>
      <w:r w:rsidRPr="00907264">
        <w:rPr>
          <w:sz w:val="24"/>
          <w:szCs w:val="24"/>
        </w:rPr>
        <w:t xml:space="preserve"> Stauffer, </w:t>
      </w:r>
      <w:r w:rsidRPr="00907264">
        <w:rPr>
          <w:sz w:val="24"/>
          <w:szCs w:val="24"/>
          <w:u w:val="single"/>
        </w:rPr>
        <w:t>New England and the Bavarian Illuminati</w:t>
      </w:r>
      <w:r w:rsidRPr="00907264">
        <w:rPr>
          <w:sz w:val="24"/>
          <w:szCs w:val="24"/>
        </w:rPr>
        <w:t>, 175</w:t>
      </w:r>
      <w:r w:rsidR="0006333D">
        <w:rPr>
          <w:sz w:val="24"/>
          <w:szCs w:val="24"/>
        </w:rPr>
        <w:t>-77</w:t>
      </w:r>
      <w:r w:rsidRPr="00907264">
        <w:rPr>
          <w:sz w:val="24"/>
          <w:szCs w:val="24"/>
        </w:rPr>
        <w:t xml:space="preserve"> and 182-3.</w:t>
      </w:r>
      <w:r w:rsidR="008F771B" w:rsidRPr="00907264">
        <w:rPr>
          <w:sz w:val="24"/>
          <w:szCs w:val="24"/>
        </w:rPr>
        <w:t xml:space="preserve"> See also </w:t>
      </w:r>
      <w:r w:rsidR="00DB6712">
        <w:rPr>
          <w:sz w:val="24"/>
          <w:szCs w:val="24"/>
        </w:rPr>
        <w:t>Robert S. Levine,</w:t>
      </w:r>
      <w:r w:rsidR="00DB6712" w:rsidRPr="00907264">
        <w:rPr>
          <w:sz w:val="24"/>
          <w:szCs w:val="24"/>
        </w:rPr>
        <w:t xml:space="preserve"> </w:t>
      </w:r>
      <w:r w:rsidR="00DB6712" w:rsidRPr="00907264">
        <w:rPr>
          <w:sz w:val="24"/>
          <w:szCs w:val="24"/>
          <w:u w:val="single"/>
        </w:rPr>
        <w:t xml:space="preserve">Conspiracy and Romance: Studies in </w:t>
      </w:r>
      <w:r w:rsidR="00DB6712" w:rsidRPr="00907264">
        <w:rPr>
          <w:sz w:val="24"/>
          <w:szCs w:val="24"/>
          <w:u w:val="single"/>
        </w:rPr>
        <w:t>Brockden Brown, Coope</w:t>
      </w:r>
      <w:r w:rsidR="00DB6712" w:rsidRPr="00DB6712">
        <w:rPr>
          <w:sz w:val="24"/>
          <w:szCs w:val="24"/>
          <w:u w:val="single"/>
        </w:rPr>
        <w:t>r, Hawthorne, and Melville</w:t>
      </w:r>
      <w:r w:rsidR="00DB6712" w:rsidRPr="00DB6712">
        <w:rPr>
          <w:sz w:val="24"/>
          <w:szCs w:val="24"/>
        </w:rPr>
        <w:t xml:space="preserve"> (Cambridge and New York: Cambridge University Press, 1989), </w:t>
      </w:r>
      <w:r w:rsidRPr="00DB6712">
        <w:rPr>
          <w:sz w:val="24"/>
          <w:szCs w:val="24"/>
        </w:rPr>
        <w:t>18</w:t>
      </w:r>
      <w:r w:rsidR="008F771B" w:rsidRPr="00907264">
        <w:rPr>
          <w:sz w:val="24"/>
          <w:szCs w:val="24"/>
        </w:rPr>
        <w:t xml:space="preserve"> and</w:t>
      </w:r>
      <w:r w:rsidR="00DB6712">
        <w:rPr>
          <w:sz w:val="24"/>
          <w:szCs w:val="24"/>
        </w:rPr>
        <w:t xml:space="preserve"> </w:t>
      </w:r>
      <w:r w:rsidR="00DB6712" w:rsidRPr="00DB6712">
        <w:rPr>
          <w:sz w:val="24"/>
          <w:szCs w:val="24"/>
        </w:rPr>
        <w:t>Gregory Claeys and Christine Lattek, “Radicalism, Republicanism and Revolutionism,” in </w:t>
      </w:r>
      <w:r w:rsidR="00DB6712" w:rsidRPr="00DB6712">
        <w:rPr>
          <w:sz w:val="24"/>
          <w:szCs w:val="24"/>
          <w:u w:val="single"/>
        </w:rPr>
        <w:t>The Cambridge History of Nineteenth-Century Political Thought</w:t>
      </w:r>
      <w:r w:rsidR="00DB6712" w:rsidRPr="00DB6712">
        <w:rPr>
          <w:sz w:val="24"/>
          <w:szCs w:val="24"/>
        </w:rPr>
        <w:t xml:space="preserve">, edited by Gareth Stedman Jones and Gregory Claeys, 200–254 (Cambridge: Cambridge University Press, 2011), </w:t>
      </w:r>
      <w:r w:rsidRPr="00DB6712">
        <w:rPr>
          <w:sz w:val="24"/>
          <w:szCs w:val="24"/>
        </w:rPr>
        <w:t>225.</w:t>
      </w:r>
      <w:r w:rsidRPr="00DB6712">
        <w:rPr>
          <w:b/>
          <w:sz w:val="24"/>
          <w:szCs w:val="24"/>
        </w:rPr>
        <w:t xml:space="preserve"> </w:t>
      </w:r>
    </w:p>
  </w:endnote>
  <w:endnote w:id="31">
    <w:p w14:paraId="31EAC6C1" w14:textId="77777777" w:rsidR="003E3CAA" w:rsidRPr="00907264" w:rsidRDefault="003E3CAA" w:rsidP="00907264">
      <w:pPr>
        <w:pStyle w:val="EndnoteText"/>
        <w:spacing w:line="480" w:lineRule="auto"/>
        <w:ind w:firstLine="720"/>
        <w:rPr>
          <w:sz w:val="24"/>
          <w:szCs w:val="24"/>
        </w:rPr>
      </w:pPr>
      <w:r w:rsidRPr="00907264">
        <w:rPr>
          <w:rStyle w:val="EndnoteReference"/>
          <w:sz w:val="24"/>
          <w:szCs w:val="24"/>
        </w:rPr>
        <w:endnoteRef/>
      </w:r>
      <w:r w:rsidRPr="00907264">
        <w:rPr>
          <w:sz w:val="24"/>
          <w:szCs w:val="24"/>
        </w:rPr>
        <w:t xml:space="preserve"> Illuminati founder Adam </w:t>
      </w:r>
      <w:r w:rsidRPr="00907264">
        <w:rPr>
          <w:sz w:val="24"/>
          <w:szCs w:val="24"/>
        </w:rPr>
        <w:t>Weishaupt fl</w:t>
      </w:r>
      <w:r w:rsidR="008F771B" w:rsidRPr="00907264">
        <w:rPr>
          <w:sz w:val="24"/>
          <w:szCs w:val="24"/>
        </w:rPr>
        <w:t xml:space="preserve">ed persecution and escaped. See </w:t>
      </w:r>
      <w:r w:rsidRPr="00907264">
        <w:rPr>
          <w:sz w:val="24"/>
          <w:szCs w:val="24"/>
        </w:rPr>
        <w:t xml:space="preserve">Stauffer, </w:t>
      </w:r>
      <w:r w:rsidRPr="00907264">
        <w:rPr>
          <w:sz w:val="24"/>
          <w:szCs w:val="24"/>
          <w:u w:val="single"/>
        </w:rPr>
        <w:t>New England and the Bavarian Illuminati</w:t>
      </w:r>
      <w:r w:rsidRPr="00907264">
        <w:rPr>
          <w:sz w:val="24"/>
          <w:szCs w:val="24"/>
        </w:rPr>
        <w:t xml:space="preserve">, 178-9, n. 4. </w:t>
      </w:r>
    </w:p>
  </w:endnote>
  <w:endnote w:id="32">
    <w:p w14:paraId="16D7AAE4" w14:textId="77777777" w:rsidR="003E3CAA" w:rsidRPr="00907264" w:rsidRDefault="003E3CAA" w:rsidP="002359F9">
      <w:pPr>
        <w:pStyle w:val="EndnoteText"/>
        <w:spacing w:line="480" w:lineRule="auto"/>
        <w:ind w:firstLine="720"/>
        <w:rPr>
          <w:sz w:val="24"/>
          <w:szCs w:val="24"/>
        </w:rPr>
      </w:pPr>
      <w:r w:rsidRPr="00907264">
        <w:rPr>
          <w:rStyle w:val="EndnoteReference"/>
          <w:sz w:val="24"/>
          <w:szCs w:val="24"/>
        </w:rPr>
        <w:endnoteRef/>
      </w:r>
      <w:r w:rsidRPr="00907264">
        <w:rPr>
          <w:sz w:val="24"/>
          <w:szCs w:val="24"/>
        </w:rPr>
        <w:t xml:space="preserve"> See</w:t>
      </w:r>
      <w:r w:rsidR="002359F9">
        <w:rPr>
          <w:sz w:val="24"/>
          <w:szCs w:val="24"/>
        </w:rPr>
        <w:t xml:space="preserve"> Edmund</w:t>
      </w:r>
      <w:r w:rsidRPr="00907264">
        <w:rPr>
          <w:sz w:val="24"/>
          <w:szCs w:val="24"/>
        </w:rPr>
        <w:t xml:space="preserve"> </w:t>
      </w:r>
      <w:r w:rsidR="002359F9" w:rsidRPr="00907264">
        <w:rPr>
          <w:sz w:val="24"/>
          <w:szCs w:val="24"/>
        </w:rPr>
        <w:t xml:space="preserve">Burke, </w:t>
      </w:r>
      <w:r w:rsidR="002359F9" w:rsidRPr="00907264">
        <w:rPr>
          <w:sz w:val="24"/>
          <w:szCs w:val="24"/>
          <w:u w:val="single"/>
        </w:rPr>
        <w:t>Reflections on the Revolution in France</w:t>
      </w:r>
      <w:r w:rsidR="002359F9" w:rsidRPr="00907264">
        <w:rPr>
          <w:sz w:val="24"/>
          <w:szCs w:val="24"/>
        </w:rPr>
        <w:t xml:space="preserve"> [1789]</w:t>
      </w:r>
      <w:r w:rsidR="002359F9">
        <w:rPr>
          <w:sz w:val="24"/>
          <w:szCs w:val="24"/>
        </w:rPr>
        <w:t xml:space="preserve"> (London: Penguin UK, 2004), </w:t>
      </w:r>
      <w:r w:rsidR="008F771B" w:rsidRPr="002359F9">
        <w:rPr>
          <w:sz w:val="24"/>
          <w:szCs w:val="24"/>
        </w:rPr>
        <w:t>265, note</w:t>
      </w:r>
      <w:r w:rsidR="008F771B" w:rsidRPr="00907264">
        <w:rPr>
          <w:sz w:val="24"/>
          <w:szCs w:val="24"/>
        </w:rPr>
        <w:t xml:space="preserve">; Robison, </w:t>
      </w:r>
      <w:r w:rsidR="008F771B" w:rsidRPr="00907264">
        <w:rPr>
          <w:sz w:val="24"/>
          <w:szCs w:val="24"/>
          <w:u w:val="single"/>
        </w:rPr>
        <w:t>Proofs</w:t>
      </w:r>
      <w:r w:rsidR="008F771B" w:rsidRPr="00907264">
        <w:rPr>
          <w:sz w:val="24"/>
          <w:szCs w:val="24"/>
        </w:rPr>
        <w:t>, 207.</w:t>
      </w:r>
    </w:p>
  </w:endnote>
  <w:endnote w:id="33">
    <w:p w14:paraId="6AC398F5" w14:textId="77777777" w:rsidR="003E3CAA" w:rsidRPr="00FC1D73" w:rsidRDefault="003E3CAA" w:rsidP="00D62187">
      <w:pPr>
        <w:pStyle w:val="EndnoteText"/>
        <w:spacing w:line="480" w:lineRule="auto"/>
        <w:ind w:firstLine="720"/>
        <w:rPr>
          <w:sz w:val="24"/>
          <w:szCs w:val="24"/>
        </w:rPr>
      </w:pPr>
      <w:r w:rsidRPr="00FC1D73">
        <w:rPr>
          <w:rStyle w:val="EndnoteReference"/>
          <w:sz w:val="24"/>
          <w:szCs w:val="24"/>
        </w:rPr>
        <w:endnoteRef/>
      </w:r>
      <w:r w:rsidRPr="00FC1D73">
        <w:rPr>
          <w:sz w:val="24"/>
          <w:szCs w:val="24"/>
        </w:rPr>
        <w:t xml:space="preserve"> </w:t>
      </w:r>
      <w:r w:rsidR="008F771B" w:rsidRPr="00FC1D73">
        <w:rPr>
          <w:sz w:val="24"/>
          <w:szCs w:val="24"/>
        </w:rPr>
        <w:t xml:space="preserve">Brown, </w:t>
      </w:r>
      <w:r w:rsidRPr="00FC1D73">
        <w:rPr>
          <w:sz w:val="24"/>
          <w:szCs w:val="24"/>
          <w:u w:val="single"/>
        </w:rPr>
        <w:t>An Oration, Spoken at Hartford</w:t>
      </w:r>
      <w:r w:rsidRPr="00FC1D73">
        <w:rPr>
          <w:sz w:val="24"/>
          <w:szCs w:val="24"/>
        </w:rPr>
        <w:t>,</w:t>
      </w:r>
      <w:r w:rsidR="008F771B" w:rsidRPr="00FC1D73">
        <w:rPr>
          <w:sz w:val="24"/>
          <w:szCs w:val="24"/>
        </w:rPr>
        <w:t xml:space="preserve"> </w:t>
      </w:r>
      <w:r w:rsidRPr="00FC1D73">
        <w:rPr>
          <w:sz w:val="24"/>
          <w:szCs w:val="24"/>
        </w:rPr>
        <w:t>20.</w:t>
      </w:r>
    </w:p>
  </w:endnote>
  <w:endnote w:id="34">
    <w:p w14:paraId="6CCFEEAE" w14:textId="77777777" w:rsidR="00D62187" w:rsidRPr="002359F9" w:rsidRDefault="00D62187" w:rsidP="002359F9">
      <w:pPr>
        <w:spacing w:line="480" w:lineRule="auto"/>
        <w:ind w:firstLine="720"/>
      </w:pPr>
      <w:r w:rsidRPr="00D62187">
        <w:rPr>
          <w:rStyle w:val="EndnoteReference"/>
        </w:rPr>
        <w:endnoteRef/>
      </w:r>
      <w:r w:rsidRPr="00D62187">
        <w:t xml:space="preserve"> As Roland Barthes has it, </w:t>
      </w:r>
      <w:r w:rsidRPr="00D62187">
        <w:rPr>
          <w:i/>
        </w:rPr>
        <w:t>jouissance</w:t>
      </w:r>
      <w:r w:rsidRPr="00D62187">
        <w:t xml:space="preserve"> (or bliss) in a text “unsettles the reader’s historical, cultural, psychological assumptions, the consistency of his tastes, values, memories, brings to a crisis his relation with language.</w:t>
      </w:r>
      <w:r w:rsidR="005E577F">
        <w:t>”</w:t>
      </w:r>
      <w:r w:rsidRPr="00D62187">
        <w:t xml:space="preserve"> See </w:t>
      </w:r>
      <w:r w:rsidR="002359F9">
        <w:t xml:space="preserve">Roland </w:t>
      </w:r>
      <w:r w:rsidR="002359F9" w:rsidRPr="00907264">
        <w:t xml:space="preserve">Barthes, </w:t>
      </w:r>
      <w:r w:rsidR="002359F9" w:rsidRPr="00907264">
        <w:rPr>
          <w:u w:val="single"/>
        </w:rPr>
        <w:t>The Pleasure of the Text</w:t>
      </w:r>
      <w:r w:rsidR="002359F9">
        <w:t>, trans. Richard Miller (</w:t>
      </w:r>
      <w:r w:rsidR="002359F9" w:rsidRPr="00907264">
        <w:t>New York: Hill and Wang,</w:t>
      </w:r>
      <w:r w:rsidR="002359F9">
        <w:t xml:space="preserve"> 1973), </w:t>
      </w:r>
      <w:r w:rsidRPr="002359F9">
        <w:t>14.</w:t>
      </w:r>
    </w:p>
  </w:endnote>
  <w:endnote w:id="35">
    <w:p w14:paraId="000476D6" w14:textId="77777777" w:rsidR="00FC1D73" w:rsidRPr="00FC1D73" w:rsidRDefault="00FC1D73" w:rsidP="00FC1D73">
      <w:pPr>
        <w:pStyle w:val="EndnoteText"/>
        <w:spacing w:line="480" w:lineRule="auto"/>
        <w:ind w:firstLine="720"/>
        <w:rPr>
          <w:sz w:val="24"/>
          <w:szCs w:val="24"/>
        </w:rPr>
      </w:pPr>
      <w:r w:rsidRPr="00FC1D73">
        <w:rPr>
          <w:rStyle w:val="EndnoteReference"/>
          <w:sz w:val="24"/>
          <w:szCs w:val="24"/>
        </w:rPr>
        <w:endnoteRef/>
      </w:r>
      <w:r w:rsidRPr="00FC1D73">
        <w:rPr>
          <w:sz w:val="24"/>
          <w:szCs w:val="24"/>
        </w:rPr>
        <w:t xml:space="preserve"> Spillers, “Mama’s Baby,” 67.</w:t>
      </w:r>
    </w:p>
  </w:endnote>
  <w:endnote w:id="36">
    <w:p w14:paraId="464F9954" w14:textId="77777777" w:rsidR="003E3CAA" w:rsidRPr="000339EB" w:rsidRDefault="003E3CAA" w:rsidP="00F927C9">
      <w:pPr>
        <w:spacing w:line="480" w:lineRule="auto"/>
        <w:ind w:firstLine="720"/>
        <w:rPr>
          <w:color w:val="FF0000"/>
        </w:rPr>
      </w:pPr>
      <w:r w:rsidRPr="00F927C9">
        <w:rPr>
          <w:rStyle w:val="EndnoteReference"/>
        </w:rPr>
        <w:endnoteRef/>
      </w:r>
      <w:r w:rsidRPr="00F927C9">
        <w:t xml:space="preserve"> </w:t>
      </w:r>
      <w:r w:rsidR="00F927C9" w:rsidRPr="00F927C9">
        <w:t xml:space="preserve">Anthony Paul </w:t>
      </w:r>
      <w:r w:rsidR="00F927C9" w:rsidRPr="00F927C9">
        <w:rPr>
          <w:bCs/>
        </w:rPr>
        <w:t xml:space="preserve">Farley, </w:t>
      </w:r>
      <w:r w:rsidR="00F927C9" w:rsidRPr="00F927C9">
        <w:t xml:space="preserve">“The Black Body as Fetish Object.” </w:t>
      </w:r>
      <w:r w:rsidR="00F927C9" w:rsidRPr="00F927C9">
        <w:rPr>
          <w:u w:val="single"/>
        </w:rPr>
        <w:t>Oregon Law Review</w:t>
      </w:r>
      <w:r w:rsidR="00F927C9" w:rsidRPr="00F927C9">
        <w:t xml:space="preserve"> 79, no. 3 (1997): </w:t>
      </w:r>
      <w:r w:rsidRPr="00F927C9">
        <w:t>458 and 467.</w:t>
      </w:r>
    </w:p>
  </w:endnote>
  <w:endnote w:id="37">
    <w:p w14:paraId="76B9FE16" w14:textId="77777777" w:rsidR="003E3CAA" w:rsidRPr="006E32EE" w:rsidRDefault="003E3CAA" w:rsidP="006E32EE">
      <w:pPr>
        <w:spacing w:line="480" w:lineRule="auto"/>
      </w:pPr>
      <w:r w:rsidRPr="00907264">
        <w:rPr>
          <w:rStyle w:val="EndnoteReference"/>
        </w:rPr>
        <w:endnoteRef/>
      </w:r>
      <w:r w:rsidRPr="00907264">
        <w:t xml:space="preserve"> Nash’s work represents a “critical departure from scholarly work on race” because she conside</w:t>
      </w:r>
      <w:r w:rsidRPr="000866B1">
        <w:t>rs how black women experience the pleasures of racialization.</w:t>
      </w:r>
      <w:r w:rsidR="002464A1" w:rsidRPr="000866B1">
        <w:t xml:space="preserve"> See</w:t>
      </w:r>
      <w:r w:rsidR="006E32EE">
        <w:t xml:space="preserve"> Jennifer Christine</w:t>
      </w:r>
      <w:r w:rsidRPr="000866B1">
        <w:t xml:space="preserve"> </w:t>
      </w:r>
      <w:r w:rsidR="006E32EE" w:rsidRPr="00907264">
        <w:rPr>
          <w:bCs/>
        </w:rPr>
        <w:t xml:space="preserve">Nash, </w:t>
      </w:r>
      <w:r w:rsidR="006E32EE" w:rsidRPr="00907264">
        <w:rPr>
          <w:bCs/>
          <w:u w:val="single"/>
        </w:rPr>
        <w:t>The Black Body in Ecstasy: Reading Race, Reading Pornography</w:t>
      </w:r>
      <w:r w:rsidR="006E32EE">
        <w:rPr>
          <w:bCs/>
        </w:rPr>
        <w:t xml:space="preserve"> (</w:t>
      </w:r>
      <w:r w:rsidR="006E32EE" w:rsidRPr="00907264">
        <w:rPr>
          <w:bCs/>
        </w:rPr>
        <w:t>Durham and Lond</w:t>
      </w:r>
      <w:r w:rsidR="006E32EE">
        <w:rPr>
          <w:bCs/>
        </w:rPr>
        <w:t xml:space="preserve">on: Duke University Press, 2014), </w:t>
      </w:r>
      <w:r w:rsidRPr="006E32EE">
        <w:t>3.</w:t>
      </w:r>
    </w:p>
  </w:endnote>
  <w:endnote w:id="38">
    <w:p w14:paraId="58558023" w14:textId="77777777" w:rsidR="000866B1" w:rsidRPr="006E32EE" w:rsidRDefault="000866B1" w:rsidP="006E32EE">
      <w:pPr>
        <w:pStyle w:val="EndnoteText"/>
        <w:spacing w:line="480" w:lineRule="auto"/>
        <w:ind w:firstLine="720"/>
        <w:rPr>
          <w:sz w:val="24"/>
          <w:szCs w:val="24"/>
        </w:rPr>
      </w:pPr>
      <w:r w:rsidRPr="000866B1">
        <w:rPr>
          <w:rStyle w:val="EndnoteReference"/>
          <w:sz w:val="24"/>
          <w:szCs w:val="24"/>
        </w:rPr>
        <w:endnoteRef/>
      </w:r>
      <w:r w:rsidRPr="000866B1">
        <w:rPr>
          <w:sz w:val="24"/>
          <w:szCs w:val="24"/>
        </w:rPr>
        <w:t xml:space="preserve"> </w:t>
      </w:r>
      <w:r w:rsidR="006E32EE">
        <w:rPr>
          <w:sz w:val="24"/>
          <w:szCs w:val="24"/>
        </w:rPr>
        <w:t xml:space="preserve">Ariane Cruz, </w:t>
      </w:r>
      <w:r w:rsidR="006E32EE">
        <w:rPr>
          <w:sz w:val="24"/>
          <w:szCs w:val="24"/>
          <w:u w:val="single"/>
        </w:rPr>
        <w:t>The Color of Kink: Black Women, BDSM, and Pornography</w:t>
      </w:r>
      <w:r w:rsidR="006E32EE">
        <w:rPr>
          <w:sz w:val="24"/>
          <w:szCs w:val="24"/>
        </w:rPr>
        <w:t xml:space="preserve"> (New York: New York University Press, 2016), </w:t>
      </w:r>
      <w:r w:rsidRPr="006E32EE">
        <w:rPr>
          <w:sz w:val="24"/>
          <w:szCs w:val="24"/>
        </w:rPr>
        <w:t>23.</w:t>
      </w:r>
    </w:p>
  </w:endnote>
  <w:endnote w:id="39">
    <w:p w14:paraId="63219927" w14:textId="77777777" w:rsidR="003E3CAA" w:rsidRPr="004D047D" w:rsidRDefault="003E3CAA" w:rsidP="004D047D">
      <w:pPr>
        <w:widowControl w:val="0"/>
        <w:spacing w:line="480" w:lineRule="auto"/>
        <w:ind w:firstLine="720"/>
      </w:pPr>
      <w:r w:rsidRPr="004D047D">
        <w:rPr>
          <w:rStyle w:val="EndnoteReference"/>
        </w:rPr>
        <w:endnoteRef/>
      </w:r>
      <w:r w:rsidRPr="004D047D">
        <w:t xml:space="preserve"> </w:t>
      </w:r>
      <w:r w:rsidRPr="004D047D">
        <w:t>Faherty, “‘The Mischief that Awaits Us</w:t>
      </w:r>
      <w:r w:rsidR="002464A1" w:rsidRPr="004D047D">
        <w:t>,</w:t>
      </w:r>
      <w:r w:rsidRPr="004D047D">
        <w:t>’</w:t>
      </w:r>
      <w:r w:rsidR="002464A1" w:rsidRPr="004D047D">
        <w:t>”</w:t>
      </w:r>
      <w:r w:rsidRPr="004D047D">
        <w:t xml:space="preserve"> </w:t>
      </w:r>
      <w:r w:rsidR="004D047D" w:rsidRPr="004D047D">
        <w:t xml:space="preserve">63, </w:t>
      </w:r>
      <w:r w:rsidRPr="004D047D">
        <w:t>67, 78-9.</w:t>
      </w:r>
    </w:p>
  </w:endnote>
  <w:endnote w:id="40">
    <w:p w14:paraId="1AFD503A" w14:textId="77777777" w:rsidR="004D047D" w:rsidRPr="006E32EE" w:rsidRDefault="004D047D" w:rsidP="006E32EE">
      <w:pPr>
        <w:spacing w:line="480" w:lineRule="auto"/>
        <w:ind w:firstLine="720"/>
      </w:pPr>
      <w:r w:rsidRPr="004D047D">
        <w:rPr>
          <w:rStyle w:val="EndnoteReference"/>
        </w:rPr>
        <w:endnoteRef/>
      </w:r>
      <w:r w:rsidRPr="004D047D">
        <w:t xml:space="preserve"> </w:t>
      </w:r>
      <w:r w:rsidR="006E32EE">
        <w:t xml:space="preserve">[Charles </w:t>
      </w:r>
      <w:r w:rsidR="006E32EE">
        <w:t xml:space="preserve">Brockden Brown], </w:t>
      </w:r>
      <w:r w:rsidR="006E32EE">
        <w:rPr>
          <w:u w:val="single"/>
        </w:rPr>
        <w:t>Edgar Huntly; or, The Memoirs of a Sleep-Walker, Volume I</w:t>
      </w:r>
      <w:r w:rsidR="006E32EE">
        <w:t xml:space="preserve"> (Philadelphia: H. Maxwell, 1799),</w:t>
      </w:r>
      <w:r w:rsidRPr="006E32EE">
        <w:t xml:space="preserve"> 3.</w:t>
      </w:r>
    </w:p>
  </w:endnote>
  <w:endnote w:id="41">
    <w:p w14:paraId="02FB797F" w14:textId="77777777" w:rsidR="003E3CAA" w:rsidRPr="004D047D" w:rsidRDefault="003E3CAA" w:rsidP="004D047D">
      <w:pPr>
        <w:pStyle w:val="EndnoteText"/>
        <w:spacing w:line="480" w:lineRule="auto"/>
        <w:ind w:firstLine="720"/>
        <w:rPr>
          <w:sz w:val="24"/>
          <w:szCs w:val="24"/>
        </w:rPr>
      </w:pPr>
      <w:r w:rsidRPr="004D047D">
        <w:rPr>
          <w:rStyle w:val="EndnoteReference"/>
          <w:sz w:val="24"/>
          <w:szCs w:val="24"/>
        </w:rPr>
        <w:endnoteRef/>
      </w:r>
      <w:r w:rsidRPr="004D047D">
        <w:rPr>
          <w:sz w:val="24"/>
          <w:szCs w:val="24"/>
        </w:rPr>
        <w:t xml:space="preserve"> </w:t>
      </w:r>
      <w:r w:rsidR="002464A1" w:rsidRPr="004D047D">
        <w:rPr>
          <w:sz w:val="24"/>
          <w:szCs w:val="24"/>
        </w:rPr>
        <w:t xml:space="preserve">Brown, </w:t>
      </w:r>
      <w:r w:rsidRPr="004D047D">
        <w:rPr>
          <w:sz w:val="24"/>
          <w:szCs w:val="24"/>
          <w:u w:val="single"/>
        </w:rPr>
        <w:t>An Oration, Spoken at Hartford</w:t>
      </w:r>
      <w:r w:rsidRPr="004D047D">
        <w:rPr>
          <w:sz w:val="24"/>
          <w:szCs w:val="24"/>
        </w:rPr>
        <w:t>, 20.</w:t>
      </w:r>
    </w:p>
  </w:endnote>
  <w:endnote w:id="42">
    <w:p w14:paraId="0470A800" w14:textId="77777777" w:rsidR="003E3CAA" w:rsidRPr="00B9375A" w:rsidRDefault="003E3CAA" w:rsidP="00B9375A">
      <w:pPr>
        <w:spacing w:line="480" w:lineRule="auto"/>
        <w:ind w:firstLine="720"/>
      </w:pPr>
      <w:r w:rsidRPr="00907264">
        <w:rPr>
          <w:rStyle w:val="EndnoteReference"/>
        </w:rPr>
        <w:endnoteRef/>
      </w:r>
      <w:r w:rsidRPr="00907264">
        <w:t xml:space="preserve"> </w:t>
      </w:r>
      <w:r w:rsidR="00B9375A">
        <w:t xml:space="preserve">Marcus </w:t>
      </w:r>
      <w:r w:rsidR="00B9375A">
        <w:t xml:space="preserve">Tullius </w:t>
      </w:r>
      <w:r w:rsidR="00B9375A" w:rsidRPr="00907264">
        <w:rPr>
          <w:bCs/>
        </w:rPr>
        <w:t xml:space="preserve">Cicero, </w:t>
      </w:r>
      <w:r w:rsidR="00B9375A">
        <w:t>“Against Catiline,</w:t>
      </w:r>
      <w:r w:rsidR="00B9375A" w:rsidRPr="00907264">
        <w:t>”</w:t>
      </w:r>
      <w:r w:rsidR="00B9375A">
        <w:t xml:space="preserve"> in</w:t>
      </w:r>
      <w:r w:rsidR="00B9375A" w:rsidRPr="00907264">
        <w:t xml:space="preserve"> </w:t>
      </w:r>
      <w:r w:rsidR="00B9375A" w:rsidRPr="00907264">
        <w:rPr>
          <w:u w:val="single"/>
        </w:rPr>
        <w:t>Cicero’s Select Orations, Translated into English</w:t>
      </w:r>
      <w:r w:rsidR="00B9375A" w:rsidRPr="00907264">
        <w:t>,</w:t>
      </w:r>
      <w:r w:rsidR="00B9375A">
        <w:t xml:space="preserve"> trans. William Duncan, 186-207 (</w:t>
      </w:r>
      <w:r w:rsidR="00B9375A" w:rsidRPr="00907264">
        <w:t>London: G.G.J. and J. Robinson</w:t>
      </w:r>
      <w:r w:rsidR="00B9375A">
        <w:t xml:space="preserve">, 1792), </w:t>
      </w:r>
      <w:r w:rsidRPr="00B9375A">
        <w:t>197.</w:t>
      </w:r>
    </w:p>
  </w:endnote>
  <w:endnote w:id="43">
    <w:p w14:paraId="70E9B794" w14:textId="77777777" w:rsidR="003E3CAA" w:rsidRPr="00437AB4" w:rsidRDefault="003E3CAA" w:rsidP="00437AB4">
      <w:pPr>
        <w:spacing w:line="480" w:lineRule="auto"/>
        <w:ind w:firstLine="720"/>
        <w:rPr>
          <w:bCs/>
        </w:rPr>
      </w:pPr>
      <w:r w:rsidRPr="00907264">
        <w:rPr>
          <w:rStyle w:val="EndnoteReference"/>
        </w:rPr>
        <w:endnoteRef/>
      </w:r>
      <w:r w:rsidRPr="00907264">
        <w:t xml:space="preserve"> </w:t>
      </w:r>
      <w:r w:rsidR="00437AB4" w:rsidRPr="00907264">
        <w:t xml:space="preserve">“An Historical Essay upon the Destruction of the Helvetic League and Liberty.” </w:t>
      </w:r>
      <w:r w:rsidR="00437AB4" w:rsidRPr="00907264">
        <w:rPr>
          <w:u w:val="single"/>
        </w:rPr>
        <w:t>The British</w:t>
      </w:r>
      <w:r w:rsidR="00437AB4">
        <w:rPr>
          <w:u w:val="single"/>
        </w:rPr>
        <w:t xml:space="preserve"> </w:t>
      </w:r>
      <w:r w:rsidR="00437AB4" w:rsidRPr="00907264">
        <w:rPr>
          <w:u w:val="single"/>
        </w:rPr>
        <w:t>Mercury</w:t>
      </w:r>
      <w:r w:rsidR="00437AB4" w:rsidRPr="00907264">
        <w:t xml:space="preserve"> I, no. 1. (London: T. </w:t>
      </w:r>
      <w:r w:rsidR="00437AB4" w:rsidRPr="00907264">
        <w:t xml:space="preserve">Cadell </w:t>
      </w:r>
      <w:r w:rsidR="00437AB4">
        <w:t>Jun. and W. Davies, 1798), 6.</w:t>
      </w:r>
    </w:p>
  </w:endnote>
  <w:endnote w:id="44">
    <w:p w14:paraId="5134A6B6" w14:textId="77777777" w:rsidR="003E3CAA" w:rsidRPr="00437AB4" w:rsidRDefault="003E3CAA" w:rsidP="00437AB4">
      <w:pPr>
        <w:spacing w:line="480" w:lineRule="auto"/>
        <w:ind w:firstLine="720"/>
        <w:rPr>
          <w:u w:val="single"/>
        </w:rPr>
      </w:pPr>
      <w:r w:rsidRPr="004D047D">
        <w:rPr>
          <w:rStyle w:val="EndnoteReference"/>
        </w:rPr>
        <w:endnoteRef/>
      </w:r>
      <w:r w:rsidRPr="004D047D">
        <w:t xml:space="preserve"> </w:t>
      </w:r>
      <w:r w:rsidR="00437AB4">
        <w:t xml:space="preserve">Laura </w:t>
      </w:r>
      <w:r w:rsidR="00437AB4" w:rsidRPr="00907264">
        <w:t xml:space="preserve">Doyle, </w:t>
      </w:r>
      <w:r w:rsidR="00437AB4" w:rsidRPr="00907264">
        <w:rPr>
          <w:u w:val="single"/>
        </w:rPr>
        <w:t>Freedom’s Empire: Race and the Rise of the Novel in Atlantic Modernity, 1640-1940</w:t>
      </w:r>
      <w:r w:rsidR="00437AB4">
        <w:t xml:space="preserve"> (</w:t>
      </w:r>
      <w:r w:rsidR="00437AB4" w:rsidRPr="00907264">
        <w:t>Durham and Lond</w:t>
      </w:r>
      <w:r w:rsidR="00437AB4">
        <w:t xml:space="preserve">on: Duke University Press, 2008), </w:t>
      </w:r>
      <w:r w:rsidRPr="00437AB4">
        <w:t>191-92.</w:t>
      </w:r>
    </w:p>
  </w:endnote>
  <w:endnote w:id="45">
    <w:p w14:paraId="6BEC6BB5" w14:textId="77777777" w:rsidR="00340766" w:rsidRPr="004D047D" w:rsidRDefault="00340766" w:rsidP="00340766">
      <w:pPr>
        <w:pStyle w:val="EndnoteText"/>
        <w:spacing w:line="480" w:lineRule="auto"/>
        <w:ind w:firstLine="720"/>
        <w:rPr>
          <w:sz w:val="24"/>
          <w:szCs w:val="24"/>
        </w:rPr>
      </w:pPr>
      <w:r w:rsidRPr="004D047D">
        <w:rPr>
          <w:rStyle w:val="EndnoteReference"/>
          <w:sz w:val="24"/>
          <w:szCs w:val="24"/>
        </w:rPr>
        <w:endnoteRef/>
      </w:r>
      <w:r w:rsidRPr="004D047D">
        <w:rPr>
          <w:sz w:val="24"/>
          <w:szCs w:val="24"/>
        </w:rPr>
        <w:t xml:space="preserve"> See “Gothic, adj. and n., Draft Additions December 2007,” in </w:t>
      </w:r>
      <w:r w:rsidRPr="004D047D">
        <w:rPr>
          <w:sz w:val="24"/>
          <w:szCs w:val="24"/>
          <w:u w:val="single"/>
        </w:rPr>
        <w:t>OED Online</w:t>
      </w:r>
      <w:r w:rsidRPr="004D047D">
        <w:rPr>
          <w:sz w:val="24"/>
          <w:szCs w:val="24"/>
        </w:rPr>
        <w:t>, March 2017. Oxford University Press.</w:t>
      </w:r>
    </w:p>
  </w:endnote>
  <w:endnote w:id="46">
    <w:p w14:paraId="67ECE58E" w14:textId="77777777" w:rsidR="004D047D" w:rsidRPr="004D047D" w:rsidRDefault="004D047D" w:rsidP="004D047D">
      <w:pPr>
        <w:pStyle w:val="EndnoteText"/>
        <w:spacing w:line="480" w:lineRule="auto"/>
        <w:ind w:firstLine="720"/>
        <w:rPr>
          <w:sz w:val="24"/>
          <w:szCs w:val="24"/>
        </w:rPr>
      </w:pPr>
      <w:r w:rsidRPr="004D047D">
        <w:rPr>
          <w:rStyle w:val="EndnoteReference"/>
          <w:sz w:val="24"/>
          <w:szCs w:val="24"/>
        </w:rPr>
        <w:endnoteRef/>
      </w:r>
      <w:r w:rsidRPr="004D047D">
        <w:rPr>
          <w:sz w:val="24"/>
          <w:szCs w:val="24"/>
        </w:rPr>
        <w:t xml:space="preserve"> </w:t>
      </w:r>
      <w:r w:rsidR="006E32EE">
        <w:rPr>
          <w:sz w:val="24"/>
          <w:szCs w:val="24"/>
        </w:rPr>
        <w:t>[</w:t>
      </w:r>
      <w:r w:rsidRPr="004D047D">
        <w:rPr>
          <w:sz w:val="24"/>
          <w:szCs w:val="24"/>
        </w:rPr>
        <w:t>Brown</w:t>
      </w:r>
      <w:r w:rsidR="006E32EE">
        <w:rPr>
          <w:sz w:val="24"/>
          <w:szCs w:val="24"/>
        </w:rPr>
        <w:t>]</w:t>
      </w:r>
      <w:r w:rsidRPr="004D047D">
        <w:rPr>
          <w:sz w:val="24"/>
          <w:szCs w:val="24"/>
        </w:rPr>
        <w:t xml:space="preserve">, </w:t>
      </w:r>
      <w:r w:rsidRPr="004D047D">
        <w:rPr>
          <w:sz w:val="24"/>
          <w:szCs w:val="24"/>
          <w:u w:val="single"/>
        </w:rPr>
        <w:t>Edgar Huntly</w:t>
      </w:r>
      <w:r w:rsidRPr="004D047D">
        <w:rPr>
          <w:sz w:val="24"/>
          <w:szCs w:val="24"/>
        </w:rPr>
        <w:t>, 4.</w:t>
      </w:r>
    </w:p>
  </w:endnote>
  <w:endnote w:id="47">
    <w:p w14:paraId="062F5A85" w14:textId="77777777" w:rsidR="00340766" w:rsidRPr="00437AB4" w:rsidRDefault="00340766" w:rsidP="00437AB4">
      <w:pPr>
        <w:spacing w:line="480" w:lineRule="auto"/>
        <w:ind w:firstLine="720"/>
      </w:pPr>
      <w:r w:rsidRPr="00340766">
        <w:rPr>
          <w:rStyle w:val="EndnoteReference"/>
        </w:rPr>
        <w:endnoteRef/>
      </w:r>
      <w:r w:rsidRPr="00340766">
        <w:t xml:space="preserve"> </w:t>
      </w:r>
      <w:r w:rsidR="00437AB4">
        <w:t xml:space="preserve">Henry Brooke, </w:t>
      </w:r>
      <w:r w:rsidR="00437AB4" w:rsidRPr="00107E5D">
        <w:rPr>
          <w:u w:val="single"/>
        </w:rPr>
        <w:t>Gustavus Vasa</w:t>
      </w:r>
      <w:r w:rsidR="00437AB4">
        <w:t xml:space="preserve">. In </w:t>
      </w:r>
      <w:r w:rsidR="00437AB4">
        <w:rPr>
          <w:u w:val="single"/>
        </w:rPr>
        <w:t>The Poetical Works of Henry Brooke, Esq.</w:t>
      </w:r>
      <w:r w:rsidR="00437AB4">
        <w:t>, 127-233 (Dublin: Printed for the Editor, 1792), 127-233.</w:t>
      </w:r>
    </w:p>
  </w:endnote>
  <w:endnote w:id="48">
    <w:p w14:paraId="61B0634D" w14:textId="77777777" w:rsidR="00340766" w:rsidRPr="00340766" w:rsidRDefault="00340766" w:rsidP="008755E9">
      <w:pPr>
        <w:spacing w:line="480" w:lineRule="auto"/>
        <w:ind w:firstLine="720"/>
        <w:rPr>
          <w:u w:val="single"/>
        </w:rPr>
      </w:pPr>
      <w:r>
        <w:rPr>
          <w:rStyle w:val="EndnoteReference"/>
        </w:rPr>
        <w:endnoteRef/>
      </w:r>
      <w:r>
        <w:t xml:space="preserve"> Spillers, “Mama’s Baby,” 69 and </w:t>
      </w:r>
      <w:r w:rsidRPr="004D047D">
        <w:t xml:space="preserve">Doyle, </w:t>
      </w:r>
      <w:r w:rsidRPr="004D047D">
        <w:rPr>
          <w:u w:val="single"/>
        </w:rPr>
        <w:t>Freedom’s Empire</w:t>
      </w:r>
      <w:r w:rsidRPr="004D047D">
        <w:t>, 191-92.</w:t>
      </w:r>
    </w:p>
  </w:endnote>
  <w:endnote w:id="49">
    <w:p w14:paraId="46DE69A6" w14:textId="77777777" w:rsidR="008755E9" w:rsidRDefault="008755E9" w:rsidP="009859C5">
      <w:pPr>
        <w:spacing w:line="480" w:lineRule="auto"/>
        <w:ind w:firstLine="720"/>
      </w:pPr>
      <w:r>
        <w:rPr>
          <w:rStyle w:val="EndnoteReference"/>
        </w:rPr>
        <w:endnoteRef/>
      </w:r>
      <w:r>
        <w:t xml:space="preserve"> “John J. Watts,” “Rebecca </w:t>
      </w:r>
      <w:r>
        <w:t xml:space="preserve">Laight,” and “Thomas Delves,” </w:t>
      </w:r>
      <w:r>
        <w:rPr>
          <w:u w:val="single"/>
        </w:rPr>
        <w:t>City Readers</w:t>
      </w:r>
      <w:r>
        <w:t xml:space="preserve">, New York Society Library, accessed May 22, 2017, </w:t>
      </w:r>
      <w:r w:rsidRPr="003F5C20">
        <w:t>http://cityreaders.nysoclib.org/</w:t>
      </w:r>
      <w:r>
        <w:t>.</w:t>
      </w:r>
    </w:p>
  </w:endnote>
  <w:endnote w:id="50">
    <w:p w14:paraId="5D87D5A0" w14:textId="77777777" w:rsidR="008755E9" w:rsidRPr="00BA44C1" w:rsidRDefault="008755E9" w:rsidP="009859C5">
      <w:pPr>
        <w:pStyle w:val="EndnoteText"/>
        <w:spacing w:line="480" w:lineRule="auto"/>
        <w:ind w:firstLine="720"/>
        <w:rPr>
          <w:color w:val="FF0000"/>
          <w:sz w:val="24"/>
          <w:szCs w:val="24"/>
        </w:rPr>
      </w:pPr>
      <w:r w:rsidRPr="00BA44C1">
        <w:rPr>
          <w:rStyle w:val="EndnoteReference"/>
          <w:sz w:val="24"/>
          <w:szCs w:val="24"/>
        </w:rPr>
        <w:endnoteRef/>
      </w:r>
      <w:r w:rsidR="00BA44C1" w:rsidRPr="00BA44C1">
        <w:rPr>
          <w:sz w:val="24"/>
          <w:szCs w:val="24"/>
        </w:rPr>
        <w:t xml:space="preserve"> [William </w:t>
      </w:r>
      <w:r w:rsidR="00BA44C1" w:rsidRPr="00BA44C1">
        <w:rPr>
          <w:sz w:val="24"/>
          <w:szCs w:val="24"/>
        </w:rPr>
        <w:t xml:space="preserve">Bently], </w:t>
      </w:r>
      <w:r w:rsidR="00BA44C1" w:rsidRPr="00BA44C1">
        <w:rPr>
          <w:sz w:val="24"/>
          <w:szCs w:val="24"/>
          <w:u w:val="single"/>
        </w:rPr>
        <w:t>Extracts from Professor Robison’s “Proofs of a Conspiracy</w:t>
      </w:r>
      <w:r w:rsidR="00BA44C1" w:rsidRPr="00BA44C1">
        <w:rPr>
          <w:sz w:val="24"/>
          <w:szCs w:val="24"/>
        </w:rPr>
        <w:t xml:space="preserve"> (Boston: Manning and Loring, 1799), 17; </w:t>
      </w:r>
      <w:r w:rsidRPr="00BA44C1">
        <w:rPr>
          <w:sz w:val="24"/>
          <w:szCs w:val="24"/>
        </w:rPr>
        <w:t xml:space="preserve">Brown, </w:t>
      </w:r>
      <w:r w:rsidRPr="00BA44C1">
        <w:rPr>
          <w:sz w:val="24"/>
          <w:szCs w:val="24"/>
          <w:u w:val="single"/>
        </w:rPr>
        <w:t>An Oration, Spoken at Hartford</w:t>
      </w:r>
      <w:r w:rsidR="009859C5" w:rsidRPr="00BA44C1">
        <w:rPr>
          <w:sz w:val="24"/>
          <w:szCs w:val="24"/>
        </w:rPr>
        <w:t>, 20; and</w:t>
      </w:r>
      <w:r w:rsidR="00BA44C1">
        <w:rPr>
          <w:sz w:val="24"/>
          <w:szCs w:val="24"/>
        </w:rPr>
        <w:t xml:space="preserve"> Peter </w:t>
      </w:r>
      <w:r w:rsidR="00BA44C1" w:rsidRPr="00907264">
        <w:rPr>
          <w:sz w:val="24"/>
          <w:szCs w:val="24"/>
        </w:rPr>
        <w:t xml:space="preserve">Porcupine [pseud. </w:t>
      </w:r>
      <w:r w:rsidR="00BA44C1">
        <w:rPr>
          <w:sz w:val="24"/>
          <w:szCs w:val="24"/>
        </w:rPr>
        <w:t>of William Cobbett],</w:t>
      </w:r>
      <w:r w:rsidR="00BA44C1" w:rsidRPr="00907264">
        <w:rPr>
          <w:sz w:val="24"/>
          <w:szCs w:val="24"/>
        </w:rPr>
        <w:t xml:space="preserve"> </w:t>
      </w:r>
      <w:r w:rsidR="00BA44C1" w:rsidRPr="00907264">
        <w:rPr>
          <w:sz w:val="24"/>
          <w:szCs w:val="24"/>
          <w:u w:val="single"/>
        </w:rPr>
        <w:t>Detection of a Conspiracy, formed by the United</w:t>
      </w:r>
      <w:r w:rsidR="00BA44C1">
        <w:rPr>
          <w:sz w:val="24"/>
          <w:szCs w:val="24"/>
          <w:u w:val="single"/>
        </w:rPr>
        <w:t xml:space="preserve"> </w:t>
      </w:r>
      <w:r w:rsidR="00BA44C1" w:rsidRPr="00907264">
        <w:rPr>
          <w:sz w:val="24"/>
          <w:szCs w:val="24"/>
          <w:u w:val="single"/>
        </w:rPr>
        <w:t>Irishmen, with the Evident Intention of Aiding the Tyrants of France in Subverting the</w:t>
      </w:r>
      <w:r w:rsidR="00BA44C1" w:rsidRPr="00BA44C1">
        <w:rPr>
          <w:sz w:val="24"/>
          <w:szCs w:val="24"/>
          <w:u w:val="single"/>
        </w:rPr>
        <w:t xml:space="preserve"> Government of the United States</w:t>
      </w:r>
      <w:r w:rsidR="00BA44C1" w:rsidRPr="00BA44C1">
        <w:rPr>
          <w:sz w:val="24"/>
          <w:szCs w:val="24"/>
        </w:rPr>
        <w:t xml:space="preserve"> (Philadelphia: William Cobbett, May 6, 1798), </w:t>
      </w:r>
      <w:r w:rsidR="009859C5" w:rsidRPr="00BA44C1">
        <w:rPr>
          <w:sz w:val="24"/>
          <w:szCs w:val="24"/>
        </w:rPr>
        <w:t>28-9.</w:t>
      </w:r>
    </w:p>
  </w:endnote>
  <w:endnote w:id="51">
    <w:p w14:paraId="3F1B508A" w14:textId="77777777" w:rsidR="009859C5" w:rsidRPr="00BB53FC" w:rsidRDefault="009859C5" w:rsidP="002D27DC">
      <w:pPr>
        <w:spacing w:line="480" w:lineRule="auto"/>
        <w:ind w:firstLine="720"/>
      </w:pPr>
      <w:r w:rsidRPr="009859C5">
        <w:rPr>
          <w:rStyle w:val="EndnoteReference"/>
        </w:rPr>
        <w:endnoteRef/>
      </w:r>
      <w:r w:rsidRPr="009859C5">
        <w:t xml:space="preserve"> </w:t>
      </w:r>
      <w:r>
        <w:t xml:space="preserve">All three checked out Brown’s </w:t>
      </w:r>
      <w:r>
        <w:rPr>
          <w:u w:val="single"/>
        </w:rPr>
        <w:t>Ormond</w:t>
      </w:r>
      <w:r>
        <w:t xml:space="preserve"> in addition to Robison’s </w:t>
      </w:r>
      <w:r w:rsidRPr="009859C5">
        <w:rPr>
          <w:u w:val="single"/>
        </w:rPr>
        <w:t>Proofs</w:t>
      </w:r>
      <w:r>
        <w:t xml:space="preserve">, </w:t>
      </w:r>
      <w:r>
        <w:t xml:space="preserve">Barruel’s </w:t>
      </w:r>
      <w:r>
        <w:rPr>
          <w:u w:val="single"/>
        </w:rPr>
        <w:t>Memoirs</w:t>
      </w:r>
      <w:r>
        <w:t>, or both. See “</w:t>
      </w:r>
      <w:r w:rsidRPr="009859C5">
        <w:t>John T. Glover,</w:t>
      </w:r>
      <w:r>
        <w:t>”</w:t>
      </w:r>
      <w:r w:rsidRPr="009859C5">
        <w:t xml:space="preserve"> </w:t>
      </w:r>
      <w:r>
        <w:t>“</w:t>
      </w:r>
      <w:r w:rsidRPr="009859C5">
        <w:t>John Le Conte,</w:t>
      </w:r>
      <w:r>
        <w:t>”</w:t>
      </w:r>
      <w:r w:rsidRPr="009859C5">
        <w:t xml:space="preserve"> and </w:t>
      </w:r>
      <w:r>
        <w:t>“</w:t>
      </w:r>
      <w:r w:rsidRPr="009859C5">
        <w:t>John Mercier</w:t>
      </w:r>
      <w:r>
        <w:t xml:space="preserve">,” </w:t>
      </w:r>
      <w:r>
        <w:rPr>
          <w:u w:val="single"/>
        </w:rPr>
        <w:t>City Readers</w:t>
      </w:r>
      <w:r>
        <w:t xml:space="preserve">, New York Society Library, accessed May 22, 2017, </w:t>
      </w:r>
      <w:r w:rsidRPr="003F5C20">
        <w:t>http://cityreaders.nysoclib.org/</w:t>
      </w:r>
      <w:r>
        <w:t>.</w:t>
      </w:r>
    </w:p>
  </w:endnote>
  <w:endnote w:id="52">
    <w:p w14:paraId="15ED89D0" w14:textId="77777777" w:rsidR="00BB53FC" w:rsidRPr="000339EB" w:rsidRDefault="00BB53FC" w:rsidP="00BA44C1">
      <w:pPr>
        <w:spacing w:line="480" w:lineRule="auto"/>
        <w:ind w:firstLine="720"/>
        <w:rPr>
          <w:color w:val="FF0000"/>
        </w:rPr>
      </w:pPr>
      <w:r w:rsidRPr="00BB53FC">
        <w:rPr>
          <w:rStyle w:val="EndnoteReference"/>
        </w:rPr>
        <w:endnoteRef/>
      </w:r>
      <w:r w:rsidRPr="00BB53FC">
        <w:t xml:space="preserve"> </w:t>
      </w:r>
      <w:r w:rsidR="00BA44C1" w:rsidRPr="00907264">
        <w:t>[</w:t>
      </w:r>
      <w:r w:rsidR="00BA44C1">
        <w:t xml:space="preserve">Charles </w:t>
      </w:r>
      <w:r w:rsidR="00BA44C1">
        <w:t>Brockde</w:t>
      </w:r>
      <w:r w:rsidR="00BA44C1" w:rsidRPr="00BA44C1">
        <w:t xml:space="preserve">n Brown], </w:t>
      </w:r>
      <w:r w:rsidR="00BA44C1" w:rsidRPr="00BA44C1">
        <w:rPr>
          <w:u w:val="single"/>
        </w:rPr>
        <w:t>Ormond; or, The Secret Witness</w:t>
      </w:r>
      <w:r w:rsidR="00BA44C1" w:rsidRPr="00BA44C1">
        <w:t xml:space="preserve"> (New York: G. Forman, for H.</w:t>
      </w:r>
      <w:r w:rsidR="00BA44C1" w:rsidRPr="00BA44C1">
        <w:tab/>
        <w:t xml:space="preserve">Caritat, 1799), </w:t>
      </w:r>
      <w:r w:rsidRPr="00BA44C1">
        <w:t>156.</w:t>
      </w:r>
    </w:p>
  </w:endnote>
  <w:endnote w:id="53">
    <w:p w14:paraId="54CCB592" w14:textId="77777777" w:rsidR="00BB53FC" w:rsidRPr="00BB53FC" w:rsidRDefault="00BB53FC" w:rsidP="002D27DC">
      <w:pPr>
        <w:pStyle w:val="EndnoteText"/>
        <w:spacing w:line="480" w:lineRule="auto"/>
        <w:ind w:firstLine="720"/>
        <w:rPr>
          <w:sz w:val="24"/>
          <w:szCs w:val="24"/>
        </w:rPr>
      </w:pPr>
      <w:r w:rsidRPr="00BB53FC">
        <w:rPr>
          <w:rStyle w:val="EndnoteReference"/>
          <w:sz w:val="24"/>
          <w:szCs w:val="24"/>
        </w:rPr>
        <w:endnoteRef/>
      </w:r>
      <w:r w:rsidRPr="00BB53FC">
        <w:rPr>
          <w:sz w:val="24"/>
          <w:szCs w:val="24"/>
        </w:rPr>
        <w:t xml:space="preserve"> [Wood], </w:t>
      </w:r>
      <w:r w:rsidRPr="00BB53FC">
        <w:rPr>
          <w:sz w:val="24"/>
          <w:szCs w:val="24"/>
          <w:u w:val="single"/>
        </w:rPr>
        <w:t>Julia</w:t>
      </w:r>
      <w:r w:rsidRPr="00BB53FC">
        <w:rPr>
          <w:sz w:val="24"/>
          <w:szCs w:val="24"/>
        </w:rPr>
        <w:t>, 13</w:t>
      </w:r>
      <w:r w:rsidR="002D27DC">
        <w:rPr>
          <w:sz w:val="24"/>
          <w:szCs w:val="24"/>
        </w:rPr>
        <w:t>4-</w:t>
      </w:r>
      <w:r w:rsidRPr="00BB53FC">
        <w:rPr>
          <w:sz w:val="24"/>
          <w:szCs w:val="24"/>
        </w:rPr>
        <w:t>5.</w:t>
      </w:r>
    </w:p>
  </w:endnote>
  <w:endnote w:id="54">
    <w:p w14:paraId="4C5E870B" w14:textId="77777777" w:rsidR="003E3CAA" w:rsidRPr="00907264" w:rsidRDefault="003E3CAA" w:rsidP="00907264">
      <w:pPr>
        <w:widowControl w:val="0"/>
        <w:spacing w:line="480" w:lineRule="auto"/>
        <w:ind w:firstLine="720"/>
      </w:pPr>
      <w:r w:rsidRPr="00907264">
        <w:rPr>
          <w:rStyle w:val="EndnoteReference"/>
        </w:rPr>
        <w:endnoteRef/>
      </w:r>
      <w:r w:rsidRPr="00907264">
        <w:t xml:space="preserve"> </w:t>
      </w:r>
      <w:r w:rsidR="001069AD" w:rsidRPr="00907264">
        <w:t>Cicero [pseud.]</w:t>
      </w:r>
      <w:r w:rsidRPr="00907264">
        <w:t xml:space="preserve">, </w:t>
      </w:r>
      <w:r w:rsidRPr="00907264">
        <w:rPr>
          <w:u w:val="single"/>
        </w:rPr>
        <w:t>Cicero, or a Discovery of a Clan of Conspirators</w:t>
      </w:r>
      <w:r w:rsidR="001069AD" w:rsidRPr="00907264">
        <w:t>,</w:t>
      </w:r>
      <w:r w:rsidRPr="00907264">
        <w:t xml:space="preserve"> 61-2.</w:t>
      </w:r>
    </w:p>
  </w:endnote>
  <w:endnote w:id="55">
    <w:p w14:paraId="616F8524" w14:textId="77777777" w:rsidR="003E3CAA" w:rsidRPr="00BB53FC" w:rsidRDefault="003E3CAA" w:rsidP="00BB53FC">
      <w:pPr>
        <w:pStyle w:val="EndnoteText"/>
        <w:spacing w:line="480" w:lineRule="auto"/>
        <w:ind w:firstLine="720"/>
        <w:rPr>
          <w:sz w:val="24"/>
          <w:szCs w:val="24"/>
        </w:rPr>
      </w:pPr>
      <w:r w:rsidRPr="00BB53FC">
        <w:rPr>
          <w:rStyle w:val="EndnoteReference"/>
          <w:sz w:val="24"/>
          <w:szCs w:val="24"/>
        </w:rPr>
        <w:endnoteRef/>
      </w:r>
      <w:r w:rsidRPr="00BB53FC">
        <w:rPr>
          <w:sz w:val="24"/>
          <w:szCs w:val="24"/>
        </w:rPr>
        <w:t xml:space="preserve"> Linn, </w:t>
      </w:r>
      <w:r w:rsidRPr="00BB53FC">
        <w:rPr>
          <w:sz w:val="24"/>
          <w:szCs w:val="24"/>
          <w:u w:val="single"/>
        </w:rPr>
        <w:t>A Discourse on National Sins</w:t>
      </w:r>
      <w:r w:rsidR="001069AD" w:rsidRPr="00BB53FC">
        <w:rPr>
          <w:sz w:val="24"/>
          <w:szCs w:val="24"/>
        </w:rPr>
        <w:t>,</w:t>
      </w:r>
      <w:r w:rsidRPr="00BB53FC">
        <w:rPr>
          <w:sz w:val="24"/>
          <w:szCs w:val="24"/>
        </w:rPr>
        <w:t xml:space="preserve"> 33-4. </w:t>
      </w:r>
    </w:p>
  </w:endnote>
  <w:endnote w:id="56">
    <w:p w14:paraId="0E538F3F" w14:textId="77777777" w:rsidR="003E3CAA" w:rsidRPr="00BB53FC" w:rsidRDefault="003E3CAA" w:rsidP="00BB53FC">
      <w:pPr>
        <w:pStyle w:val="EndnoteText"/>
        <w:spacing w:line="480" w:lineRule="auto"/>
        <w:ind w:firstLine="720"/>
        <w:rPr>
          <w:sz w:val="24"/>
          <w:szCs w:val="24"/>
        </w:rPr>
      </w:pPr>
      <w:r w:rsidRPr="00BB53FC">
        <w:rPr>
          <w:rStyle w:val="EndnoteReference"/>
          <w:sz w:val="24"/>
          <w:szCs w:val="24"/>
        </w:rPr>
        <w:endnoteRef/>
      </w:r>
      <w:r w:rsidRPr="00BB53FC">
        <w:rPr>
          <w:sz w:val="24"/>
          <w:szCs w:val="24"/>
        </w:rPr>
        <w:t xml:space="preserve"> Porcupin</w:t>
      </w:r>
      <w:r w:rsidR="001069AD" w:rsidRPr="00BB53FC">
        <w:rPr>
          <w:sz w:val="24"/>
          <w:szCs w:val="24"/>
        </w:rPr>
        <w:t xml:space="preserve">e [pseud. of William Cobbett], </w:t>
      </w:r>
      <w:r w:rsidRPr="00BB53FC">
        <w:rPr>
          <w:sz w:val="24"/>
          <w:szCs w:val="24"/>
          <w:u w:val="single"/>
        </w:rPr>
        <w:t>Detection of a Conspiracy</w:t>
      </w:r>
      <w:r w:rsidRPr="00BB53FC">
        <w:rPr>
          <w:sz w:val="24"/>
          <w:szCs w:val="24"/>
        </w:rPr>
        <w:t>, 28-9.</w:t>
      </w:r>
    </w:p>
  </w:endnote>
  <w:endnote w:id="57">
    <w:p w14:paraId="36AB1D35" w14:textId="77777777" w:rsidR="00BB53FC" w:rsidRPr="00BB53FC" w:rsidRDefault="00BB53FC" w:rsidP="00BB53FC">
      <w:pPr>
        <w:pStyle w:val="EndnoteText"/>
        <w:spacing w:line="480" w:lineRule="auto"/>
        <w:ind w:firstLine="720"/>
        <w:rPr>
          <w:sz w:val="24"/>
          <w:szCs w:val="24"/>
        </w:rPr>
      </w:pPr>
      <w:r w:rsidRPr="00BB53FC">
        <w:rPr>
          <w:rStyle w:val="EndnoteReference"/>
          <w:sz w:val="24"/>
          <w:szCs w:val="24"/>
        </w:rPr>
        <w:endnoteRef/>
      </w:r>
      <w:r w:rsidRPr="00BB53FC">
        <w:rPr>
          <w:sz w:val="24"/>
          <w:szCs w:val="24"/>
        </w:rPr>
        <w:t xml:space="preserve"> Morse, Jedidiah. </w:t>
      </w:r>
      <w:r w:rsidRPr="00BB53FC">
        <w:rPr>
          <w:sz w:val="24"/>
          <w:szCs w:val="24"/>
          <w:u w:val="single"/>
        </w:rPr>
        <w:t>A Sermon, exhibiting The Present Dangers</w:t>
      </w:r>
      <w:r w:rsidRPr="00BB53FC">
        <w:rPr>
          <w:sz w:val="24"/>
          <w:szCs w:val="24"/>
        </w:rPr>
        <w:t>, 12.</w:t>
      </w:r>
    </w:p>
  </w:endnote>
  <w:endnote w:id="58">
    <w:p w14:paraId="5D8C525E" w14:textId="77777777" w:rsidR="003E3CAA" w:rsidRPr="00BA44C1" w:rsidRDefault="003E3CAA" w:rsidP="00BA44C1">
      <w:pPr>
        <w:spacing w:line="480" w:lineRule="auto"/>
        <w:ind w:firstLine="720"/>
        <w:rPr>
          <w:bCs/>
        </w:rPr>
      </w:pPr>
      <w:r w:rsidRPr="00BB53FC">
        <w:rPr>
          <w:rStyle w:val="EndnoteReference"/>
        </w:rPr>
        <w:endnoteRef/>
      </w:r>
      <w:r w:rsidRPr="00BB53FC">
        <w:t xml:space="preserve"> </w:t>
      </w:r>
      <w:r w:rsidR="00BA44C1">
        <w:t xml:space="preserve">Elizabeth </w:t>
      </w:r>
      <w:r w:rsidR="00BA44C1" w:rsidRPr="00907264">
        <w:t xml:space="preserve">Barnes, </w:t>
      </w:r>
      <w:r w:rsidR="00BA44C1" w:rsidRPr="00907264">
        <w:rPr>
          <w:u w:val="single"/>
        </w:rPr>
        <w:t>States of Sympathy: Seduction and Democracy in the American Novel</w:t>
      </w:r>
      <w:r w:rsidR="00BA44C1">
        <w:t xml:space="preserve"> (</w:t>
      </w:r>
      <w:r w:rsidR="00BA44C1" w:rsidRPr="00907264">
        <w:t>New</w:t>
      </w:r>
      <w:r w:rsidR="00BA44C1">
        <w:t xml:space="preserve"> </w:t>
      </w:r>
      <w:r w:rsidR="00BA44C1" w:rsidRPr="00907264">
        <w:t xml:space="preserve">York: Columbia University </w:t>
      </w:r>
      <w:r w:rsidR="00BA44C1">
        <w:t>Press, 1997),</w:t>
      </w:r>
      <w:r w:rsidR="00BA44C1" w:rsidRPr="00907264">
        <w:t xml:space="preserve"> 11.</w:t>
      </w:r>
    </w:p>
  </w:endnote>
  <w:endnote w:id="59">
    <w:p w14:paraId="6B40D15D" w14:textId="77777777" w:rsidR="003E3CAA" w:rsidRPr="00BB53FC" w:rsidRDefault="001069AD" w:rsidP="00BB53FC">
      <w:pPr>
        <w:tabs>
          <w:tab w:val="left" w:pos="720"/>
        </w:tabs>
        <w:spacing w:line="480" w:lineRule="auto"/>
      </w:pPr>
      <w:r w:rsidRPr="00BB53FC">
        <w:tab/>
      </w:r>
      <w:r w:rsidR="003E3CAA" w:rsidRPr="00BB53FC">
        <w:rPr>
          <w:rStyle w:val="EndnoteReference"/>
        </w:rPr>
        <w:endnoteRef/>
      </w:r>
      <w:r w:rsidR="003E3CAA" w:rsidRPr="00BB53FC">
        <w:t xml:space="preserve"> Dwight, </w:t>
      </w:r>
      <w:r w:rsidR="003E3CAA" w:rsidRPr="00BB53FC">
        <w:rPr>
          <w:u w:val="single"/>
        </w:rPr>
        <w:t>The Duty of Americans</w:t>
      </w:r>
      <w:r w:rsidR="003E3CAA" w:rsidRPr="00BB53FC">
        <w:t>, 20-1.</w:t>
      </w:r>
    </w:p>
  </w:endnote>
  <w:endnote w:id="60">
    <w:p w14:paraId="30ACC83C" w14:textId="77777777" w:rsidR="00BB53FC" w:rsidRPr="00BB53FC" w:rsidRDefault="00BB53FC" w:rsidP="00BB53FC">
      <w:pPr>
        <w:pStyle w:val="EndnoteText"/>
        <w:spacing w:line="480" w:lineRule="auto"/>
        <w:ind w:firstLine="720"/>
        <w:rPr>
          <w:sz w:val="24"/>
          <w:szCs w:val="24"/>
        </w:rPr>
      </w:pPr>
      <w:r w:rsidRPr="00BB53FC">
        <w:rPr>
          <w:rStyle w:val="EndnoteReference"/>
          <w:sz w:val="24"/>
          <w:szCs w:val="24"/>
        </w:rPr>
        <w:endnoteRef/>
      </w:r>
      <w:r w:rsidRPr="00BB53FC">
        <w:rPr>
          <w:sz w:val="24"/>
          <w:szCs w:val="24"/>
        </w:rPr>
        <w:t xml:space="preserve"> </w:t>
      </w:r>
      <w:r w:rsidR="00BA44C1">
        <w:rPr>
          <w:sz w:val="24"/>
          <w:szCs w:val="24"/>
        </w:rPr>
        <w:t>[</w:t>
      </w:r>
      <w:r w:rsidRPr="00BB53FC">
        <w:rPr>
          <w:sz w:val="24"/>
          <w:szCs w:val="24"/>
        </w:rPr>
        <w:t>Bently</w:t>
      </w:r>
      <w:r w:rsidR="00BA44C1">
        <w:rPr>
          <w:sz w:val="24"/>
          <w:szCs w:val="24"/>
        </w:rPr>
        <w:t>]</w:t>
      </w:r>
      <w:r w:rsidRPr="00BB53FC">
        <w:rPr>
          <w:sz w:val="24"/>
          <w:szCs w:val="24"/>
        </w:rPr>
        <w:t xml:space="preserve">, </w:t>
      </w:r>
      <w:r w:rsidRPr="00BB53FC">
        <w:rPr>
          <w:sz w:val="24"/>
          <w:szCs w:val="24"/>
          <w:u w:val="single"/>
        </w:rPr>
        <w:t>Extracts</w:t>
      </w:r>
      <w:r w:rsidRPr="00BB53FC">
        <w:rPr>
          <w:sz w:val="24"/>
          <w:szCs w:val="24"/>
        </w:rPr>
        <w:t>, 17</w:t>
      </w:r>
      <w:r>
        <w:rPr>
          <w:sz w:val="24"/>
          <w:szCs w:val="24"/>
        </w:rPr>
        <w:t>.</w:t>
      </w:r>
    </w:p>
  </w:endnote>
  <w:endnote w:id="61">
    <w:p w14:paraId="6F8A6B8D" w14:textId="77777777" w:rsidR="00BB53FC" w:rsidRPr="00916E43" w:rsidRDefault="00BB53FC" w:rsidP="00916E43">
      <w:pPr>
        <w:pStyle w:val="EndnoteText"/>
        <w:spacing w:line="480" w:lineRule="auto"/>
        <w:ind w:firstLine="720"/>
        <w:rPr>
          <w:sz w:val="24"/>
          <w:szCs w:val="24"/>
        </w:rPr>
      </w:pPr>
      <w:r w:rsidRPr="00916E43">
        <w:rPr>
          <w:rStyle w:val="EndnoteReference"/>
          <w:sz w:val="24"/>
          <w:szCs w:val="24"/>
        </w:rPr>
        <w:endnoteRef/>
      </w:r>
      <w:r w:rsidRPr="00916E43">
        <w:rPr>
          <w:sz w:val="24"/>
          <w:szCs w:val="24"/>
        </w:rPr>
        <w:t xml:space="preserve"> Brown, </w:t>
      </w:r>
      <w:r w:rsidRPr="00916E43">
        <w:rPr>
          <w:sz w:val="24"/>
          <w:szCs w:val="24"/>
          <w:u w:val="single"/>
        </w:rPr>
        <w:t>An Oration, Spoken at Hartford</w:t>
      </w:r>
      <w:r w:rsidRPr="00916E43">
        <w:rPr>
          <w:sz w:val="24"/>
          <w:szCs w:val="24"/>
        </w:rPr>
        <w:t>, 20.</w:t>
      </w:r>
    </w:p>
  </w:endnote>
  <w:endnote w:id="62">
    <w:p w14:paraId="2C4D048C" w14:textId="77777777" w:rsidR="00916E43" w:rsidRPr="00916E43" w:rsidRDefault="00916E43" w:rsidP="00916E43">
      <w:pPr>
        <w:pStyle w:val="EndnoteText"/>
        <w:spacing w:line="480" w:lineRule="auto"/>
        <w:ind w:firstLine="720"/>
        <w:rPr>
          <w:sz w:val="24"/>
          <w:szCs w:val="24"/>
        </w:rPr>
      </w:pPr>
      <w:r w:rsidRPr="00916E43">
        <w:rPr>
          <w:rStyle w:val="EndnoteReference"/>
          <w:sz w:val="24"/>
          <w:szCs w:val="24"/>
        </w:rPr>
        <w:endnoteRef/>
      </w:r>
      <w:r w:rsidRPr="00916E43">
        <w:rPr>
          <w:sz w:val="24"/>
          <w:szCs w:val="24"/>
        </w:rPr>
        <w:t xml:space="preserve"> </w:t>
      </w:r>
      <w:r w:rsidRPr="00916E43">
        <w:rPr>
          <w:sz w:val="24"/>
          <w:szCs w:val="24"/>
        </w:rPr>
        <w:t xml:space="preserve">Gregor Aisch, Jon Huang, and Cecilia Kang, “Dissecting the #PizzaGate Conspiracy Theories,” </w:t>
      </w:r>
      <w:r w:rsidRPr="00916E43">
        <w:rPr>
          <w:sz w:val="24"/>
          <w:szCs w:val="24"/>
          <w:u w:val="single"/>
        </w:rPr>
        <w:t>New York Times</w:t>
      </w:r>
      <w:r w:rsidRPr="00916E43">
        <w:rPr>
          <w:sz w:val="24"/>
          <w:szCs w:val="24"/>
        </w:rPr>
        <w:t>, December 10, 2016, accessed May 21, 2017.</w:t>
      </w:r>
    </w:p>
  </w:endnote>
  <w:endnote w:id="63">
    <w:p w14:paraId="21B4404F" w14:textId="77777777" w:rsidR="00916E43" w:rsidRPr="00916E43" w:rsidRDefault="00916E43" w:rsidP="00916E43">
      <w:pPr>
        <w:pStyle w:val="EndnoteText"/>
        <w:spacing w:line="480" w:lineRule="auto"/>
        <w:ind w:firstLine="720"/>
        <w:rPr>
          <w:sz w:val="24"/>
          <w:szCs w:val="24"/>
        </w:rPr>
      </w:pPr>
      <w:r w:rsidRPr="00916E43">
        <w:rPr>
          <w:rStyle w:val="EndnoteReference"/>
          <w:sz w:val="24"/>
          <w:szCs w:val="24"/>
        </w:rPr>
        <w:endnoteRef/>
      </w:r>
      <w:r w:rsidRPr="00916E43">
        <w:rPr>
          <w:sz w:val="24"/>
          <w:szCs w:val="24"/>
        </w:rPr>
        <w:t xml:space="preserve"> Anonymous [ID: zY4s9Luf], “Why did women overwhelmingly voted [sic] for Macron,” </w:t>
      </w:r>
      <w:r w:rsidRPr="00916E43">
        <w:rPr>
          <w:sz w:val="24"/>
          <w:szCs w:val="24"/>
          <w:u w:val="single"/>
        </w:rPr>
        <w:t>4chan</w:t>
      </w:r>
      <w:r w:rsidRPr="00916E43">
        <w:rPr>
          <w:sz w:val="24"/>
          <w:szCs w:val="24"/>
        </w:rPr>
        <w:t xml:space="preserve">, last modified May 9, 2017, accessed May 10, 2017. </w:t>
      </w:r>
    </w:p>
  </w:endnote>
  <w:endnote w:id="64">
    <w:p w14:paraId="1B13DB30" w14:textId="77777777" w:rsidR="003E3CAA" w:rsidRPr="00BA44C1" w:rsidRDefault="003E3CAA" w:rsidP="00BA44C1">
      <w:pPr>
        <w:spacing w:line="480" w:lineRule="auto"/>
        <w:ind w:firstLine="720"/>
        <w:rPr>
          <w:bCs/>
        </w:rPr>
      </w:pPr>
      <w:r w:rsidRPr="00916E43">
        <w:rPr>
          <w:rStyle w:val="EndnoteReference"/>
        </w:rPr>
        <w:endnoteRef/>
      </w:r>
      <w:r w:rsidRPr="00916E43">
        <w:t xml:space="preserve"> </w:t>
      </w:r>
      <w:r w:rsidR="00BA44C1" w:rsidRPr="00907264">
        <w:rPr>
          <w:bCs/>
        </w:rPr>
        <w:t xml:space="preserve">Davidson, Amy. “The Age of Donald Trump and </w:t>
      </w:r>
      <w:r w:rsidR="00BA44C1" w:rsidRPr="00907264">
        <w:rPr>
          <w:bCs/>
        </w:rPr>
        <w:t xml:space="preserve">Pizzagate,” </w:t>
      </w:r>
      <w:r w:rsidR="00BA44C1" w:rsidRPr="00907264">
        <w:rPr>
          <w:bCs/>
          <w:u w:val="single"/>
        </w:rPr>
        <w:t>The New Yorker</w:t>
      </w:r>
      <w:r w:rsidR="00BA44C1" w:rsidRPr="00907264">
        <w:rPr>
          <w:bCs/>
        </w:rPr>
        <w:t>, December 5,</w:t>
      </w:r>
      <w:r w:rsidR="00BA44C1">
        <w:rPr>
          <w:bCs/>
        </w:rPr>
        <w:t xml:space="preserve"> </w:t>
      </w:r>
      <w:r w:rsidR="00BA44C1" w:rsidRPr="00907264">
        <w:rPr>
          <w:bCs/>
        </w:rPr>
        <w:t>2016. Accessed May 16, 2017. http://www.newyorker.com/news/amy-davidson/the-age-of-donald-trump-and-pizzagate.</w:t>
      </w:r>
    </w:p>
  </w:endnote>
  <w:endnote w:id="65">
    <w:p w14:paraId="63CC74A9" w14:textId="77777777" w:rsidR="00916E43" w:rsidRDefault="00916E43" w:rsidP="00916E43">
      <w:pPr>
        <w:pStyle w:val="EndnoteText"/>
        <w:spacing w:line="480" w:lineRule="auto"/>
        <w:ind w:firstLine="720"/>
      </w:pPr>
      <w:r>
        <w:rPr>
          <w:rStyle w:val="EndnoteReference"/>
        </w:rPr>
        <w:endnoteRef/>
      </w:r>
      <w:r w:rsidR="00BA44C1">
        <w:t xml:space="preserve"> </w:t>
      </w:r>
      <w:r w:rsidR="00BA44C1" w:rsidRPr="00BA44C1">
        <w:rPr>
          <w:sz w:val="24"/>
          <w:szCs w:val="24"/>
        </w:rPr>
        <w:t>[</w:t>
      </w:r>
      <w:r w:rsidRPr="009859C5">
        <w:rPr>
          <w:sz w:val="24"/>
          <w:szCs w:val="24"/>
        </w:rPr>
        <w:t>Bently</w:t>
      </w:r>
      <w:r w:rsidR="00BA44C1">
        <w:rPr>
          <w:sz w:val="24"/>
          <w:szCs w:val="24"/>
        </w:rPr>
        <w:t>]</w:t>
      </w:r>
      <w:r w:rsidRPr="009859C5">
        <w:rPr>
          <w:sz w:val="24"/>
          <w:szCs w:val="24"/>
        </w:rPr>
        <w:t xml:space="preserve">, </w:t>
      </w:r>
      <w:r w:rsidRPr="009859C5">
        <w:rPr>
          <w:sz w:val="24"/>
          <w:szCs w:val="24"/>
          <w:u w:val="single"/>
        </w:rPr>
        <w:t>Extracts</w:t>
      </w:r>
      <w:r w:rsidRPr="009859C5">
        <w:rPr>
          <w:sz w:val="24"/>
          <w:szCs w:val="24"/>
        </w:rPr>
        <w:t>, 17</w:t>
      </w:r>
      <w:r>
        <w:rPr>
          <w:sz w:val="24"/>
          <w:szCs w:val="24"/>
        </w:rPr>
        <w:t>.</w:t>
      </w:r>
    </w:p>
  </w:endnote>
  <w:endnote w:id="66">
    <w:p w14:paraId="35A46863" w14:textId="77777777" w:rsidR="003E3CAA" w:rsidRPr="00916E43" w:rsidRDefault="003E3CAA" w:rsidP="00916E43">
      <w:pPr>
        <w:pStyle w:val="EndnoteText"/>
        <w:spacing w:line="480" w:lineRule="auto"/>
        <w:ind w:firstLine="720"/>
        <w:rPr>
          <w:sz w:val="24"/>
          <w:szCs w:val="24"/>
        </w:rPr>
      </w:pPr>
      <w:r w:rsidRPr="00916E43">
        <w:rPr>
          <w:rStyle w:val="EndnoteReference"/>
          <w:sz w:val="24"/>
          <w:szCs w:val="24"/>
        </w:rPr>
        <w:endnoteRef/>
      </w:r>
      <w:r w:rsidRPr="00916E43">
        <w:rPr>
          <w:sz w:val="24"/>
          <w:szCs w:val="24"/>
        </w:rPr>
        <w:t xml:space="preserve"> </w:t>
      </w:r>
      <w:r w:rsidR="00907264" w:rsidRPr="00916E43">
        <w:rPr>
          <w:sz w:val="24"/>
          <w:szCs w:val="24"/>
        </w:rPr>
        <w:t xml:space="preserve">Brown, </w:t>
      </w:r>
      <w:r w:rsidRPr="00916E43">
        <w:rPr>
          <w:sz w:val="24"/>
          <w:szCs w:val="24"/>
          <w:u w:val="single"/>
        </w:rPr>
        <w:t>An Oration, Spoken at Hartford</w:t>
      </w:r>
      <w:r w:rsidRPr="00916E43">
        <w:rPr>
          <w:sz w:val="24"/>
          <w:szCs w:val="24"/>
        </w:rPr>
        <w:t>, 6, 20.</w:t>
      </w:r>
    </w:p>
  </w:endnote>
  <w:endnote w:id="67">
    <w:p w14:paraId="7F457481" w14:textId="77777777" w:rsidR="00916E43" w:rsidRDefault="00916E43" w:rsidP="00916E43">
      <w:pPr>
        <w:pStyle w:val="EndnoteText"/>
        <w:spacing w:line="480" w:lineRule="auto"/>
        <w:ind w:firstLine="720"/>
      </w:pPr>
      <w:r>
        <w:rPr>
          <w:rStyle w:val="EndnoteReference"/>
        </w:rPr>
        <w:endnoteRef/>
      </w:r>
      <w:r>
        <w:t xml:space="preserve"> </w:t>
      </w:r>
      <w:r w:rsidRPr="00BB53FC">
        <w:rPr>
          <w:sz w:val="24"/>
          <w:szCs w:val="24"/>
        </w:rPr>
        <w:t xml:space="preserve">Morse, Jedidiah. </w:t>
      </w:r>
      <w:r w:rsidRPr="00BB53FC">
        <w:rPr>
          <w:sz w:val="24"/>
          <w:szCs w:val="24"/>
          <w:u w:val="single"/>
        </w:rPr>
        <w:t>A Sermon, exhibiting The Present Dangers</w:t>
      </w:r>
      <w:r w:rsidRPr="00BB53FC">
        <w:rPr>
          <w:sz w:val="24"/>
          <w:szCs w:val="24"/>
        </w:rPr>
        <w:t>, 12</w:t>
      </w:r>
      <w:r>
        <w:rPr>
          <w:sz w:val="24"/>
          <w:szCs w:val="24"/>
        </w:rPr>
        <w:t>.</w:t>
      </w:r>
    </w:p>
  </w:endnote>
  <w:endnote w:id="68">
    <w:p w14:paraId="26937133" w14:textId="77777777" w:rsidR="00916E43" w:rsidRPr="00916E43" w:rsidRDefault="00916E43" w:rsidP="00916E43">
      <w:pPr>
        <w:pStyle w:val="EndnoteText"/>
        <w:spacing w:line="480" w:lineRule="auto"/>
        <w:ind w:firstLine="720"/>
        <w:rPr>
          <w:sz w:val="24"/>
          <w:szCs w:val="24"/>
        </w:rPr>
      </w:pPr>
      <w:r w:rsidRPr="00916E43">
        <w:rPr>
          <w:rStyle w:val="EndnoteReference"/>
          <w:sz w:val="24"/>
          <w:szCs w:val="24"/>
        </w:rPr>
        <w:endnoteRef/>
      </w:r>
      <w:r w:rsidRPr="00916E43">
        <w:rPr>
          <w:sz w:val="24"/>
          <w:szCs w:val="24"/>
        </w:rPr>
        <w:t xml:space="preserve"> </w:t>
      </w:r>
      <w:r w:rsidR="00BA44C1" w:rsidRPr="00BA44C1">
        <w:rPr>
          <w:sz w:val="24"/>
          <w:szCs w:val="24"/>
        </w:rPr>
        <w:t>Hofstadter</w:t>
      </w:r>
      <w:r w:rsidRPr="00916E43">
        <w:rPr>
          <w:sz w:val="24"/>
          <w:szCs w:val="24"/>
        </w:rPr>
        <w:t>, “Paranoid Style,” 80.</w:t>
      </w:r>
    </w:p>
  </w:endnote>
  <w:endnote w:id="69">
    <w:p w14:paraId="016A8095" w14:textId="77777777" w:rsidR="003E3CAA" w:rsidRPr="00BA44C1" w:rsidRDefault="003E3CAA" w:rsidP="00BA44C1">
      <w:pPr>
        <w:spacing w:line="480" w:lineRule="auto"/>
        <w:ind w:firstLine="720"/>
        <w:rPr>
          <w:u w:val="single"/>
        </w:rPr>
      </w:pPr>
      <w:r w:rsidRPr="00916E43">
        <w:rPr>
          <w:rStyle w:val="EndnoteReference"/>
        </w:rPr>
        <w:endnoteRef/>
      </w:r>
      <w:r w:rsidRPr="00916E43">
        <w:t xml:space="preserve"> </w:t>
      </w:r>
      <w:r w:rsidR="00BA44C1">
        <w:t xml:space="preserve">Laura </w:t>
      </w:r>
      <w:r w:rsidR="00BA44C1" w:rsidRPr="00907264">
        <w:t xml:space="preserve">Mulvey, </w:t>
      </w:r>
      <w:r w:rsidR="00BA44C1" w:rsidRPr="00907264">
        <w:rPr>
          <w:u w:val="single"/>
        </w:rPr>
        <w:t>Fetishism and Curiosity: Cinema and the Mind's Eye</w:t>
      </w:r>
      <w:r w:rsidR="00BA44C1">
        <w:t xml:space="preserve"> (</w:t>
      </w:r>
      <w:r w:rsidR="00BA44C1" w:rsidRPr="00907264">
        <w:t xml:space="preserve">Bloomington: </w:t>
      </w:r>
      <w:r w:rsidR="00BA44C1" w:rsidRPr="00BA44C1">
        <w:t xml:space="preserve">Indiana University Press, 1996), </w:t>
      </w:r>
      <w:r w:rsidRPr="00BA44C1">
        <w:t>xiv, 5.</w:t>
      </w:r>
    </w:p>
  </w:endnote>
  <w:endnote w:id="70">
    <w:p w14:paraId="6DD37971" w14:textId="77777777" w:rsidR="003E3CAA" w:rsidRPr="00916E43" w:rsidRDefault="003E3CAA" w:rsidP="00916E43">
      <w:pPr>
        <w:widowControl w:val="0"/>
        <w:spacing w:line="480" w:lineRule="auto"/>
        <w:ind w:firstLine="720"/>
      </w:pPr>
      <w:r w:rsidRPr="00916E43">
        <w:rPr>
          <w:rStyle w:val="EndnoteReference"/>
        </w:rPr>
        <w:endnoteRef/>
      </w:r>
      <w:r w:rsidR="00907264" w:rsidRPr="00916E43">
        <w:t xml:space="preserve"> Davidson, “The Age of Donald Trump and </w:t>
      </w:r>
      <w:r w:rsidR="00907264" w:rsidRPr="00916E43">
        <w:t>Pizzagate.”</w:t>
      </w:r>
    </w:p>
  </w:endnote>
  <w:endnote w:id="71">
    <w:p w14:paraId="64E6CF6C" w14:textId="77777777" w:rsidR="003E3CAA" w:rsidRPr="00907264" w:rsidRDefault="003E3CAA" w:rsidP="00907264">
      <w:pPr>
        <w:spacing w:line="480" w:lineRule="auto"/>
        <w:ind w:firstLine="720"/>
      </w:pPr>
      <w:r w:rsidRPr="00907264">
        <w:rPr>
          <w:rStyle w:val="EndnoteReference"/>
        </w:rPr>
        <w:endnoteRef/>
      </w:r>
      <w:r w:rsidRPr="00907264">
        <w:t xml:space="preserve"> Farley, “The Black Body as Fetish Object,” 458 and 467</w:t>
      </w:r>
      <w:r w:rsidR="00907264" w:rsidRPr="00907264">
        <w:t xml:space="preserve"> and </w:t>
      </w:r>
      <w:r w:rsidRPr="00907264">
        <w:t xml:space="preserve">Nash, </w:t>
      </w:r>
      <w:r w:rsidRPr="00907264">
        <w:rPr>
          <w:u w:val="single"/>
        </w:rPr>
        <w:t>The Black Body in Ecstasy</w:t>
      </w:r>
      <w:r w:rsidRPr="00907264">
        <w:t>, 3.</w:t>
      </w:r>
    </w:p>
  </w:endnote>
  <w:endnote w:id="72">
    <w:p w14:paraId="05B052DB" w14:textId="77777777" w:rsidR="003E3CAA" w:rsidRPr="003E3CAA" w:rsidRDefault="003E3CAA" w:rsidP="00907264">
      <w:pPr>
        <w:spacing w:line="480" w:lineRule="auto"/>
        <w:ind w:firstLine="720"/>
      </w:pPr>
      <w:r w:rsidRPr="00907264">
        <w:rPr>
          <w:rStyle w:val="EndnoteReference"/>
        </w:rPr>
        <w:endnoteRef/>
      </w:r>
      <w:r w:rsidRPr="00907264">
        <w:t xml:space="preserve"> Barthes, </w:t>
      </w:r>
      <w:r w:rsidRPr="00907264">
        <w:rPr>
          <w:u w:val="single"/>
        </w:rPr>
        <w:t>The Pleasure of the Text</w:t>
      </w:r>
      <w:r w:rsidR="00907264" w:rsidRPr="00907264">
        <w:t>,</w:t>
      </w:r>
      <w:r w:rsidRPr="00907264">
        <w:t xml:space="preserve"> 47.</w:t>
      </w:r>
    </w:p>
  </w:endnote>
  <w:endnote w:id="73">
    <w:p w14:paraId="58674F42" w14:textId="77777777" w:rsidR="006E312F" w:rsidRDefault="006E312F" w:rsidP="006E312F">
      <w:pPr>
        <w:pStyle w:val="EndnoteText"/>
        <w:spacing w:line="480" w:lineRule="auto"/>
        <w:ind w:firstLine="720"/>
      </w:pPr>
      <w:r>
        <w:rPr>
          <w:rStyle w:val="EndnoteReference"/>
        </w:rPr>
        <w:endnoteRef/>
      </w:r>
      <w:r>
        <w:t xml:space="preserve"> </w:t>
      </w:r>
      <w:r w:rsidRPr="00907264">
        <w:rPr>
          <w:sz w:val="24"/>
          <w:szCs w:val="24"/>
        </w:rPr>
        <w:t xml:space="preserve">Castronovo, </w:t>
      </w:r>
      <w:r w:rsidRPr="00907264">
        <w:rPr>
          <w:sz w:val="24"/>
          <w:szCs w:val="24"/>
          <w:u w:val="single"/>
        </w:rPr>
        <w:t xml:space="preserve">Beautiful </w:t>
      </w:r>
      <w:r w:rsidRPr="00907264">
        <w:rPr>
          <w:sz w:val="24"/>
          <w:szCs w:val="24"/>
        </w:rPr>
        <w:t>Democracy, 215</w:t>
      </w:r>
      <w:r>
        <w:t>;</w:t>
      </w:r>
      <w:r w:rsidRPr="00BA44C1">
        <w:rPr>
          <w:sz w:val="24"/>
          <w:szCs w:val="24"/>
        </w:rPr>
        <w:t xml:space="preserve"> </w:t>
      </w:r>
      <w:r w:rsidR="00BA44C1" w:rsidRPr="00BA44C1">
        <w:rPr>
          <w:sz w:val="24"/>
          <w:szCs w:val="24"/>
        </w:rPr>
        <w:t>[</w:t>
      </w:r>
      <w:r w:rsidRPr="00BA44C1">
        <w:rPr>
          <w:sz w:val="24"/>
          <w:szCs w:val="24"/>
        </w:rPr>
        <w:t>Brown</w:t>
      </w:r>
      <w:r w:rsidR="00BA44C1" w:rsidRPr="00BA44C1">
        <w:rPr>
          <w:sz w:val="24"/>
          <w:szCs w:val="24"/>
        </w:rPr>
        <w:t>]</w:t>
      </w:r>
      <w:r w:rsidRPr="00BB53FC">
        <w:rPr>
          <w:sz w:val="24"/>
          <w:szCs w:val="24"/>
        </w:rPr>
        <w:t xml:space="preserve">, </w:t>
      </w:r>
      <w:r w:rsidRPr="00BB53FC">
        <w:rPr>
          <w:sz w:val="24"/>
          <w:szCs w:val="24"/>
          <w:u w:val="single"/>
        </w:rPr>
        <w:t>Ormond</w:t>
      </w:r>
      <w:r>
        <w:rPr>
          <w:sz w:val="24"/>
          <w:szCs w:val="24"/>
        </w:rPr>
        <w:t xml:space="preserve">, 156; </w:t>
      </w:r>
      <w:r w:rsidRPr="00916E43">
        <w:rPr>
          <w:sz w:val="24"/>
          <w:szCs w:val="24"/>
        </w:rPr>
        <w:t xml:space="preserve">Brown, </w:t>
      </w:r>
      <w:r w:rsidRPr="00916E43">
        <w:rPr>
          <w:sz w:val="24"/>
          <w:szCs w:val="24"/>
          <w:u w:val="single"/>
        </w:rPr>
        <w:t>An Oration, Spoken at Hartford</w:t>
      </w:r>
      <w:r w:rsidRPr="006E312F">
        <w:rPr>
          <w:sz w:val="24"/>
          <w:szCs w:val="24"/>
        </w:rPr>
        <w:t>, 20.</w:t>
      </w:r>
    </w:p>
  </w:endnote>
  <w:endnote w:id="74">
    <w:p w14:paraId="0E587D8F" w14:textId="77777777" w:rsidR="006E312F" w:rsidRDefault="006E312F" w:rsidP="006E312F">
      <w:pPr>
        <w:spacing w:line="480" w:lineRule="auto"/>
        <w:ind w:firstLine="720"/>
      </w:pPr>
      <w:r>
        <w:rPr>
          <w:rStyle w:val="EndnoteReference"/>
        </w:rPr>
        <w:endnoteRef/>
      </w:r>
      <w:r>
        <w:t xml:space="preserve"> </w:t>
      </w:r>
      <w:r w:rsidRPr="00907264">
        <w:t xml:space="preserve">Barthes, </w:t>
      </w:r>
      <w:r w:rsidRPr="00907264">
        <w:rPr>
          <w:u w:val="single"/>
        </w:rPr>
        <w:t>The Pleasure of the Text</w:t>
      </w:r>
      <w:r w:rsidRPr="00907264">
        <w:t>, 47.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EDFA7" w14:textId="77777777" w:rsidR="00130E36" w:rsidRDefault="00130E36" w:rsidP="003E3CAA">
      <w:pPr>
        <w:spacing w:line="240" w:lineRule="auto"/>
      </w:pPr>
      <w:r>
        <w:separator/>
      </w:r>
    </w:p>
  </w:footnote>
  <w:footnote w:type="continuationSeparator" w:id="0">
    <w:p w14:paraId="4730FC11" w14:textId="77777777" w:rsidR="00130E36" w:rsidRDefault="00130E36" w:rsidP="003E3C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766082"/>
      <w:docPartObj>
        <w:docPartGallery w:val="Page Numbers (Top of Page)"/>
        <w:docPartUnique/>
      </w:docPartObj>
    </w:sdtPr>
    <w:sdtEndPr>
      <w:rPr>
        <w:noProof/>
      </w:rPr>
    </w:sdtEndPr>
    <w:sdtContent>
      <w:p w14:paraId="126B916E" w14:textId="77777777" w:rsidR="00F402D0" w:rsidRDefault="00F402D0">
        <w:pPr>
          <w:pStyle w:val="Header"/>
          <w:jc w:val="right"/>
        </w:pPr>
        <w:r>
          <w:t xml:space="preserve">“Conspiracy, Pornography, Democracy” </w:t>
        </w:r>
        <w:r>
          <w:fldChar w:fldCharType="begin"/>
        </w:r>
        <w:r>
          <w:instrText xml:space="preserve"> PAGE   \* MERGEFORMAT </w:instrText>
        </w:r>
        <w:r>
          <w:fldChar w:fldCharType="separate"/>
        </w:r>
        <w:r w:rsidR="00B87A14">
          <w:rPr>
            <w:noProof/>
          </w:rPr>
          <w:t>26</w:t>
        </w:r>
        <w:r>
          <w:rPr>
            <w:noProof/>
          </w:rPr>
          <w:fldChar w:fldCharType="end"/>
        </w:r>
      </w:p>
    </w:sdtContent>
  </w:sdt>
  <w:p w14:paraId="43B6E73A" w14:textId="77777777" w:rsidR="00F402D0" w:rsidRDefault="00F40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9F1"/>
    <w:multiLevelType w:val="hybridMultilevel"/>
    <w:tmpl w:val="A55EA04E"/>
    <w:lvl w:ilvl="0" w:tplc="3CB42F08">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45C4201"/>
    <w:multiLevelType w:val="hybridMultilevel"/>
    <w:tmpl w:val="7C2E69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030B32"/>
    <w:multiLevelType w:val="multilevel"/>
    <w:tmpl w:val="4A36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104E0"/>
    <w:multiLevelType w:val="hybridMultilevel"/>
    <w:tmpl w:val="8A94BC4E"/>
    <w:lvl w:ilvl="0" w:tplc="B6EAE52C">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F6C9C"/>
    <w:multiLevelType w:val="multilevel"/>
    <w:tmpl w:val="B420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304E9"/>
    <w:multiLevelType w:val="hybridMultilevel"/>
    <w:tmpl w:val="541C4E1A"/>
    <w:lvl w:ilvl="0" w:tplc="33244576">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208EA"/>
    <w:multiLevelType w:val="hybridMultilevel"/>
    <w:tmpl w:val="9D684838"/>
    <w:lvl w:ilvl="0" w:tplc="7180A092">
      <w:start w:val="16"/>
      <w:numFmt w:val="bullet"/>
      <w:lvlText w:val=""/>
      <w:lvlJc w:val="left"/>
      <w:pPr>
        <w:ind w:left="1080" w:hanging="360"/>
      </w:pPr>
      <w:rPr>
        <w:rFonts w:ascii="Wingdings" w:eastAsiaTheme="minorHAns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967"/>
    <w:rsid w:val="000339EB"/>
    <w:rsid w:val="0006333D"/>
    <w:rsid w:val="000866B1"/>
    <w:rsid w:val="000B52C1"/>
    <w:rsid w:val="001069AD"/>
    <w:rsid w:val="00107E5D"/>
    <w:rsid w:val="00120039"/>
    <w:rsid w:val="00125F33"/>
    <w:rsid w:val="00130E36"/>
    <w:rsid w:val="00152332"/>
    <w:rsid w:val="001537CB"/>
    <w:rsid w:val="001648B3"/>
    <w:rsid w:val="001C2102"/>
    <w:rsid w:val="001C2497"/>
    <w:rsid w:val="001F7031"/>
    <w:rsid w:val="002047AA"/>
    <w:rsid w:val="002359F9"/>
    <w:rsid w:val="0024600E"/>
    <w:rsid w:val="002464A1"/>
    <w:rsid w:val="00256058"/>
    <w:rsid w:val="002736CD"/>
    <w:rsid w:val="002775B0"/>
    <w:rsid w:val="00286B11"/>
    <w:rsid w:val="002B281A"/>
    <w:rsid w:val="002C2160"/>
    <w:rsid w:val="002C7AE8"/>
    <w:rsid w:val="002D27DC"/>
    <w:rsid w:val="00302A0A"/>
    <w:rsid w:val="00340766"/>
    <w:rsid w:val="00345EB0"/>
    <w:rsid w:val="00355A7B"/>
    <w:rsid w:val="00387DC9"/>
    <w:rsid w:val="003958E7"/>
    <w:rsid w:val="003D1D69"/>
    <w:rsid w:val="003D52D9"/>
    <w:rsid w:val="003E2434"/>
    <w:rsid w:val="003E3CAA"/>
    <w:rsid w:val="00437AB4"/>
    <w:rsid w:val="004469D1"/>
    <w:rsid w:val="00450DDE"/>
    <w:rsid w:val="004A2953"/>
    <w:rsid w:val="004B17B9"/>
    <w:rsid w:val="004C377C"/>
    <w:rsid w:val="004D047D"/>
    <w:rsid w:val="00503DE7"/>
    <w:rsid w:val="00513094"/>
    <w:rsid w:val="005141BA"/>
    <w:rsid w:val="00557833"/>
    <w:rsid w:val="0056286E"/>
    <w:rsid w:val="005B011C"/>
    <w:rsid w:val="005C0967"/>
    <w:rsid w:val="005E433A"/>
    <w:rsid w:val="005E577F"/>
    <w:rsid w:val="005F583B"/>
    <w:rsid w:val="00614C38"/>
    <w:rsid w:val="00667242"/>
    <w:rsid w:val="0069637D"/>
    <w:rsid w:val="00696623"/>
    <w:rsid w:val="00697EC1"/>
    <w:rsid w:val="006A2C3C"/>
    <w:rsid w:val="006C3776"/>
    <w:rsid w:val="006C38CB"/>
    <w:rsid w:val="006D0F20"/>
    <w:rsid w:val="006E312F"/>
    <w:rsid w:val="006E32EE"/>
    <w:rsid w:val="006E4EE5"/>
    <w:rsid w:val="0071312C"/>
    <w:rsid w:val="0071379B"/>
    <w:rsid w:val="0072701B"/>
    <w:rsid w:val="00736023"/>
    <w:rsid w:val="007367D5"/>
    <w:rsid w:val="00742EB0"/>
    <w:rsid w:val="0074402F"/>
    <w:rsid w:val="007700B9"/>
    <w:rsid w:val="00791331"/>
    <w:rsid w:val="007A154C"/>
    <w:rsid w:val="007A378D"/>
    <w:rsid w:val="007A4B46"/>
    <w:rsid w:val="007D21E1"/>
    <w:rsid w:val="007F3334"/>
    <w:rsid w:val="007F6303"/>
    <w:rsid w:val="007F69AE"/>
    <w:rsid w:val="00823D2B"/>
    <w:rsid w:val="00833656"/>
    <w:rsid w:val="00852F20"/>
    <w:rsid w:val="00864559"/>
    <w:rsid w:val="008755E9"/>
    <w:rsid w:val="00886703"/>
    <w:rsid w:val="00887E84"/>
    <w:rsid w:val="008A5AA7"/>
    <w:rsid w:val="008E30EB"/>
    <w:rsid w:val="008F3227"/>
    <w:rsid w:val="008F771B"/>
    <w:rsid w:val="00907264"/>
    <w:rsid w:val="00916E43"/>
    <w:rsid w:val="00927C91"/>
    <w:rsid w:val="00930971"/>
    <w:rsid w:val="00952096"/>
    <w:rsid w:val="00954CFD"/>
    <w:rsid w:val="009620D2"/>
    <w:rsid w:val="00962A55"/>
    <w:rsid w:val="00966788"/>
    <w:rsid w:val="009723BB"/>
    <w:rsid w:val="00982D22"/>
    <w:rsid w:val="009859C5"/>
    <w:rsid w:val="009E3227"/>
    <w:rsid w:val="00A062C2"/>
    <w:rsid w:val="00A44C19"/>
    <w:rsid w:val="00A82CF6"/>
    <w:rsid w:val="00A92F6A"/>
    <w:rsid w:val="00AD06E3"/>
    <w:rsid w:val="00AE064C"/>
    <w:rsid w:val="00AF2DD6"/>
    <w:rsid w:val="00AF6B36"/>
    <w:rsid w:val="00B05878"/>
    <w:rsid w:val="00B15904"/>
    <w:rsid w:val="00B55B02"/>
    <w:rsid w:val="00B87A14"/>
    <w:rsid w:val="00B9375A"/>
    <w:rsid w:val="00BA0389"/>
    <w:rsid w:val="00BA44C1"/>
    <w:rsid w:val="00BB53FC"/>
    <w:rsid w:val="00C10EF3"/>
    <w:rsid w:val="00C13399"/>
    <w:rsid w:val="00C36E39"/>
    <w:rsid w:val="00C40B98"/>
    <w:rsid w:val="00C50102"/>
    <w:rsid w:val="00C60F21"/>
    <w:rsid w:val="00CC2AC0"/>
    <w:rsid w:val="00CC549F"/>
    <w:rsid w:val="00CD5730"/>
    <w:rsid w:val="00CF3035"/>
    <w:rsid w:val="00D10238"/>
    <w:rsid w:val="00D25C02"/>
    <w:rsid w:val="00D62187"/>
    <w:rsid w:val="00D71D92"/>
    <w:rsid w:val="00D85AF6"/>
    <w:rsid w:val="00D87465"/>
    <w:rsid w:val="00D93728"/>
    <w:rsid w:val="00DB6712"/>
    <w:rsid w:val="00DF7112"/>
    <w:rsid w:val="00DF7F5A"/>
    <w:rsid w:val="00E32A3D"/>
    <w:rsid w:val="00E57859"/>
    <w:rsid w:val="00E61084"/>
    <w:rsid w:val="00E614F3"/>
    <w:rsid w:val="00E6331D"/>
    <w:rsid w:val="00E63952"/>
    <w:rsid w:val="00EB255B"/>
    <w:rsid w:val="00EE3E33"/>
    <w:rsid w:val="00EF4398"/>
    <w:rsid w:val="00EF47FA"/>
    <w:rsid w:val="00F2564E"/>
    <w:rsid w:val="00F402D0"/>
    <w:rsid w:val="00F52794"/>
    <w:rsid w:val="00F56D6A"/>
    <w:rsid w:val="00F927C9"/>
    <w:rsid w:val="00FB114A"/>
    <w:rsid w:val="00FC1D73"/>
    <w:rsid w:val="00FC5E66"/>
    <w:rsid w:val="00FE6E56"/>
    <w:rsid w:val="00FE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AFA3B"/>
  <w15:chartTrackingRefBased/>
  <w15:docId w15:val="{8401D419-675C-4228-BEDF-306BC9D8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3CAA"/>
  </w:style>
  <w:style w:type="paragraph" w:styleId="Heading1">
    <w:name w:val="heading 1"/>
    <w:basedOn w:val="Normal"/>
    <w:link w:val="Heading1Char"/>
    <w:uiPriority w:val="9"/>
    <w:qFormat/>
    <w:rsid w:val="003E3CAA"/>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B55B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E3CA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E3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14C38"/>
    <w:rPr>
      <w:i/>
      <w:iCs/>
    </w:rPr>
  </w:style>
  <w:style w:type="paragraph" w:styleId="ListParagraph">
    <w:name w:val="List Paragraph"/>
    <w:basedOn w:val="Normal"/>
    <w:uiPriority w:val="34"/>
    <w:qFormat/>
    <w:rsid w:val="00614C38"/>
    <w:pPr>
      <w:ind w:left="720"/>
      <w:contextualSpacing/>
    </w:pPr>
  </w:style>
  <w:style w:type="character" w:customStyle="1" w:styleId="Heading1Char">
    <w:name w:val="Heading 1 Char"/>
    <w:basedOn w:val="DefaultParagraphFont"/>
    <w:link w:val="Heading1"/>
    <w:uiPriority w:val="9"/>
    <w:rsid w:val="003E3CAA"/>
    <w:rPr>
      <w:rFonts w:eastAsia="Times New Roman"/>
      <w:b/>
      <w:bCs/>
      <w:kern w:val="36"/>
      <w:sz w:val="48"/>
      <w:szCs w:val="48"/>
    </w:rPr>
  </w:style>
  <w:style w:type="character" w:customStyle="1" w:styleId="Heading3Char">
    <w:name w:val="Heading 3 Char"/>
    <w:basedOn w:val="DefaultParagraphFont"/>
    <w:link w:val="Heading3"/>
    <w:uiPriority w:val="9"/>
    <w:semiHidden/>
    <w:rsid w:val="003E3CA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3E3CAA"/>
    <w:rPr>
      <w:rFonts w:asciiTheme="majorHAnsi" w:eastAsiaTheme="majorEastAsia" w:hAnsiTheme="majorHAnsi" w:cstheme="majorBidi"/>
      <w:i/>
      <w:iCs/>
      <w:color w:val="2E74B5" w:themeColor="accent1" w:themeShade="BF"/>
    </w:rPr>
  </w:style>
  <w:style w:type="paragraph" w:styleId="EndnoteText">
    <w:name w:val="endnote text"/>
    <w:basedOn w:val="Normal"/>
    <w:link w:val="EndnoteTextChar"/>
    <w:uiPriority w:val="99"/>
    <w:unhideWhenUsed/>
    <w:rsid w:val="003E3CAA"/>
    <w:pPr>
      <w:spacing w:line="240" w:lineRule="auto"/>
    </w:pPr>
    <w:rPr>
      <w:sz w:val="20"/>
      <w:szCs w:val="20"/>
    </w:rPr>
  </w:style>
  <w:style w:type="character" w:customStyle="1" w:styleId="EndnoteTextChar">
    <w:name w:val="Endnote Text Char"/>
    <w:basedOn w:val="DefaultParagraphFont"/>
    <w:link w:val="EndnoteText"/>
    <w:uiPriority w:val="99"/>
    <w:rsid w:val="003E3CAA"/>
    <w:rPr>
      <w:sz w:val="20"/>
      <w:szCs w:val="20"/>
    </w:rPr>
  </w:style>
  <w:style w:type="character" w:styleId="EndnoteReference">
    <w:name w:val="endnote reference"/>
    <w:basedOn w:val="DefaultParagraphFont"/>
    <w:uiPriority w:val="99"/>
    <w:semiHidden/>
    <w:unhideWhenUsed/>
    <w:rsid w:val="003E3CAA"/>
    <w:rPr>
      <w:vertAlign w:val="superscript"/>
    </w:rPr>
  </w:style>
  <w:style w:type="character" w:styleId="Hyperlink">
    <w:name w:val="Hyperlink"/>
    <w:basedOn w:val="DefaultParagraphFont"/>
    <w:uiPriority w:val="99"/>
    <w:unhideWhenUsed/>
    <w:rsid w:val="003E3CAA"/>
    <w:rPr>
      <w:color w:val="0563C1" w:themeColor="hyperlink"/>
      <w:u w:val="single"/>
    </w:rPr>
  </w:style>
  <w:style w:type="character" w:customStyle="1" w:styleId="apple-converted-space">
    <w:name w:val="apple-converted-space"/>
    <w:basedOn w:val="DefaultParagraphFont"/>
    <w:rsid w:val="003E3CAA"/>
  </w:style>
  <w:style w:type="paragraph" w:styleId="Header">
    <w:name w:val="header"/>
    <w:basedOn w:val="Normal"/>
    <w:link w:val="HeaderChar"/>
    <w:uiPriority w:val="99"/>
    <w:unhideWhenUsed/>
    <w:rsid w:val="003E3CAA"/>
    <w:pPr>
      <w:tabs>
        <w:tab w:val="center" w:pos="4680"/>
        <w:tab w:val="right" w:pos="9360"/>
      </w:tabs>
      <w:spacing w:line="240" w:lineRule="auto"/>
    </w:pPr>
  </w:style>
  <w:style w:type="character" w:customStyle="1" w:styleId="HeaderChar">
    <w:name w:val="Header Char"/>
    <w:basedOn w:val="DefaultParagraphFont"/>
    <w:link w:val="Header"/>
    <w:uiPriority w:val="99"/>
    <w:rsid w:val="003E3CAA"/>
  </w:style>
  <w:style w:type="paragraph" w:styleId="Footer">
    <w:name w:val="footer"/>
    <w:basedOn w:val="Normal"/>
    <w:link w:val="FooterChar"/>
    <w:uiPriority w:val="99"/>
    <w:unhideWhenUsed/>
    <w:rsid w:val="003E3CAA"/>
    <w:pPr>
      <w:tabs>
        <w:tab w:val="center" w:pos="4680"/>
        <w:tab w:val="right" w:pos="9360"/>
      </w:tabs>
      <w:spacing w:line="240" w:lineRule="auto"/>
    </w:pPr>
  </w:style>
  <w:style w:type="character" w:customStyle="1" w:styleId="FooterChar">
    <w:name w:val="Footer Char"/>
    <w:basedOn w:val="DefaultParagraphFont"/>
    <w:link w:val="Footer"/>
    <w:uiPriority w:val="99"/>
    <w:rsid w:val="003E3CAA"/>
  </w:style>
  <w:style w:type="character" w:styleId="FollowedHyperlink">
    <w:name w:val="FollowedHyperlink"/>
    <w:basedOn w:val="DefaultParagraphFont"/>
    <w:uiPriority w:val="99"/>
    <w:semiHidden/>
    <w:unhideWhenUsed/>
    <w:rsid w:val="003E3CAA"/>
    <w:rPr>
      <w:color w:val="954F72" w:themeColor="followedHyperlink"/>
      <w:u w:val="single"/>
    </w:rPr>
  </w:style>
  <w:style w:type="character" w:customStyle="1" w:styleId="addmd">
    <w:name w:val="addmd"/>
    <w:basedOn w:val="DefaultParagraphFont"/>
    <w:rsid w:val="003E3CAA"/>
  </w:style>
  <w:style w:type="character" w:customStyle="1" w:styleId="fn">
    <w:name w:val="fn"/>
    <w:basedOn w:val="DefaultParagraphFont"/>
    <w:rsid w:val="003E3CAA"/>
  </w:style>
  <w:style w:type="character" w:customStyle="1" w:styleId="key">
    <w:name w:val="key"/>
    <w:basedOn w:val="DefaultParagraphFont"/>
    <w:rsid w:val="003E3CAA"/>
  </w:style>
  <w:style w:type="character" w:customStyle="1" w:styleId="value">
    <w:name w:val="value"/>
    <w:basedOn w:val="DefaultParagraphFont"/>
    <w:rsid w:val="003E3CAA"/>
  </w:style>
  <w:style w:type="paragraph" w:styleId="NormalWeb">
    <w:name w:val="Normal (Web)"/>
    <w:basedOn w:val="Normal"/>
    <w:uiPriority w:val="99"/>
    <w:semiHidden/>
    <w:unhideWhenUsed/>
    <w:rsid w:val="003E3CAA"/>
    <w:pPr>
      <w:spacing w:before="100" w:beforeAutospacing="1" w:after="100" w:afterAutospacing="1" w:line="240" w:lineRule="auto"/>
    </w:pPr>
    <w:rPr>
      <w:rFonts w:eastAsia="Times New Roman"/>
    </w:rPr>
  </w:style>
  <w:style w:type="paragraph" w:customStyle="1" w:styleId="note">
    <w:name w:val="note"/>
    <w:basedOn w:val="Normal"/>
    <w:rsid w:val="003E3CAA"/>
    <w:pPr>
      <w:spacing w:before="100" w:beforeAutospacing="1" w:after="100" w:afterAutospacing="1" w:line="240" w:lineRule="auto"/>
    </w:pPr>
    <w:rPr>
      <w:rFonts w:eastAsia="Times New Roman"/>
    </w:rPr>
  </w:style>
  <w:style w:type="character" w:customStyle="1" w:styleId="green">
    <w:name w:val="green"/>
    <w:basedOn w:val="DefaultParagraphFont"/>
    <w:rsid w:val="003E3CAA"/>
  </w:style>
  <w:style w:type="paragraph" w:customStyle="1" w:styleId="ebook-promo-description">
    <w:name w:val="ebook-promo-description"/>
    <w:basedOn w:val="Normal"/>
    <w:rsid w:val="003E3CAA"/>
    <w:pPr>
      <w:spacing w:before="100" w:beforeAutospacing="1" w:after="100" w:afterAutospacing="1" w:line="240" w:lineRule="auto"/>
    </w:pPr>
    <w:rPr>
      <w:rFonts w:eastAsia="Times New Roman"/>
    </w:rPr>
  </w:style>
  <w:style w:type="paragraph" w:customStyle="1" w:styleId="ebook-promo-clickme">
    <w:name w:val="ebook-promo-clickme"/>
    <w:basedOn w:val="Normal"/>
    <w:rsid w:val="003E3CAA"/>
    <w:pPr>
      <w:spacing w:before="100" w:beforeAutospacing="1" w:after="100" w:afterAutospacing="1" w:line="240" w:lineRule="auto"/>
    </w:pPr>
    <w:rPr>
      <w:rFonts w:eastAsia="Times New Roman"/>
    </w:rPr>
  </w:style>
  <w:style w:type="character" w:customStyle="1" w:styleId="Subtitle1">
    <w:name w:val="Subtitle1"/>
    <w:basedOn w:val="DefaultParagraphFont"/>
    <w:rsid w:val="003E3CAA"/>
  </w:style>
  <w:style w:type="character" w:customStyle="1" w:styleId="Subtitle2">
    <w:name w:val="Subtitle2"/>
    <w:basedOn w:val="DefaultParagraphFont"/>
    <w:rsid w:val="003E3CAA"/>
  </w:style>
  <w:style w:type="paragraph" w:styleId="BalloonText">
    <w:name w:val="Balloon Text"/>
    <w:basedOn w:val="Normal"/>
    <w:link w:val="BalloonTextChar"/>
    <w:uiPriority w:val="99"/>
    <w:semiHidden/>
    <w:unhideWhenUsed/>
    <w:rsid w:val="003E3C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AA"/>
    <w:rPr>
      <w:rFonts w:ascii="Segoe UI" w:hAnsi="Segoe UI" w:cs="Segoe UI"/>
      <w:sz w:val="18"/>
      <w:szCs w:val="18"/>
    </w:rPr>
  </w:style>
  <w:style w:type="character" w:customStyle="1" w:styleId="xref">
    <w:name w:val="xref"/>
    <w:basedOn w:val="DefaultParagraphFont"/>
    <w:rsid w:val="003E3CAA"/>
  </w:style>
  <w:style w:type="character" w:customStyle="1" w:styleId="noindent">
    <w:name w:val="noindent"/>
    <w:basedOn w:val="DefaultParagraphFont"/>
    <w:rsid w:val="003E3CAA"/>
  </w:style>
  <w:style w:type="character" w:customStyle="1" w:styleId="smallcaps">
    <w:name w:val="smallcaps"/>
    <w:basedOn w:val="DefaultParagraphFont"/>
    <w:rsid w:val="003E3CAA"/>
  </w:style>
  <w:style w:type="character" w:customStyle="1" w:styleId="quotationkeyword">
    <w:name w:val="quotationkeyword"/>
    <w:basedOn w:val="DefaultParagraphFont"/>
    <w:rsid w:val="003E3CAA"/>
  </w:style>
  <w:style w:type="paragraph" w:customStyle="1" w:styleId="category">
    <w:name w:val="category"/>
    <w:basedOn w:val="Normal"/>
    <w:rsid w:val="00C50102"/>
    <w:pPr>
      <w:spacing w:before="100" w:beforeAutospacing="1" w:after="100" w:afterAutospacing="1" w:line="240" w:lineRule="auto"/>
    </w:pPr>
    <w:rPr>
      <w:rFonts w:eastAsia="Times New Roman"/>
    </w:rPr>
  </w:style>
  <w:style w:type="paragraph" w:customStyle="1" w:styleId="byline">
    <w:name w:val="byline"/>
    <w:basedOn w:val="Normal"/>
    <w:rsid w:val="00C50102"/>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9"/>
    <w:semiHidden/>
    <w:rsid w:val="00B55B02"/>
    <w:rPr>
      <w:rFonts w:asciiTheme="majorHAnsi" w:eastAsiaTheme="majorEastAsia" w:hAnsiTheme="majorHAnsi" w:cstheme="majorBidi"/>
      <w:color w:val="2E74B5" w:themeColor="accent1" w:themeShade="BF"/>
      <w:sz w:val="26"/>
      <w:szCs w:val="26"/>
    </w:rPr>
  </w:style>
  <w:style w:type="character" w:customStyle="1" w:styleId="a-size-extra-large">
    <w:name w:val="a-size-extra-large"/>
    <w:basedOn w:val="DefaultParagraphFont"/>
    <w:rsid w:val="00125F33"/>
  </w:style>
  <w:style w:type="character" w:customStyle="1" w:styleId="a-size-large">
    <w:name w:val="a-size-large"/>
    <w:basedOn w:val="DefaultParagraphFont"/>
    <w:rsid w:val="00125F33"/>
  </w:style>
  <w:style w:type="character" w:customStyle="1" w:styleId="author">
    <w:name w:val="author"/>
    <w:basedOn w:val="DefaultParagraphFont"/>
    <w:rsid w:val="00125F33"/>
  </w:style>
  <w:style w:type="character" w:customStyle="1" w:styleId="a-declarative">
    <w:name w:val="a-declarative"/>
    <w:basedOn w:val="DefaultParagraphFont"/>
    <w:rsid w:val="00125F33"/>
  </w:style>
  <w:style w:type="character" w:customStyle="1" w:styleId="a-color-secondary">
    <w:name w:val="a-color-secondary"/>
    <w:basedOn w:val="DefaultParagraphFont"/>
    <w:rsid w:val="00125F33"/>
  </w:style>
  <w:style w:type="character" w:styleId="Strong">
    <w:name w:val="Strong"/>
    <w:basedOn w:val="DefaultParagraphFont"/>
    <w:uiPriority w:val="22"/>
    <w:qFormat/>
    <w:rsid w:val="004B17B9"/>
    <w:rPr>
      <w:b/>
      <w:bCs/>
    </w:rPr>
  </w:style>
  <w:style w:type="character" w:customStyle="1" w:styleId="sc">
    <w:name w:val="sc"/>
    <w:basedOn w:val="DefaultParagraphFont"/>
    <w:rsid w:val="00CC2AC0"/>
  </w:style>
  <w:style w:type="paragraph" w:customStyle="1" w:styleId="titlepage-p">
    <w:name w:val="titlepage-p"/>
    <w:basedOn w:val="Normal"/>
    <w:rsid w:val="00CC2AC0"/>
    <w:pPr>
      <w:spacing w:before="100" w:beforeAutospacing="1" w:after="100" w:afterAutospacing="1" w:line="240" w:lineRule="auto"/>
    </w:pPr>
    <w:rPr>
      <w:rFonts w:eastAsia="Times New Roman"/>
    </w:rPr>
  </w:style>
  <w:style w:type="character" w:customStyle="1" w:styleId="rend-italic">
    <w:name w:val="rend-italic"/>
    <w:basedOn w:val="DefaultParagraphFont"/>
    <w:rsid w:val="007F69AE"/>
  </w:style>
  <w:style w:type="character" w:customStyle="1" w:styleId="gap">
    <w:name w:val="gap"/>
    <w:basedOn w:val="DefaultParagraphFont"/>
    <w:rsid w:val="007F69AE"/>
  </w:style>
  <w:style w:type="paragraph" w:customStyle="1" w:styleId="byline-dateline">
    <w:name w:val="byline-dateline"/>
    <w:basedOn w:val="Normal"/>
    <w:rsid w:val="00916E43"/>
    <w:pPr>
      <w:spacing w:before="100" w:beforeAutospacing="1" w:after="100" w:afterAutospacing="1" w:line="240" w:lineRule="auto"/>
    </w:pPr>
    <w:rPr>
      <w:rFonts w:eastAsia="Times New Roman"/>
    </w:rPr>
  </w:style>
  <w:style w:type="character" w:customStyle="1" w:styleId="byline-author">
    <w:name w:val="byline-author"/>
    <w:basedOn w:val="DefaultParagraphFont"/>
    <w:rsid w:val="00916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3283">
      <w:bodyDiv w:val="1"/>
      <w:marLeft w:val="0"/>
      <w:marRight w:val="0"/>
      <w:marTop w:val="0"/>
      <w:marBottom w:val="0"/>
      <w:divBdr>
        <w:top w:val="none" w:sz="0" w:space="0" w:color="auto"/>
        <w:left w:val="none" w:sz="0" w:space="0" w:color="auto"/>
        <w:bottom w:val="none" w:sz="0" w:space="0" w:color="auto"/>
        <w:right w:val="none" w:sz="0" w:space="0" w:color="auto"/>
      </w:divBdr>
      <w:divsChild>
        <w:div w:id="958728895">
          <w:marLeft w:val="0"/>
          <w:marRight w:val="0"/>
          <w:marTop w:val="0"/>
          <w:marBottom w:val="0"/>
          <w:divBdr>
            <w:top w:val="none" w:sz="0" w:space="0" w:color="auto"/>
            <w:left w:val="none" w:sz="0" w:space="0" w:color="auto"/>
            <w:bottom w:val="none" w:sz="0" w:space="0" w:color="auto"/>
            <w:right w:val="none" w:sz="0" w:space="0" w:color="auto"/>
          </w:divBdr>
          <w:divsChild>
            <w:div w:id="413091469">
              <w:marLeft w:val="600"/>
              <w:marRight w:val="0"/>
              <w:marTop w:val="75"/>
              <w:marBottom w:val="0"/>
              <w:divBdr>
                <w:top w:val="none" w:sz="0" w:space="0" w:color="auto"/>
                <w:left w:val="none" w:sz="0" w:space="0" w:color="auto"/>
                <w:bottom w:val="none" w:sz="0" w:space="0" w:color="auto"/>
                <w:right w:val="none" w:sz="0" w:space="0" w:color="auto"/>
              </w:divBdr>
            </w:div>
          </w:divsChild>
        </w:div>
        <w:div w:id="1066687878">
          <w:marLeft w:val="600"/>
          <w:marRight w:val="0"/>
          <w:marTop w:val="75"/>
          <w:marBottom w:val="150"/>
          <w:divBdr>
            <w:top w:val="none" w:sz="0" w:space="0" w:color="auto"/>
            <w:left w:val="none" w:sz="0" w:space="0" w:color="auto"/>
            <w:bottom w:val="none" w:sz="0" w:space="0" w:color="auto"/>
            <w:right w:val="none" w:sz="0" w:space="0" w:color="auto"/>
          </w:divBdr>
        </w:div>
      </w:divsChild>
    </w:div>
    <w:div w:id="182405750">
      <w:bodyDiv w:val="1"/>
      <w:marLeft w:val="0"/>
      <w:marRight w:val="0"/>
      <w:marTop w:val="0"/>
      <w:marBottom w:val="0"/>
      <w:divBdr>
        <w:top w:val="none" w:sz="0" w:space="0" w:color="auto"/>
        <w:left w:val="none" w:sz="0" w:space="0" w:color="auto"/>
        <w:bottom w:val="none" w:sz="0" w:space="0" w:color="auto"/>
        <w:right w:val="none" w:sz="0" w:space="0" w:color="auto"/>
      </w:divBdr>
    </w:div>
    <w:div w:id="211579239">
      <w:bodyDiv w:val="1"/>
      <w:marLeft w:val="0"/>
      <w:marRight w:val="0"/>
      <w:marTop w:val="0"/>
      <w:marBottom w:val="0"/>
      <w:divBdr>
        <w:top w:val="none" w:sz="0" w:space="0" w:color="auto"/>
        <w:left w:val="none" w:sz="0" w:space="0" w:color="auto"/>
        <w:bottom w:val="none" w:sz="0" w:space="0" w:color="auto"/>
        <w:right w:val="none" w:sz="0" w:space="0" w:color="auto"/>
      </w:divBdr>
      <w:divsChild>
        <w:div w:id="1116876750">
          <w:marLeft w:val="0"/>
          <w:marRight w:val="0"/>
          <w:marTop w:val="0"/>
          <w:marBottom w:val="0"/>
          <w:divBdr>
            <w:top w:val="none" w:sz="0" w:space="0" w:color="auto"/>
            <w:left w:val="none" w:sz="0" w:space="0" w:color="auto"/>
            <w:bottom w:val="none" w:sz="0" w:space="0" w:color="auto"/>
            <w:right w:val="none" w:sz="0" w:space="0" w:color="auto"/>
          </w:divBdr>
          <w:divsChild>
            <w:div w:id="2052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7851">
      <w:bodyDiv w:val="1"/>
      <w:marLeft w:val="0"/>
      <w:marRight w:val="0"/>
      <w:marTop w:val="0"/>
      <w:marBottom w:val="0"/>
      <w:divBdr>
        <w:top w:val="none" w:sz="0" w:space="0" w:color="auto"/>
        <w:left w:val="none" w:sz="0" w:space="0" w:color="auto"/>
        <w:bottom w:val="none" w:sz="0" w:space="0" w:color="auto"/>
        <w:right w:val="none" w:sz="0" w:space="0" w:color="auto"/>
      </w:divBdr>
      <w:divsChild>
        <w:div w:id="324476140">
          <w:marLeft w:val="0"/>
          <w:marRight w:val="0"/>
          <w:marTop w:val="120"/>
          <w:marBottom w:val="120"/>
          <w:divBdr>
            <w:top w:val="none" w:sz="0" w:space="0" w:color="auto"/>
            <w:left w:val="none" w:sz="0" w:space="0" w:color="auto"/>
            <w:bottom w:val="none" w:sz="0" w:space="0" w:color="auto"/>
            <w:right w:val="none" w:sz="0" w:space="0" w:color="auto"/>
          </w:divBdr>
          <w:divsChild>
            <w:div w:id="683359290">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272179123">
      <w:bodyDiv w:val="1"/>
      <w:marLeft w:val="0"/>
      <w:marRight w:val="0"/>
      <w:marTop w:val="0"/>
      <w:marBottom w:val="0"/>
      <w:divBdr>
        <w:top w:val="none" w:sz="0" w:space="0" w:color="auto"/>
        <w:left w:val="none" w:sz="0" w:space="0" w:color="auto"/>
        <w:bottom w:val="none" w:sz="0" w:space="0" w:color="auto"/>
        <w:right w:val="none" w:sz="0" w:space="0" w:color="auto"/>
      </w:divBdr>
    </w:div>
    <w:div w:id="334572239">
      <w:bodyDiv w:val="1"/>
      <w:marLeft w:val="0"/>
      <w:marRight w:val="0"/>
      <w:marTop w:val="0"/>
      <w:marBottom w:val="0"/>
      <w:divBdr>
        <w:top w:val="none" w:sz="0" w:space="0" w:color="auto"/>
        <w:left w:val="none" w:sz="0" w:space="0" w:color="auto"/>
        <w:bottom w:val="none" w:sz="0" w:space="0" w:color="auto"/>
        <w:right w:val="none" w:sz="0" w:space="0" w:color="auto"/>
      </w:divBdr>
    </w:div>
    <w:div w:id="412239729">
      <w:bodyDiv w:val="1"/>
      <w:marLeft w:val="0"/>
      <w:marRight w:val="0"/>
      <w:marTop w:val="0"/>
      <w:marBottom w:val="0"/>
      <w:divBdr>
        <w:top w:val="none" w:sz="0" w:space="0" w:color="auto"/>
        <w:left w:val="none" w:sz="0" w:space="0" w:color="auto"/>
        <w:bottom w:val="none" w:sz="0" w:space="0" w:color="auto"/>
        <w:right w:val="none" w:sz="0" w:space="0" w:color="auto"/>
      </w:divBdr>
      <w:divsChild>
        <w:div w:id="1946183747">
          <w:marLeft w:val="0"/>
          <w:marRight w:val="0"/>
          <w:marTop w:val="0"/>
          <w:marBottom w:val="0"/>
          <w:divBdr>
            <w:top w:val="none" w:sz="0" w:space="0" w:color="auto"/>
            <w:left w:val="none" w:sz="0" w:space="0" w:color="auto"/>
            <w:bottom w:val="none" w:sz="0" w:space="0" w:color="auto"/>
            <w:right w:val="none" w:sz="0" w:space="0" w:color="auto"/>
          </w:divBdr>
          <w:divsChild>
            <w:div w:id="613825727">
              <w:marLeft w:val="600"/>
              <w:marRight w:val="0"/>
              <w:marTop w:val="75"/>
              <w:marBottom w:val="0"/>
              <w:divBdr>
                <w:top w:val="none" w:sz="0" w:space="0" w:color="auto"/>
                <w:left w:val="none" w:sz="0" w:space="0" w:color="auto"/>
                <w:bottom w:val="none" w:sz="0" w:space="0" w:color="auto"/>
                <w:right w:val="none" w:sz="0" w:space="0" w:color="auto"/>
              </w:divBdr>
            </w:div>
          </w:divsChild>
        </w:div>
        <w:div w:id="1968197140">
          <w:marLeft w:val="600"/>
          <w:marRight w:val="0"/>
          <w:marTop w:val="75"/>
          <w:marBottom w:val="150"/>
          <w:divBdr>
            <w:top w:val="none" w:sz="0" w:space="0" w:color="auto"/>
            <w:left w:val="none" w:sz="0" w:space="0" w:color="auto"/>
            <w:bottom w:val="none" w:sz="0" w:space="0" w:color="auto"/>
            <w:right w:val="none" w:sz="0" w:space="0" w:color="auto"/>
          </w:divBdr>
        </w:div>
        <w:div w:id="20471265">
          <w:marLeft w:val="960"/>
          <w:marRight w:val="720"/>
          <w:marTop w:val="240"/>
          <w:marBottom w:val="0"/>
          <w:divBdr>
            <w:top w:val="none" w:sz="0" w:space="0" w:color="auto"/>
            <w:left w:val="none" w:sz="0" w:space="0" w:color="auto"/>
            <w:bottom w:val="none" w:sz="0" w:space="0" w:color="auto"/>
            <w:right w:val="none" w:sz="0" w:space="0" w:color="auto"/>
          </w:divBdr>
          <w:divsChild>
            <w:div w:id="16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60681">
      <w:bodyDiv w:val="1"/>
      <w:marLeft w:val="0"/>
      <w:marRight w:val="0"/>
      <w:marTop w:val="0"/>
      <w:marBottom w:val="0"/>
      <w:divBdr>
        <w:top w:val="none" w:sz="0" w:space="0" w:color="auto"/>
        <w:left w:val="none" w:sz="0" w:space="0" w:color="auto"/>
        <w:bottom w:val="none" w:sz="0" w:space="0" w:color="auto"/>
        <w:right w:val="none" w:sz="0" w:space="0" w:color="auto"/>
      </w:divBdr>
    </w:div>
    <w:div w:id="713962324">
      <w:bodyDiv w:val="1"/>
      <w:marLeft w:val="0"/>
      <w:marRight w:val="0"/>
      <w:marTop w:val="0"/>
      <w:marBottom w:val="0"/>
      <w:divBdr>
        <w:top w:val="none" w:sz="0" w:space="0" w:color="auto"/>
        <w:left w:val="none" w:sz="0" w:space="0" w:color="auto"/>
        <w:bottom w:val="none" w:sz="0" w:space="0" w:color="auto"/>
        <w:right w:val="none" w:sz="0" w:space="0" w:color="auto"/>
      </w:divBdr>
      <w:divsChild>
        <w:div w:id="1840122531">
          <w:marLeft w:val="0"/>
          <w:marRight w:val="0"/>
          <w:marTop w:val="120"/>
          <w:marBottom w:val="120"/>
          <w:divBdr>
            <w:top w:val="none" w:sz="0" w:space="0" w:color="auto"/>
            <w:left w:val="none" w:sz="0" w:space="0" w:color="auto"/>
            <w:bottom w:val="none" w:sz="0" w:space="0" w:color="auto"/>
            <w:right w:val="none" w:sz="0" w:space="0" w:color="auto"/>
          </w:divBdr>
          <w:divsChild>
            <w:div w:id="1384015588">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940599772">
      <w:bodyDiv w:val="1"/>
      <w:marLeft w:val="0"/>
      <w:marRight w:val="0"/>
      <w:marTop w:val="0"/>
      <w:marBottom w:val="0"/>
      <w:divBdr>
        <w:top w:val="none" w:sz="0" w:space="0" w:color="auto"/>
        <w:left w:val="none" w:sz="0" w:space="0" w:color="auto"/>
        <w:bottom w:val="none" w:sz="0" w:space="0" w:color="auto"/>
        <w:right w:val="none" w:sz="0" w:space="0" w:color="auto"/>
      </w:divBdr>
    </w:div>
    <w:div w:id="1066877861">
      <w:bodyDiv w:val="1"/>
      <w:marLeft w:val="0"/>
      <w:marRight w:val="0"/>
      <w:marTop w:val="0"/>
      <w:marBottom w:val="0"/>
      <w:divBdr>
        <w:top w:val="none" w:sz="0" w:space="0" w:color="auto"/>
        <w:left w:val="none" w:sz="0" w:space="0" w:color="auto"/>
        <w:bottom w:val="none" w:sz="0" w:space="0" w:color="auto"/>
        <w:right w:val="none" w:sz="0" w:space="0" w:color="auto"/>
      </w:divBdr>
      <w:divsChild>
        <w:div w:id="1256204191">
          <w:marLeft w:val="0"/>
          <w:marRight w:val="0"/>
          <w:marTop w:val="0"/>
          <w:marBottom w:val="330"/>
          <w:divBdr>
            <w:top w:val="none" w:sz="0" w:space="0" w:color="auto"/>
            <w:left w:val="none" w:sz="0" w:space="0" w:color="auto"/>
            <w:bottom w:val="none" w:sz="0" w:space="0" w:color="auto"/>
            <w:right w:val="none" w:sz="0" w:space="0" w:color="auto"/>
          </w:divBdr>
        </w:div>
        <w:div w:id="431977402">
          <w:marLeft w:val="0"/>
          <w:marRight w:val="0"/>
          <w:marTop w:val="0"/>
          <w:marBottom w:val="330"/>
          <w:divBdr>
            <w:top w:val="none" w:sz="0" w:space="0" w:color="auto"/>
            <w:left w:val="none" w:sz="0" w:space="0" w:color="auto"/>
            <w:bottom w:val="none" w:sz="0" w:space="0" w:color="auto"/>
            <w:right w:val="none" w:sz="0" w:space="0" w:color="auto"/>
          </w:divBdr>
        </w:div>
      </w:divsChild>
    </w:div>
    <w:div w:id="1466583959">
      <w:bodyDiv w:val="1"/>
      <w:marLeft w:val="0"/>
      <w:marRight w:val="0"/>
      <w:marTop w:val="0"/>
      <w:marBottom w:val="0"/>
      <w:divBdr>
        <w:top w:val="none" w:sz="0" w:space="0" w:color="auto"/>
        <w:left w:val="none" w:sz="0" w:space="0" w:color="auto"/>
        <w:bottom w:val="none" w:sz="0" w:space="0" w:color="auto"/>
        <w:right w:val="none" w:sz="0" w:space="0" w:color="auto"/>
      </w:divBdr>
    </w:div>
    <w:div w:id="1577519632">
      <w:bodyDiv w:val="1"/>
      <w:marLeft w:val="0"/>
      <w:marRight w:val="0"/>
      <w:marTop w:val="0"/>
      <w:marBottom w:val="0"/>
      <w:divBdr>
        <w:top w:val="none" w:sz="0" w:space="0" w:color="auto"/>
        <w:left w:val="none" w:sz="0" w:space="0" w:color="auto"/>
        <w:bottom w:val="none" w:sz="0" w:space="0" w:color="auto"/>
        <w:right w:val="none" w:sz="0" w:space="0" w:color="auto"/>
      </w:divBdr>
    </w:div>
    <w:div w:id="1705985943">
      <w:bodyDiv w:val="1"/>
      <w:marLeft w:val="0"/>
      <w:marRight w:val="0"/>
      <w:marTop w:val="0"/>
      <w:marBottom w:val="0"/>
      <w:divBdr>
        <w:top w:val="none" w:sz="0" w:space="0" w:color="auto"/>
        <w:left w:val="none" w:sz="0" w:space="0" w:color="auto"/>
        <w:bottom w:val="none" w:sz="0" w:space="0" w:color="auto"/>
        <w:right w:val="none" w:sz="0" w:space="0" w:color="auto"/>
      </w:divBdr>
    </w:div>
    <w:div w:id="1764951837">
      <w:bodyDiv w:val="1"/>
      <w:marLeft w:val="0"/>
      <w:marRight w:val="0"/>
      <w:marTop w:val="0"/>
      <w:marBottom w:val="0"/>
      <w:divBdr>
        <w:top w:val="none" w:sz="0" w:space="0" w:color="auto"/>
        <w:left w:val="none" w:sz="0" w:space="0" w:color="auto"/>
        <w:bottom w:val="none" w:sz="0" w:space="0" w:color="auto"/>
        <w:right w:val="none" w:sz="0" w:space="0" w:color="auto"/>
      </w:divBdr>
      <w:divsChild>
        <w:div w:id="237902475">
          <w:marLeft w:val="0"/>
          <w:marRight w:val="0"/>
          <w:marTop w:val="0"/>
          <w:marBottom w:val="0"/>
          <w:divBdr>
            <w:top w:val="none" w:sz="0" w:space="0" w:color="auto"/>
            <w:left w:val="none" w:sz="0" w:space="0" w:color="auto"/>
            <w:bottom w:val="none" w:sz="0" w:space="0" w:color="auto"/>
            <w:right w:val="none" w:sz="0" w:space="0" w:color="auto"/>
          </w:divBdr>
        </w:div>
      </w:divsChild>
    </w:div>
    <w:div w:id="21257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49E5538-306C-5C43-A086-9E5ABC3E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7396</Words>
  <Characters>42159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Fraser</dc:creator>
  <cp:keywords/>
  <dc:description/>
  <cp:lastModifiedBy>Gordon Fraser</cp:lastModifiedBy>
  <cp:revision>2</cp:revision>
  <dcterms:created xsi:type="dcterms:W3CDTF">2020-11-18T09:31:00Z</dcterms:created>
  <dcterms:modified xsi:type="dcterms:W3CDTF">2020-11-18T09:31:00Z</dcterms:modified>
</cp:coreProperties>
</file>