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Times New Roman" w:hAnsi="Times New Roman" w:eastAsia="Arial Unicode MS" w:cs="Times New Roman"/>
          <w:b/>
          <w:b/>
          <w:sz w:val="24"/>
          <w:szCs w:val="24"/>
          <w:lang w:val="en-US"/>
        </w:rPr>
      </w:pPr>
      <w:bookmarkStart w:id="0" w:name="_GoBack"/>
      <w:bookmarkEnd w:id="0"/>
      <w:r>
        <w:rPr>
          <w:rFonts w:eastAsia="Arial Unicode MS" w:cs="Times New Roman" w:ascii="Times New Roman" w:hAnsi="Times New Roman"/>
          <w:b/>
          <w:sz w:val="24"/>
          <w:szCs w:val="24"/>
          <w:lang w:val="en-US"/>
        </w:rPr>
        <w:t xml:space="preserve">Mechanical loading activates the YAP/TAZ pathway and chemokine expression in the MLO-Y4 osteocyte-like cell line </w:t>
      </w:r>
    </w:p>
    <w:p>
      <w:pPr>
        <w:pStyle w:val="Normal"/>
        <w:spacing w:lineRule="auto" w:line="360" w:before="0" w:after="0"/>
        <w:jc w:val="both"/>
        <w:rPr>
          <w:rFonts w:ascii="Times New Roman" w:hAnsi="Times New Roman" w:eastAsia="Arial Unicode MS" w:cs="Times New Roman"/>
          <w:b/>
          <w:b/>
          <w:sz w:val="32"/>
          <w:szCs w:val="24"/>
          <w:lang w:val="en-US"/>
        </w:rPr>
      </w:pPr>
      <w:r>
        <w:rPr>
          <w:rFonts w:eastAsia="Arial Unicode MS" w:cs="Times New Roman" w:ascii="Times New Roman" w:hAnsi="Times New Roman"/>
          <w:b/>
          <w:sz w:val="32"/>
          <w:szCs w:val="24"/>
          <w:lang w:val="en-US"/>
        </w:rPr>
      </w:r>
    </w:p>
    <w:p>
      <w:pPr>
        <w:pStyle w:val="Normal"/>
        <w:spacing w:lineRule="auto" w:line="360" w:before="0" w:after="0"/>
        <w:jc w:val="both"/>
        <w:rPr>
          <w:rFonts w:ascii="Times New Roman" w:hAnsi="Times New Roman" w:eastAsia="Arial Unicode MS" w:cs="Times New Roman"/>
          <w:b/>
          <w:b/>
          <w:sz w:val="24"/>
          <w:szCs w:val="24"/>
          <w:lang w:val="en-US"/>
        </w:rPr>
      </w:pPr>
      <w:r>
        <w:rPr>
          <w:rFonts w:eastAsia="Arial Unicode MS" w:cs="Times New Roman" w:ascii="Times New Roman" w:hAnsi="Times New Roman"/>
          <w:b/>
          <w:sz w:val="24"/>
          <w:szCs w:val="24"/>
          <w:lang w:val="en-US"/>
        </w:rPr>
        <w:t>Zarka M</w:t>
      </w:r>
      <w:r>
        <w:rPr>
          <w:rFonts w:eastAsia="Arial Unicode MS" w:cs="Times New Roman" w:ascii="Times New Roman" w:hAnsi="Times New Roman"/>
          <w:b/>
          <w:sz w:val="24"/>
          <w:szCs w:val="24"/>
          <w:vertAlign w:val="superscript"/>
          <w:lang w:val="en-US"/>
        </w:rPr>
        <w:t>1,2</w:t>
      </w:r>
      <w:r>
        <w:rPr>
          <w:rFonts w:eastAsia="Arial Unicode MS" w:cs="Times New Roman" w:ascii="Times New Roman" w:hAnsi="Times New Roman"/>
          <w:b/>
          <w:sz w:val="24"/>
          <w:szCs w:val="24"/>
          <w:lang w:val="en-US"/>
        </w:rPr>
        <w:t>, Etienne F</w:t>
      </w:r>
      <w:r>
        <w:rPr>
          <w:rFonts w:eastAsia="Arial Unicode MS" w:cs="Times New Roman" w:ascii="Times New Roman" w:hAnsi="Times New Roman"/>
          <w:b/>
          <w:sz w:val="24"/>
          <w:szCs w:val="24"/>
          <w:vertAlign w:val="superscript"/>
          <w:lang w:val="en-US"/>
        </w:rPr>
        <w:t>3,4,5</w:t>
      </w:r>
      <w:r>
        <w:rPr>
          <w:rFonts w:eastAsia="Arial Unicode MS" w:cs="Times New Roman" w:ascii="Times New Roman" w:hAnsi="Times New Roman"/>
          <w:b/>
          <w:sz w:val="24"/>
          <w:szCs w:val="24"/>
          <w:lang w:val="en-US"/>
        </w:rPr>
        <w:t>, Bourmaud M</w:t>
      </w:r>
      <w:r>
        <w:rPr>
          <w:rFonts w:eastAsia="Arial Unicode MS" w:cs="Times New Roman" w:ascii="Times New Roman" w:hAnsi="Times New Roman"/>
          <w:b/>
          <w:sz w:val="24"/>
          <w:szCs w:val="24"/>
          <w:vertAlign w:val="superscript"/>
          <w:lang w:val="en-US"/>
        </w:rPr>
        <w:t>1,2</w:t>
      </w:r>
      <w:r>
        <w:rPr>
          <w:rFonts w:eastAsia="Arial Unicode MS" w:cs="Times New Roman" w:ascii="Times New Roman" w:hAnsi="Times New Roman"/>
          <w:b/>
          <w:sz w:val="24"/>
          <w:szCs w:val="24"/>
          <w:lang w:val="en-US"/>
        </w:rPr>
        <w:t>, Szondi D</w:t>
      </w:r>
      <w:r>
        <w:rPr>
          <w:rFonts w:eastAsia="Arial Unicode MS" w:cs="Times New Roman" w:ascii="Times New Roman" w:hAnsi="Times New Roman"/>
          <w:b/>
          <w:sz w:val="24"/>
          <w:szCs w:val="24"/>
          <w:vertAlign w:val="superscript"/>
          <w:lang w:val="en-US"/>
        </w:rPr>
        <w:t>6</w:t>
      </w:r>
      <w:r>
        <w:rPr>
          <w:rFonts w:eastAsia="Arial Unicode MS" w:cs="Times New Roman" w:ascii="Times New Roman" w:hAnsi="Times New Roman"/>
          <w:b/>
          <w:sz w:val="24"/>
          <w:szCs w:val="24"/>
          <w:lang w:val="en-US"/>
        </w:rPr>
        <w:t>, Schwartz JM</w:t>
      </w:r>
      <w:r>
        <w:rPr>
          <w:rFonts w:eastAsia="Arial Unicode MS" w:cs="Times New Roman" w:ascii="Times New Roman" w:hAnsi="Times New Roman"/>
          <w:b/>
          <w:sz w:val="24"/>
          <w:szCs w:val="24"/>
          <w:vertAlign w:val="superscript"/>
          <w:lang w:val="en-US"/>
        </w:rPr>
        <w:t>6</w:t>
      </w:r>
      <w:r>
        <w:rPr>
          <w:rFonts w:eastAsia="Arial Unicode MS" w:cs="Times New Roman" w:ascii="Times New Roman" w:hAnsi="Times New Roman"/>
          <w:b/>
          <w:sz w:val="24"/>
          <w:szCs w:val="24"/>
          <w:lang w:val="en-US"/>
        </w:rPr>
        <w:t>, Kampmann K</w:t>
      </w:r>
      <w:r>
        <w:rPr>
          <w:rFonts w:eastAsia="Arial Unicode MS" w:cs="Times New Roman" w:ascii="Times New Roman" w:hAnsi="Times New Roman"/>
          <w:b/>
          <w:sz w:val="24"/>
          <w:szCs w:val="24"/>
          <w:vertAlign w:val="superscript"/>
          <w:lang w:val="en-US"/>
        </w:rPr>
        <w:t>7</w:t>
      </w:r>
      <w:r>
        <w:rPr>
          <w:rFonts w:eastAsia="Arial Unicode MS" w:cs="Times New Roman" w:ascii="Times New Roman" w:hAnsi="Times New Roman"/>
          <w:b/>
          <w:sz w:val="24"/>
          <w:szCs w:val="24"/>
          <w:lang w:val="en-US"/>
        </w:rPr>
        <w:t>, Helary C</w:t>
      </w:r>
      <w:r>
        <w:rPr>
          <w:rFonts w:eastAsia="Arial Unicode MS" w:cs="Times New Roman" w:ascii="Times New Roman" w:hAnsi="Times New Roman"/>
          <w:b/>
          <w:sz w:val="24"/>
          <w:szCs w:val="24"/>
          <w:vertAlign w:val="superscript"/>
          <w:lang w:val="en-US"/>
        </w:rPr>
        <w:t>8</w:t>
      </w:r>
      <w:r>
        <w:rPr>
          <w:rFonts w:eastAsia="Arial Unicode MS" w:cs="Times New Roman" w:ascii="Times New Roman" w:hAnsi="Times New Roman"/>
          <w:b/>
          <w:sz w:val="24"/>
          <w:szCs w:val="24"/>
          <w:lang w:val="en-US"/>
        </w:rPr>
        <w:t>, Rannou F</w:t>
      </w:r>
      <w:r>
        <w:rPr>
          <w:rFonts w:eastAsia="Arial Unicode MS" w:cs="Times New Roman" w:ascii="Times New Roman" w:hAnsi="Times New Roman"/>
          <w:b/>
          <w:sz w:val="24"/>
          <w:szCs w:val="24"/>
          <w:vertAlign w:val="superscript"/>
          <w:lang w:val="en-US"/>
        </w:rPr>
        <w:t>2,4,5,9</w:t>
      </w:r>
      <w:r>
        <w:rPr>
          <w:rFonts w:eastAsia="Arial Unicode MS" w:cs="Times New Roman" w:ascii="Times New Roman" w:hAnsi="Times New Roman"/>
          <w:b/>
          <w:sz w:val="24"/>
          <w:szCs w:val="24"/>
          <w:lang w:val="en-US"/>
        </w:rPr>
        <w:t>, Haÿ E</w:t>
      </w:r>
      <w:r>
        <w:rPr>
          <w:rFonts w:eastAsia="Arial Unicode MS" w:cs="Times New Roman" w:ascii="Times New Roman" w:hAnsi="Times New Roman"/>
          <w:b/>
          <w:sz w:val="24"/>
          <w:szCs w:val="24"/>
          <w:vertAlign w:val="superscript"/>
          <w:lang w:val="en-US"/>
        </w:rPr>
        <w:t>1,2</w:t>
      </w:r>
      <w:r>
        <w:rPr>
          <w:rFonts w:eastAsia="Arial Unicode MS" w:cs="Times New Roman" w:ascii="Times New Roman" w:hAnsi="Times New Roman"/>
          <w:b/>
          <w:sz w:val="24"/>
          <w:szCs w:val="24"/>
          <w:lang w:val="en-US"/>
        </w:rPr>
        <w:t>, Cohen-Solal M</w:t>
      </w:r>
      <w:r>
        <w:rPr>
          <w:rFonts w:eastAsia="Arial Unicode MS" w:cs="Times New Roman" w:ascii="Times New Roman" w:hAnsi="Times New Roman"/>
          <w:b/>
          <w:sz w:val="24"/>
          <w:szCs w:val="24"/>
          <w:vertAlign w:val="superscript"/>
          <w:lang w:val="en-US"/>
        </w:rPr>
        <w:t>1,2</w:t>
      </w:r>
    </w:p>
    <w:p>
      <w:pPr>
        <w:pStyle w:val="Normal"/>
        <w:spacing w:lineRule="auto" w:line="360" w:before="0" w:after="0"/>
        <w:jc w:val="both"/>
        <w:rPr>
          <w:rFonts w:ascii="Times New Roman" w:hAnsi="Times New Roman" w:eastAsia="Arial Unicode MS" w:cs="Times New Roman"/>
          <w:sz w:val="24"/>
          <w:szCs w:val="24"/>
          <w:vertAlign w:val="superscript"/>
          <w:lang w:val="en-US"/>
        </w:rPr>
      </w:pPr>
      <w:r>
        <w:rPr>
          <w:rFonts w:eastAsia="Arial Unicode MS" w:cs="Times New Roman" w:ascii="Times New Roman" w:hAnsi="Times New Roman"/>
          <w:sz w:val="24"/>
          <w:szCs w:val="24"/>
          <w:vertAlign w:val="superscript"/>
          <w:lang w:val="en-US"/>
        </w:rPr>
      </w:r>
    </w:p>
    <w:p>
      <w:pPr>
        <w:pStyle w:val="Normal"/>
        <w:spacing w:lineRule="auto" w:line="36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vertAlign w:val="superscript"/>
        </w:rPr>
        <w:t>1</w:t>
      </w:r>
      <w:r>
        <w:rPr>
          <w:rFonts w:eastAsia="Arial Unicode MS" w:cs="Times New Roman" w:ascii="Times New Roman" w:hAnsi="Times New Roman"/>
          <w:sz w:val="24"/>
          <w:szCs w:val="24"/>
        </w:rPr>
        <w:t>INSERM UMR 1132, Biologie de l’os et du cartilage (BIOSCAR), Hôpital Lariboisière, Paris, France</w:t>
      </w:r>
    </w:p>
    <w:p>
      <w:pPr>
        <w:pStyle w:val="Normal"/>
        <w:spacing w:lineRule="auto" w:line="36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vertAlign w:val="superscript"/>
        </w:rPr>
        <w:t>2</w:t>
      </w:r>
      <w:r>
        <w:rPr>
          <w:rFonts w:eastAsia="Arial Unicode MS" w:cs="Times New Roman" w:ascii="Times New Roman" w:hAnsi="Times New Roman"/>
          <w:sz w:val="24"/>
          <w:szCs w:val="24"/>
        </w:rPr>
        <w:t>Université de Paris, Faculté de Santé, UFR de médecine, Paris, France</w:t>
      </w:r>
    </w:p>
    <w:p>
      <w:pPr>
        <w:pStyle w:val="Normal"/>
        <w:spacing w:lineRule="auto" w:line="36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vertAlign w:val="superscript"/>
        </w:rPr>
        <w:t>3</w:t>
      </w:r>
      <w:r>
        <w:rPr>
          <w:rFonts w:eastAsia="Arial Unicode MS" w:cs="Times New Roman" w:ascii="Times New Roman" w:hAnsi="Times New Roman"/>
          <w:sz w:val="24"/>
          <w:szCs w:val="24"/>
        </w:rPr>
        <w:t>Université de Paris, Faculté des Sciences, UFR Sciences Fondamentales et Biomédicales, Paris, France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vertAlign w:val="superscript"/>
        </w:rPr>
        <w:t>4</w:t>
      </w:r>
      <w:r>
        <w:rPr>
          <w:rFonts w:cs="Times New Roman" w:ascii="Times New Roman" w:hAnsi="Times New Roman"/>
          <w:sz w:val="24"/>
          <w:szCs w:val="24"/>
        </w:rPr>
        <w:t>INSERM UMR-S 1124, Toxicité Environnementale, Cibles Thérapeutiques, Signalisation Cellulaire et Biomarqueurs (T3S), Campus Saint-Germain-des-Prés, Paris, France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vertAlign w:val="superscript"/>
        </w:rPr>
        <w:t>5</w:t>
      </w:r>
      <w:r>
        <w:rPr>
          <w:rFonts w:cs="Times New Roman" w:ascii="Times New Roman" w:hAnsi="Times New Roman"/>
          <w:sz w:val="24"/>
          <w:szCs w:val="24"/>
        </w:rPr>
        <w:t>BioMedTech Facilities - INSERM US 36 | CNRS UMS 2009 | Université de Paris. Faculté des Sciences, UFR Sciences Fondamentales et Biomédicales, Paris, France</w:t>
      </w:r>
    </w:p>
    <w:p>
      <w:pPr>
        <w:pStyle w:val="Normal"/>
        <w:spacing w:lineRule="auto" w:line="360" w:before="0" w:after="0"/>
        <w:rPr>
          <w:rFonts w:ascii="Times New Roman" w:hAnsi="Times New Roman" w:cs="Times New Roman"/>
          <w:sz w:val="24"/>
          <w:szCs w:val="24"/>
          <w:lang w:val="en-US"/>
        </w:rPr>
      </w:pPr>
      <w:r>
        <w:rPr>
          <w:rFonts w:cs="Times New Roman" w:ascii="Times New Roman" w:hAnsi="Times New Roman"/>
          <w:sz w:val="24"/>
          <w:szCs w:val="24"/>
          <w:vertAlign w:val="superscript"/>
          <w:lang w:val="en-US"/>
        </w:rPr>
        <w:t>6</w:t>
      </w:r>
      <w:r>
        <w:rPr>
          <w:rFonts w:cs="Times New Roman" w:ascii="Times New Roman" w:hAnsi="Times New Roman"/>
          <w:sz w:val="24"/>
          <w:szCs w:val="24"/>
          <w:lang w:val="en-US"/>
        </w:rPr>
        <w:t>School of Biological Sciences, University of Manchester, Manchester, UK</w:t>
      </w:r>
    </w:p>
    <w:p>
      <w:pPr>
        <w:pStyle w:val="Normal"/>
        <w:spacing w:lineRule="auto" w:line="360" w:before="0" w:after="0"/>
        <w:rPr>
          <w:rFonts w:ascii="Times New Roman" w:hAnsi="Times New Roman" w:cs="Times New Roman"/>
          <w:sz w:val="24"/>
          <w:szCs w:val="24"/>
        </w:rPr>
      </w:pPr>
      <w:r>
        <w:rPr>
          <w:rFonts w:eastAsia="Arial Unicode MS" w:cs="Times New Roman" w:ascii="Times New Roman" w:hAnsi="Times New Roman"/>
          <w:sz w:val="24"/>
          <w:szCs w:val="24"/>
          <w:vertAlign w:val="superscript"/>
        </w:rPr>
        <w:t>7</w:t>
      </w:r>
      <w:r>
        <w:rPr>
          <w:rFonts w:cs="Times New Roman" w:ascii="Times New Roman" w:hAnsi="Times New Roman"/>
          <w:sz w:val="24"/>
          <w:szCs w:val="24"/>
        </w:rPr>
        <w:t>Eurofins GATC Biotech GmbH, Konstanz, Allemagne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vertAlign w:val="superscript"/>
        </w:rPr>
        <w:t>8</w:t>
      </w:r>
      <w:r>
        <w:rPr>
          <w:rFonts w:cs="Times New Roman" w:ascii="Times New Roman" w:hAnsi="Times New Roman"/>
          <w:sz w:val="24"/>
          <w:szCs w:val="24"/>
        </w:rPr>
        <w:t>Sorbonne Université, CNRS, Laboratoire de la Chimie de la Matière Condensée (LCMCP), Paris, France</w:t>
      </w:r>
    </w:p>
    <w:p>
      <w:pPr>
        <w:pStyle w:val="Normal"/>
        <w:spacing w:lineRule="auto" w:line="360" w:before="0" w:after="0"/>
        <w:jc w:val="both"/>
        <w:rPr>
          <w:rStyle w:val="Strong"/>
          <w:rFonts w:ascii="Times New Roman" w:hAnsi="Times New Roman" w:cs="Times New Roman"/>
          <w:b w:val="false"/>
          <w:b w:val="false"/>
          <w:bCs w:val="false"/>
          <w:sz w:val="24"/>
          <w:szCs w:val="24"/>
        </w:rPr>
      </w:pPr>
      <w:r>
        <w:rPr>
          <w:rFonts w:cs="Times New Roman" w:ascii="Times New Roman" w:hAnsi="Times New Roman"/>
          <w:sz w:val="24"/>
          <w:szCs w:val="24"/>
          <w:vertAlign w:val="superscript"/>
        </w:rPr>
        <w:t>9</w:t>
      </w:r>
      <w:r>
        <w:rPr>
          <w:rFonts w:cs="Times New Roman" w:ascii="Times New Roman" w:hAnsi="Times New Roman"/>
          <w:sz w:val="24"/>
          <w:szCs w:val="24"/>
        </w:rPr>
        <w:t>AP-HP. Centre Université de Paris, Service de Rééducation et de Réadaptation de l’Appareil locomoteur et des Pathologies du Rachis, Hôpital Cochin, Paris, France</w:t>
      </w:r>
    </w:p>
    <w:p>
      <w:pPr>
        <w:pStyle w:val="Normal"/>
        <w:spacing w:lineRule="auto" w:line="360" w:before="0" w:after="0"/>
        <w:rPr>
          <w:rStyle w:val="Strong"/>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lineRule="auto" w:line="360" w:before="0" w:after="0"/>
        <w:rPr>
          <w:rStyle w:val="Strong"/>
          <w:rFonts w:ascii="Times New Roman" w:hAnsi="Times New Roman" w:cs="Times New Roman"/>
          <w:b w:val="false"/>
          <w:b w:val="false"/>
          <w:sz w:val="24"/>
          <w:szCs w:val="24"/>
          <w:lang w:val="en-US"/>
        </w:rPr>
      </w:pPr>
      <w:r>
        <w:rPr>
          <w:rStyle w:val="Strong"/>
          <w:rFonts w:cs="Times New Roman" w:ascii="Times New Roman" w:hAnsi="Times New Roman"/>
          <w:b w:val="false"/>
          <w:sz w:val="24"/>
          <w:szCs w:val="24"/>
          <w:lang w:val="en-US"/>
        </w:rPr>
        <w:t xml:space="preserve">The manuscript contains 4 figures, one table and one supplemental file. </w:t>
      </w:r>
    </w:p>
    <w:p>
      <w:pPr>
        <w:pStyle w:val="Normal"/>
        <w:spacing w:lineRule="auto" w:line="360" w:before="0" w:after="0"/>
        <w:rPr>
          <w:rStyle w:val="Strong"/>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p>
      <w:pPr>
        <w:pStyle w:val="Normal"/>
        <w:spacing w:lineRule="auto" w:line="360" w:before="0" w:after="0"/>
        <w:rPr>
          <w:rStyle w:val="Strong"/>
          <w:rFonts w:ascii="Times New Roman" w:hAnsi="Times New Roman" w:cs="Times New Roman"/>
          <w:b w:val="false"/>
          <w:b w:val="false"/>
          <w:sz w:val="24"/>
          <w:szCs w:val="24"/>
        </w:rPr>
      </w:pPr>
      <w:r>
        <w:rPr>
          <w:rStyle w:val="Strong"/>
          <w:rFonts w:cs="Times New Roman" w:ascii="Times New Roman" w:hAnsi="Times New Roman"/>
          <w:b w:val="false"/>
          <w:sz w:val="24"/>
          <w:szCs w:val="24"/>
        </w:rPr>
        <w:t>Corresponding author:</w:t>
      </w:r>
    </w:p>
    <w:p>
      <w:pPr>
        <w:pStyle w:val="Normal"/>
        <w:spacing w:lineRule="auto" w:line="360" w:before="0" w:after="0"/>
        <w:rPr>
          <w:rStyle w:val="Strong"/>
          <w:rFonts w:ascii="Times New Roman" w:hAnsi="Times New Roman" w:cs="Times New Roman"/>
          <w:b w:val="false"/>
          <w:b w:val="false"/>
          <w:sz w:val="24"/>
          <w:szCs w:val="24"/>
        </w:rPr>
      </w:pPr>
      <w:r>
        <w:rPr>
          <w:rStyle w:val="Strong"/>
          <w:rFonts w:cs="Times New Roman" w:ascii="Times New Roman" w:hAnsi="Times New Roman"/>
          <w:b w:val="false"/>
          <w:sz w:val="24"/>
          <w:szCs w:val="24"/>
        </w:rPr>
        <w:t>Pr Martine Cohen-Solal,</w:t>
      </w:r>
    </w:p>
    <w:p>
      <w:pPr>
        <w:pStyle w:val="Normal"/>
        <w:spacing w:lineRule="auto" w:line="360" w:before="0" w:after="0"/>
        <w:rPr>
          <w:rStyle w:val="Strong"/>
          <w:rFonts w:ascii="Times New Roman" w:hAnsi="Times New Roman" w:cs="Times New Roman"/>
          <w:b w:val="false"/>
          <w:b w:val="false"/>
          <w:sz w:val="24"/>
          <w:szCs w:val="24"/>
        </w:rPr>
      </w:pPr>
      <w:r>
        <w:rPr>
          <w:rStyle w:val="Strong"/>
          <w:rFonts w:cs="Times New Roman" w:ascii="Times New Roman" w:hAnsi="Times New Roman"/>
          <w:b w:val="false"/>
          <w:sz w:val="24"/>
          <w:szCs w:val="24"/>
        </w:rPr>
        <w:t>Inserm U1132 Bioscar and université de Paris</w:t>
      </w:r>
    </w:p>
    <w:p>
      <w:pPr>
        <w:pStyle w:val="Normal"/>
        <w:spacing w:lineRule="auto" w:line="360" w:before="0" w:after="0"/>
        <w:rPr>
          <w:rStyle w:val="Strong"/>
          <w:rFonts w:ascii="Times New Roman" w:hAnsi="Times New Roman" w:cs="Times New Roman"/>
          <w:b w:val="false"/>
          <w:b w:val="false"/>
          <w:sz w:val="24"/>
          <w:szCs w:val="24"/>
        </w:rPr>
      </w:pPr>
      <w:r>
        <w:rPr>
          <w:rStyle w:val="Strong"/>
          <w:rFonts w:cs="Times New Roman" w:ascii="Times New Roman" w:hAnsi="Times New Roman"/>
          <w:b w:val="false"/>
          <w:sz w:val="24"/>
          <w:szCs w:val="24"/>
        </w:rPr>
        <w:t>Hopital Lariboisiere, 2 rue Ambroise Pare, 75010 Paris</w:t>
      </w:r>
    </w:p>
    <w:p>
      <w:pPr>
        <w:pStyle w:val="Normal"/>
        <w:spacing w:lineRule="auto" w:line="360" w:before="0" w:after="0"/>
        <w:rPr>
          <w:rStyle w:val="Strong"/>
          <w:rFonts w:ascii="Times New Roman" w:hAnsi="Times New Roman" w:cs="Times New Roman"/>
          <w:b w:val="false"/>
          <w:b w:val="false"/>
          <w:sz w:val="24"/>
          <w:szCs w:val="24"/>
        </w:rPr>
      </w:pPr>
      <w:r>
        <w:rPr>
          <w:rStyle w:val="Strong"/>
          <w:rFonts w:cs="Times New Roman" w:ascii="Times New Roman" w:hAnsi="Times New Roman"/>
          <w:b w:val="false"/>
          <w:sz w:val="24"/>
          <w:szCs w:val="24"/>
        </w:rPr>
        <w:t>Phone : +33149956358 ; Fax : +33149958452</w:t>
      </w:r>
    </w:p>
    <w:p>
      <w:pPr>
        <w:pStyle w:val="Normal"/>
        <w:spacing w:lineRule="auto" w:line="360" w:before="0" w:after="0"/>
        <w:rPr>
          <w:rStyle w:val="Strong"/>
          <w:rFonts w:ascii="Times New Roman" w:hAnsi="Times New Roman" w:cs="Times New Roman"/>
          <w:b w:val="false"/>
          <w:b w:val="false"/>
          <w:sz w:val="24"/>
          <w:szCs w:val="24"/>
        </w:rPr>
      </w:pPr>
      <w:r>
        <w:rPr>
          <w:rStyle w:val="Strong"/>
          <w:rFonts w:cs="Times New Roman" w:ascii="Times New Roman" w:hAnsi="Times New Roman"/>
          <w:b w:val="false"/>
          <w:sz w:val="24"/>
          <w:szCs w:val="24"/>
        </w:rPr>
        <w:t xml:space="preserve">E-mail : </w:t>
      </w:r>
      <w:hyperlink r:id="rId2">
        <w:r>
          <w:rPr>
            <w:rStyle w:val="LienInternet"/>
            <w:rFonts w:cs="Times New Roman" w:ascii="Times New Roman" w:hAnsi="Times New Roman"/>
            <w:sz w:val="24"/>
            <w:szCs w:val="24"/>
          </w:rPr>
          <w:t>martine.cohen-solal@inserm.fr</w:t>
        </w:r>
      </w:hyperlink>
    </w:p>
    <w:p>
      <w:pPr>
        <w:pStyle w:val="Normal"/>
        <w:spacing w:lineRule="auto" w:line="36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before="0" w:after="0"/>
        <w:jc w:val="both"/>
        <w:rPr>
          <w:rStyle w:val="Strong"/>
          <w:rFonts w:ascii="Times New Roman" w:hAnsi="Times New Roman" w:eastAsia="Arial Unicode MS" w:cs="Times New Roman"/>
          <w:b w:val="false"/>
          <w:b w:val="false"/>
          <w:sz w:val="24"/>
          <w:szCs w:val="24"/>
          <w:lang w:val="en-US"/>
        </w:rPr>
      </w:pPr>
      <w:r>
        <w:rPr>
          <w:rFonts w:eastAsia="Arial Unicode MS" w:cs="Times New Roman" w:ascii="Times New Roman" w:hAnsi="Times New Roman"/>
          <w:bCs/>
          <w:sz w:val="24"/>
          <w:szCs w:val="24"/>
          <w:lang w:val="en-US"/>
        </w:rPr>
        <w:t>The study was supported by SYBIL European consortium.</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59" w:before="0" w:after="160"/>
        <w:rPr>
          <w:rFonts w:ascii="Times New Roman" w:hAnsi="Times New Roman" w:cs="Times New Roman"/>
          <w:b/>
          <w:b/>
          <w:sz w:val="24"/>
          <w:szCs w:val="24"/>
          <w:lang w:val="en-US"/>
        </w:rPr>
      </w:pPr>
      <w:r>
        <w:rPr>
          <w:rFonts w:cs="Times New Roman" w:ascii="Times New Roman" w:hAnsi="Times New Roman"/>
          <w:b/>
          <w:sz w:val="24"/>
          <w:szCs w:val="24"/>
          <w:lang w:val="en-US"/>
        </w:rPr>
      </w:r>
      <w:r>
        <w:br w:type="page"/>
      </w:r>
    </w:p>
    <w:p>
      <w:pPr>
        <w:pStyle w:val="Normal"/>
        <w:spacing w:lineRule="auto" w:line="48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 xml:space="preserve">Abstract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Osteocytes are mechanosensitive cells that control bone remodeling in response to mechanical loading. To date, specific signaling pathways modulated by mechanical loading in osteocytes are not well understood. Yes associated protein (YAP) and transcriptional coactivator with PDZ-binding motif (TAZ), the main effectors of the Hippo pathway, are reported to play a role in mechanotransduction and during osteoblastogenesis. Here, we hypothesized that YAP/TAZ signaling mediates osteocyte mechanosensing to target genes of the bone remodeling process. We aimed to investigate the contribution of YAP/TAZ in modulating the gene expression in an </w:t>
      </w:r>
      <w:r>
        <w:rPr>
          <w:rFonts w:cs="Times New Roman" w:ascii="Times New Roman" w:hAnsi="Times New Roman"/>
          <w:bCs/>
          <w:sz w:val="24"/>
          <w:szCs w:val="24"/>
          <w:lang w:val="en-US"/>
        </w:rPr>
        <w:t>osteocyte-like cell line MLO-Y4</w:t>
      </w:r>
      <w:r>
        <w:rPr>
          <w:rFonts w:cs="Times New Roman" w:ascii="Times New Roman" w:hAnsi="Times New Roman"/>
          <w:sz w:val="24"/>
          <w:szCs w:val="24"/>
          <w:lang w:val="en-US"/>
        </w:rPr>
        <w:t xml:space="preserve">. We developed a 3D osteocyte compression culture model from an MLO-Y4 osteocyte cell line embedded in concentrated collagen hydrogel. 3D-mechanical loading led to the increased expression of mechanosensitive genes and a subset of chemokines, including </w:t>
      </w:r>
      <w:r>
        <w:rPr>
          <w:rFonts w:cs="Times New Roman" w:ascii="Times New Roman" w:hAnsi="Times New Roman"/>
          <w:i/>
          <w:iCs/>
          <w:sz w:val="24"/>
          <w:szCs w:val="24"/>
          <w:lang w:val="en-US"/>
        </w:rPr>
        <w:t>M-csf</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Cxcl1</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Cxcl2</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Cxcl3</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Cxcl9</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Cxcl10</w:t>
      </w:r>
      <w:r>
        <w:rPr>
          <w:rFonts w:cs="Times New Roman" w:ascii="Times New Roman" w:hAnsi="Times New Roman"/>
          <w:sz w:val="24"/>
          <w:szCs w:val="24"/>
          <w:lang w:val="en-US"/>
        </w:rPr>
        <w:t xml:space="preserve">. The transcription regulators YAP and TAZ translocated to the nucleus and upregulated their target genes and proteins. RNAseq analysis revealed that YAP/TAZ knockdown mediated the regulation of several genes including osteocyte dendrite formation. Use of YAP/TAZ knockdown partially blunted the increase in </w:t>
      </w:r>
      <w:r>
        <w:rPr>
          <w:rFonts w:cs="Times New Roman" w:ascii="Times New Roman" w:hAnsi="Times New Roman"/>
          <w:i/>
          <w:iCs/>
          <w:sz w:val="24"/>
          <w:szCs w:val="24"/>
          <w:lang w:val="en-US"/>
        </w:rPr>
        <w:t xml:space="preserve">M-csf </w:t>
      </w:r>
      <w:r>
        <w:rPr>
          <w:rFonts w:cs="Times New Roman" w:ascii="Times New Roman" w:hAnsi="Times New Roman"/>
          <w:sz w:val="24"/>
          <w:szCs w:val="24"/>
          <w:lang w:val="en-US"/>
        </w:rPr>
        <w:t xml:space="preserve">and </w:t>
      </w:r>
      <w:r>
        <w:rPr>
          <w:rFonts w:cs="Times New Roman" w:ascii="Times New Roman" w:hAnsi="Times New Roman"/>
          <w:i/>
          <w:iCs/>
          <w:sz w:val="24"/>
          <w:szCs w:val="24"/>
          <w:lang w:val="en-US"/>
        </w:rPr>
        <w:t>Cxcl3</w:t>
      </w:r>
      <w:r>
        <w:rPr>
          <w:rFonts w:cs="Times New Roman" w:ascii="Times New Roman" w:hAnsi="Times New Roman"/>
          <w:sz w:val="24"/>
          <w:szCs w:val="24"/>
          <w:lang w:val="en-US"/>
        </w:rPr>
        <w:t xml:space="preserve"> levels in response to </w:t>
      </w:r>
      <w:r>
        <w:rPr>
          <w:rFonts w:cs="Times New Roman" w:ascii="Times New Roman" w:hAnsi="Times New Roman"/>
          <w:bCs/>
          <w:sz w:val="24"/>
          <w:szCs w:val="24"/>
          <w:lang w:val="en-US"/>
        </w:rPr>
        <w:t xml:space="preserve">MLO-Y4 </w:t>
      </w:r>
      <w:r>
        <w:rPr>
          <w:rFonts w:cs="Times New Roman" w:ascii="Times New Roman" w:hAnsi="Times New Roman"/>
          <w:sz w:val="24"/>
          <w:szCs w:val="24"/>
          <w:lang w:val="en-US"/>
        </w:rPr>
        <w:t xml:space="preserve">compression. These findings demonstrate that YAP/TAZ signalling is required for osteocyte-like cell mechano-transduction, regulates the gene expression profiles and controls chemokine expression.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 xml:space="preserve">Keywords: bone, mechanical loading, osteocyte, YAP/TAZ, chemokines, RNAsequencing </w:t>
      </w:r>
    </w:p>
    <w:p>
      <w:pPr>
        <w:pStyle w:val="Normal"/>
        <w:spacing w:lineRule="auto" w:line="259" w:before="0" w:after="160"/>
        <w:rPr>
          <w:rFonts w:ascii="Times New Roman" w:hAnsi="Times New Roman" w:cs="Times New Roman"/>
          <w:b/>
          <w:b/>
          <w:sz w:val="24"/>
          <w:szCs w:val="24"/>
          <w:lang w:val="en-US"/>
        </w:rPr>
      </w:pPr>
      <w:r>
        <w:rPr>
          <w:rFonts w:cs="Times New Roman" w:ascii="Times New Roman" w:hAnsi="Times New Roman"/>
          <w:b/>
          <w:sz w:val="24"/>
          <w:szCs w:val="24"/>
          <w:lang w:val="en-US"/>
        </w:rPr>
      </w:r>
      <w:r>
        <w:br w:type="page"/>
      </w:r>
    </w:p>
    <w:p>
      <w:pPr>
        <w:pStyle w:val="Normal"/>
        <w:spacing w:lineRule="auto" w:line="48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Background</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Mechanical loading plays an important role in maintaining bone homeostasis by the regulation of bone remodeling </w:t>
      </w:r>
      <w:r>
        <w:fldChar w:fldCharType="begin"/>
      </w:r>
      <w:r>
        <w:rPr>
          <w:sz w:val="24"/>
          <w:szCs w:val="24"/>
          <w:rFonts w:cs="Times New Roman" w:ascii="Times New Roman" w:hAnsi="Times New Roman"/>
          <w:lang w:val="en-US"/>
        </w:rPr>
        <w:instrText>ADDIN CSL_CITATION {"citationItems":[{"id":"ITEM-1","itemData":{"DOI":"10.1146/annurev.bioeng.8.061505.095721","ISBN":"10.1146/annurev.bioeng.8.061505.095721","ISSN":"1523-9829","PMID":"16834564","abstract":"AbstractBone is a dynamic tissue that is constantly renewed. The cell populations that participate in this process—the osteoblasts and osteoclasts—are derived from different progenitor pools that are under distinct molecular control mechanisms. Together, these cells form temporary anatomical structures, called basic multicellular units, that execute bone remodeling. A number of stimuli affect bone turnover, including hormones, cytokines, and mechanical stimuli. All of these factors affect the amount and quality of the tissue produced. Mechanical loading is a particularly potent stimulus for bone cells, which improves bone strength and inhibits bone loss with age. Like other materials, bone accumulates damage from loading, but, unlike engineering materials, bone is capable of self-repair. The molecular mechanisms by which bone adapts to loading and repairs damage are starting to become clear. Many of these processes have implications for bone health, disease, and the feasibility of living in weightless env...","author":[{"dropping-particle":"","family":"Robling","given":"Alexander G.","non-dropping-particle":"","parse-names":false,"suffix":""},{"dropping-particle":"","family":"Castillo","given":"Alesha B.","non-dropping-particle":"","parse-names":false,"suffix":""},{"dropping-particle":"","family":"Turner","given":"Charles H.","non-dropping-particle":"","parse-names":false,"suffix":""}],"container-title":"Annual Review of Biomedical Engineering","id":"ITEM-1","issued":{"date-parts":[["2006"]]},"page":"455-498","title":"Biomechanical and Molecular Regulation of Bone Remodeling","type":"article-journal","volume":"8"},"uris":["http://www.mendeley.com/documents/?uuid=f4ec36ed-41b8-4303-a255-29b9e3456fa0"]}],"mendeley":{"formattedCitation":"[1]","plainTextFormattedCitation":"[1]","previouslyFormattedCitation":"[1]"},"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[1]</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Osteocytes, the most abundant cell type embedded in the mineralised bone matrix, represent the main mechanosensors that control bone remodeling in response to mechanical forces </w:t>
      </w:r>
      <w:r>
        <w:fldChar w:fldCharType="begin"/>
      </w:r>
      <w:r>
        <w:rPr>
          <w:sz w:val="24"/>
          <w:szCs w:val="24"/>
          <w:rFonts w:cs="Times New Roman" w:ascii="Times New Roman" w:hAnsi="Times New Roman"/>
          <w:lang w:val="en-US"/>
        </w:rPr>
        <w:instrText>ADDIN CSL_CITATION {"citationItems":[{"id":"ITEM-1","itemData":{"DOI":"10.1007/s00223-013-9790-y.Osteocytes","author":[{"dropping-particle":"","family":"Schaffler","given":"Mitchell B.","non-dropping-particle":"","parse-names":false,"suffix":""},{"dropping-particle":"","family":"Cheung","given":"Wing-Yee","non-dropping-particle":"","parse-names":false,"suffix":""},{"dropping-particle":"","family":"Majeska","given":"Robert","non-dropping-particle":"","parse-names":false,"suffix":""},{"dropping-particle":"","family":"Kennedy","given":"Oran","non-dropping-particle":"","parse-names":false,"suffix":""}],"container-title":"Calcif Tissue Int","id":"ITEM-1","issue":"1","issued":{"date-parts":[["2014"]]},"page":"5-24","title":"Osteocytes: Master Orchestrators of Bone","type":"article-journal","volume":"94"},"uris":["http://www.mendeley.com/documents/?uuid=de864ce5-490c-4172-b8f7-9d892ec1f01e"]},{"id":"ITEM-2","itemData":{"DOI":"10.1007/s11154-015-9313-4","author":[{"dropping-particle":"","family":"Xiao","given":"Z","non-dropping-particle":"","parse-names":false,"suffix":""},{"dropping-particle":"","family":"Quarles","given":"L D","non-dropping-particle":"","parse-names":false,"suffix":""}],"container-title":"Reviews in Endocrine and Metabolic Disorders","id":"ITEM-2","issue":"2","issued":{"date-parts":[["2015"]]},"page":"115-129","title":"Physiological mechanisms and therapeutic potential of bone mechanosensing","type":"article-journal","volume":"16"},"uris":["http://www.mendeley.com/documents/?uuid=6b60bfc4-a25b-4c96-8173-e9b7861e8bdb"]}],"mendeley":{"formattedCitation":"[2,3]","plainTextFormattedCitation":"[2,3]","previouslyFormattedCitation":"[2,3]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Osteocyte dendrites within the canaliculi networks allow sensing of mechanical loading and communicate with other bone cell types to regulate their activities </w:t>
      </w:r>
      <w:r>
        <w:fldChar w:fldCharType="begin"/>
      </w:r>
      <w:r>
        <w:rPr>
          <w:sz w:val="24"/>
          <w:szCs w:val="24"/>
          <w:rFonts w:cs="Times New Roman" w:ascii="Times New Roman" w:hAnsi="Times New Roman"/>
          <w:lang w:val="en-US"/>
        </w:rPr>
        <w:instrText>ADDIN CSL_CITATION {"citationItems":[{"id":"ITEM-1","itemData":{"DOI":"10.1007/s00223-013-9790-y.Osteocytes","author":[{"dropping-particle":"","family":"Schaffler","given":"Mitchell B.","non-dropping-particle":"","parse-names":false,"suffix":""},{"dropping-particle":"","family":"Cheung","given":"Wing-Yee","non-dropping-particle":"","parse-names":false,"suffix":""},{"dropping-particle":"","family":"Majeska","given":"Robert","non-dropping-particle":"","parse-names":false,"suffix":""},{"dropping-particle":"","family":"Kennedy","given":"Oran","non-dropping-particle":"","parse-names":false,"suffix":""}],"container-title":"Calcif Tissue Int","id":"ITEM-1","issue":"1","issued":{"date-parts":[["2014"]]},"page":"5-24","title":"Osteocytes: Master Orchestrators of Bone","type":"article-journal","volume":"94"},"uris":["http://www.mendeley.com/documents/?uuid=de864ce5-490c-4172-b8f7-9d892ec1f01e"]}],"mendeley":{"formattedCitation":"[2]","plainTextFormattedCitation":"[2]","previouslyFormattedCitation":"[2]"},"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Osteocyte mechanosensing properties result in the activation of different types of receptors and different intracellular signaling pathways </w:t>
      </w:r>
      <w:r>
        <w:fldChar w:fldCharType="begin"/>
      </w:r>
      <w:r>
        <w:rPr>
          <w:sz w:val="24"/>
          <w:szCs w:val="24"/>
          <w:rFonts w:cs="Times New Roman" w:ascii="Times New Roman" w:hAnsi="Times New Roman"/>
          <w:lang w:val="en-US"/>
        </w:rPr>
        <w:instrText>ADDIN CSL_CITATION {"citationItems":[{"id":"ITEM-1","itemData":{"DOI":"10.1007/s11154-015-9313-4","author":[{"dropping-particle":"","family":"Xiao","given":"Z","non-dropping-particle":"","parse-names":false,"suffix":""},{"dropping-particle":"","family":"Quarles","given":"L D","non-dropping-particle":"","parse-names":false,"suffix":""}],"container-title":"Reviews in Endocrine and Metabolic Disorders","id":"ITEM-1","issue":"2","issued":{"date-parts":[["2015"]]},"page":"115-129","title":"Physiological mechanisms and therapeutic potential of bone mechanosensing","type":"article-journal","volume":"16"},"uris":["http://www.mendeley.com/documents/?uuid=6b60bfc4-a25b-4c96-8173-e9b7861e8bdb"]}],"mendeley":{"formattedCitation":"[3]","plainTextFormattedCitation":"[3]","previouslyFormattedCitation":"[3]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Indeed, loading induces osteocyte responses associated with early uptake of intracellular calcium via ion channels, hemi-channels (mainly Connexin-43) and primary cilia </w:t>
      </w:r>
      <w:r>
        <w:fldChar w:fldCharType="begin"/>
      </w:r>
      <w:r>
        <w:rPr>
          <w:sz w:val="24"/>
          <w:szCs w:val="24"/>
          <w:rFonts w:cs="Times New Roman" w:ascii="Times New Roman" w:hAnsi="Times New Roman"/>
          <w:lang w:val="en-US"/>
        </w:rPr>
        <w:instrText>ADDIN CSL_CITATION {"citationItems":[{"id":"ITEM-1","itemData":{"author":[{"dropping-particle":"","family":"Yavropoulou","given":"M P","non-dropping-particle":"","parse-names":false,"suffix":""},{"dropping-particle":"","family":"Yovos","given":"J G","non-dropping-particle":"","parse-names":false,"suffix":""}],"container-title":"J Musculoskelet Neuronal Interact","id":"ITEM-1","issue":"3","issued":{"date-parts":[["2016"]]},"page":"221-236","title":"The molecular basis of bone mechanotransduction","type":"article-journal","volume":"16"},"uris":["http://www.mendeley.com/documents/?uuid=a50d65a0-7028-46ac-8af9-42849d0b03bc"]}],"mendeley":{"formattedCitation":"[4]","plainTextFormattedCitation":"[4]","previouslyFormattedCitation":"[4]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Moreover, loading promotes calcium influx in osteocytes, together with  the production of adenosine triphosphate, nitric oxide and prostaglandin E2, the latter being able to activate bone formation and inhibit bone resorption </w:t>
      </w:r>
      <w:r>
        <w:fldChar w:fldCharType="begin"/>
      </w:r>
      <w:r>
        <w:rPr>
          <w:sz w:val="24"/>
          <w:szCs w:val="24"/>
          <w:rFonts w:cs="Times New Roman" w:ascii="Times New Roman" w:hAnsi="Times New Roman"/>
          <w:lang w:val="en-US"/>
        </w:rPr>
        <w:instrText>ADDIN CSL_CITATION {"citationItems":[{"id":"ITEM-1","itemData":{"DOI":"10.1152/ajpcell.00611.2005","ISBN":"7175314809","ISSN":"0363-6143","PMID":"16885390","abstract":"Taylor AF, Saunders MM, Shingle DL, Cimbala JM, Zhou Z, Donahue HJ. Mechanically stimulated osteocytes regulate osteoblastic activity via gap junctions. The strong correlation between a bone's architectural properties and the mechanical forces that it experiences has long been attributed to the existence of a cell that not only detects mechanical load but also structurally adapts the bone matrix to counter it. One of the most likely cellular candidates for such a \" mechanostat \" is the osteocyte, which resides within the mineralized bone matrix and is perfectly situated to detect mechanically induced signals. However, as osteocytes can neither form nor resorb bone, it has been hypothesized that they orchestrate mechanically induced bone remodeling by coordinating the actions of cells residing on the bone surface, such as osteoblasts. To investigate this hypothesis, we developed a novel osteocyte-osteoblast coculture model that mimics in vivo systems by permitting us to expose osteocytes to physiological levels of fluid shear while shielding osteoblasts from it. Our results show that osteocytes exposed to a fluid shear rate of 4.4 dyn/cm 2 rapidly increase the alkaline phosphatase activity of the shielded osteo-blasts and that osteocytic-osteoblastic physical contact is a prerequisite. Furthermore, both functional gap junctional intercellular communication and the mitogen-activated protein kinase, extracellular signal-regulated kinase 1/2 signaling pathway are essential components in the osteoblastic response to osteocyte communicated mechanical signals. By utilizing other nonosteocytic coculture models, we also show that the ability to mediate osteoblastic alkaline phosphatase levels in response to the appli-cation of fluid shear is a phenomena unique to osteocytes and is not reproduced by other mesenchymal cell types.","author":[{"dropping-particle":"","family":"Taylor","given":"A. F.","non-dropping-particle":"","parse-names":false,"suffix":""},{"dropping-particle":"","family":"Saunders","given":"M. M.","non-dropping-particle":"","parse-names":false,"suffix":""},{"dropping-particle":"","family":"Shingle","given":"D. L.","non-dropping-particle":"","parse-names":false,"suffix":""},{"dropping-particle":"","family":"Cimbala","given":"J. M.","non-dropping-particle":"","parse-names":false,"suffix":""},{"dropping-particle":"","family":"Zhou","given":"Z.","non-dropping-particle":"","parse-names":false,"suffix":""},{"dropping-particle":"","family":"Donahue","given":"H. J.","non-dropping-particle":"","parse-names":false,"suffix":""}],"container-title":"Am J Physiol Cell Physiology","id":"ITEM-1","issued":{"date-parts":[["2007"]]},"page":"C545-C552","title":"Mechanically stimulated osteocytes regulate osteoblastic activity via gap junctions","type":"article-journal","volume":"292"},"uris":["http://www.mendeley.com/documents/?uuid=b01855f2-e574-46d2-a81a-f73cdf94e3d9"]},{"id":"ITEM-2","itemData":{"DOI":"10.1091/mbc.E04","ISBN":"1059-1524 (Print)","ISSN":"1059-1524","PMID":"15509653","abstract":"Formin proteins are key regulators of eukaryotic actin filament assembly and elongation, and many species possess multiple formin isoforms. A nomenclature system based on fundamental features would be desirable, to aid the rapid identification and characterization of novel formins. In this article, we attempt to systematize the formin family by performing phylogenetic analyses of the formin homology 2 (FH2) domain, an independently folding region common to all formins, which alone can influence actin dynamics. Through database searches, we identify 101 FH2 domains from 26 eukaryotic species, including 15 in mice. Sequence alignments reveal a highly conserved yeast-specific insert in the \"knob loop\" region of the FH2 domain, with unknown functional consequences. Phylogenetic analysis using minimum evolution (ME), maximum parsimony (MP), and maximum likelihood (ML) algorithms strongly supports the existence of seven metazoan groups. Yeast FH2 domains segregate from all other eukaryotes, including metazoans, other fungi, plants, and protists. Sequence comparisons of non-FH2 regions support relationships between three metazoan groups (Dia, DAAM, and FRL) and examine previously identified coiled-coil and Diaphanous auto-regulatory domain sequences. This analysis allows for a formin nomenclature system based on sequence relationships, as well as suggesting strategies for the determination of biochemical and cellular activities of these proteins.","author":[{"dropping-particle":"","family":"Cherian","given":"Priscilla P.","non-dropping-particle":"","parse-names":false,"suffix":""},{"dropping-particle":"","family":"Siller-Jackson","given":"Arlene J.","non-dropping-particle":"","parse-names":false,"suffix":""},{"dropping-particle":"","family":"Gu","given":"Sumin","non-dropping-particle":"","parse-names":false,"suffix":""},{"dropping-particle":"","family":"Wang","given":"Xin","non-dropping-particle":"","parse-names":false,"suffix":""},{"dropping-particle":"","family":"Bonewald","given":"Lynda F.","non-dropping-particle":"","parse-names":false,"suffix":""},{"dropping-particle":"","family":"Sprague","given":"Eugene","non-dropping-particle":"","parse-names":false,"suffix":""},{"dropping-particle":"","family":"Jiang","given":"Jean X.","non-dropping-particle":"","parse-names":false,"suffix":""}],"container-title":"Molecular biology of the cell","id":"ITEM-2","issued":{"date-parts":[["2005"]]},"page":"3100-3106","title":"Mechanical Strain Opens Connexin 43 Hemichannels in Osteocytes : A Novel Mechanism for the Release of Prostaglandin","type":"article-journal","volume":"16"},"uris":["http://www.mendeley.com/documents/?uuid=4a8dcca6-cdf9-4fee-8139-d679a83cee9c"]},{"id":"ITEM-3","itemData":{"DOI":"10.1002/jcp.21021.OSCILLATING","author":[{"dropping-particle":"","family":"Genetos","given":"Damian c.","non-dropping-particle":"","parse-names":false,"suffix":""},{"dropping-particle":"","family":"Kephart","given":"Curits J.","non-dropping-particle":"","parse-names":false,"suffix":""},{"dropping-particle":"","family":"Zhang","given":"Yue","non-dropping-particle":"","parse-names":false,"suffix":""},{"dropping-particle":"","family":"Yellowley","given":"Clare E.","non-dropping-particle":"","parse-names":false,"suffix":""},{"dropping-particle":"","family":"Donahue","given":"Henry J.","non-dropping-particle":"","parse-names":false,"suffix":""}],"container-title":"J Cell Physiol","id":"ITEM-3","issue":"1","issued":{"date-parts":[["2007"]]},"page":"207-214","title":"Oscillating fluid flow activation of GAP junction hemichannels induces ATP release from MLO-Y4 osteocytes","type":"article-journal","volume":"212"},"uris":["http://www.mendeley.com/documents/?uuid=57570667-223d-4b86-b7a5-b46f7e683fdf"]},{"id":"ITEM-4","itemData":{"DOI":"10.1016/j.febslet.2004.07.009","ISBN":"0014-5793 (Print)\\n0014-5793 (Linking)","ISSN":"00145793","PMID":"15304325","abstract":"Intercellular calcium wave propagation initiated by mechanical stress is a phenomenon found in nearly all cell types. The waves utilize two pathways: transfer of InsP3 directly from cell to cell through gap junction channels and release of ATP onto extracellular purinergic receptors. The conduit for ATP has remained elusive and both a vesicular and a channel mediated release have been considered. Here, we describe the properties of single pannexin 1 channels. They have a wide expression spectrum, they are of large conductance and permeant for ATP, and they are mechanosensitive. Hence, pannexins are candidates for the release of ATP to the extracellular space upon mechanical stress. © 2004 Published by Elsevier B.V. on behalf of the Federation of European Biochemical Societies.","author":[{"dropping-particle":"","family":"Bao","given":"Li","non-dropping-particle":"","parse-names":false,"suffix":""},{"dropping-particle":"","family":"Locovei","given":"Silviu","non-dropping-particle":"","parse-names":false,"suffix":""},{"dropping-particle":"","family":"Dahl","given":"Gerhard","non-dropping-particle":"","parse-names":false,"suffix":""}],"container-title":"FEBS Letters","id":"ITEM-4","issued":{"date-parts":[["2004"]]},"page":"65-68","title":"Pannexin membrane channels are mechanosensitive conduits for ATP","type":"article-journal","volume":"572"},"uris":["http://www.mendeley.com/documents/?uuid=c1660058-e0bc-4fb8-9cde-1d4fdbf66b57"]},{"id":"ITEM-5","itemData":{"ISBN":"0002-9513 (Print)\\r0002-9513 (Linking)","PMID":"8764178","abstract":"We tested the ability of NG-monomethyl-L-arginine (L-NMMA), an inhibitor of NO synthase (NOS), to suppress the osteogenic response in a recently developed model of mechanically induced osteogenesis. L-NMMA was given either as a single intraperitoneal dose, 15 min before the episode of mechanical stimulation, or as four doses every 6 h, commencing 2 h after loading. Administration of L-NMMA before loading completely prevented the increase in cancellous bone formation by mechanical stimulation. This suppression was largely lost when L-NMMA was administered after loading. Thus the response is likely to be due to activation of a preexistent constitutive NOS in bone cells during or very soon after mechanical stimulation. Suppression of the osteogenic response by L-NMMA was prevented by coadministration of L-arginine but not by the inactive isomer, D-arginine. These changes in cancellous bone were mirrored by similar changes on the corticoendosteal and periosteal bone surfaces. These data suggest that early release of NO is a key signal in the transduction of mechanical stimuli into subsequent bone formation.","author":[{"dropping-particle":"","family":"Fox","given":"S W","non-dropping-particle":"","parse-names":false,"suffix":""},{"dropping-particle":"","family":"Chambers","given":"T J","non-dropping-particle":"","parse-names":false,"suffix":""},{"dropping-particle":"","family":"Chow","given":"J W","non-dropping-particle":"","parse-names":false,"suffix":""}],"container-title":"Am J Physiol","id":"ITEM-5","issued":{"date-parts":[["1996"]]},"page":"E955-60","title":"Nitric oxide is an early mediator of the increase in bone formation by mechanical stimulation","type":"article-journal"},"uris":["http://www.mendeley.com/documents/?uuid=78ca1a73-425b-4d08-9074-013f7031e49b"]},{"id":"ITEM-6","itemData":{"DOI":"10.1359/jbmr.1999.14.7.1123","ISBN":"0884-0431 (Print)\\r0884-0431 (Linking)","ISSN":"1523-4681","PMID":"10404012","abstract":"Previous studies have indicated that physiological levels of dynamic mechanical strain produce rapid increases in nitric oxide (NO) release from rat ulna explants and primary cultures of osteoblast-like cells and embryonic chick osteocytes derived from long bones. To establish the mechanism by which loading-induced NO production may be regulated, we have examined: nitric oxide synthase (NOS) isoform mRNA and protein expression, the effect of mechanical loading in vivo on NOS mRNA expression, and the effect of mechanical strain on NO production by bone cells in culture. Using Northern blot analyses, in situ hybridization, and immunocytochemistry we have established that the predominant NOS isoform expressed in rat long bone periosteal osteoblasts and in a distinct population of cortical bone osteocytes is the endothelial form of NOS (eNOS), with little or no expression of the inducible NOS or neuronal NOS isoforms. In contrast, in non–load-bearing calvariae there are no detectable levels of eNOS in osteocytes and little in osteoblasts. Consistent with these observations, ulnar explants release NO rapidly in response to loading in vitro, presumably through the activation of eNOS, whereas calvarial explants do not. The relative contribution of different bone cells to these rapid increases in strain-induced NO release was established by assessment of medium nitrite (stable NO metabolite) concentration, which showed that purified populations of osteocytes produce significantly greater quantities of NO per cell in response to mechanical strain than osteoblast-like cells derived from the same bones. Using Northern blot hybridization, we have also shown that neither a single nor five consecutive daily periods of in vivo mechanical loading produced any significant effect on different NOS isoform mRNA expression in rat ulnae. In conclusion, our results indicate that eNOS is the prevailing isoform expressed by cells of the osteoblast/osteocyte lineage and that strain produces increases in the activity of eNOS without apparently altering the levels of eNOS mRNA.","author":[{"dropping-particle":"","family":"Zaman","given":"G","non-dropping-particle":"","parse-names":false,"suffix":""},{"dropping-particle":"","family":"Pitsillides","given":"a a","non-dropping-particle":"","parse-names":false,"suffix":""},{"dropping-particle":"","family":"Rawlinson","given":"S C F","non-dropping-particle":"","parse-names":false,"suffix":""},{"dropping-particle":"","family":"Suswillo","given":"R F L","non-dropping-particle":"","parse-names":false,"suffix":""},{"dropping-particle":"","family":"Mosley","given":"J R","non-dropping-particle":"","parse-names":false,"suffix":""},{"dropping-particle":"","family":"Cheng","given":"M Z","non-dropping-particle":"","parse-names":false,"suffix":""},{"dropping-particle":"","family":"Platts","given":"L a M","non-dropping-particle":"","parse-names":false,"suffix":""},{"dropping-particle":"","family":"Hukkanen","given":"M","non-dropping-particle":"","parse-names":false,"suffix":""},{"dropping-particle":"","family":"Polak","given":"J M","non-dropping-particle":"","parse-names":false,"suffix":""},{"dropping-particle":"","family":"Lanyon","given":"L E","non-dropping-particle":"","parse-names":false,"suffix":""}],"container-title":"Journal of Bone and Mineral Research","id":"ITEM-6","issue":"7","issued":{"date-parts":[["1999"]]},"page":"1123-1131","title":"Mechanical Strain Stimulates Nitric Oxide Production by Rapid Activation of Endothelial Nitric Oxide Synthase in Osteocytes","type":"article-journal","volume":"14"},"uris":["http://www.mendeley.com/documents/?uuid=b86da86b-df88-44f3-8074-9fd134fc1cd1"]},{"id":"ITEM-7","itemData":{"DOI":"10.1016/j.bone.2007.07.019","ISBN":"8756-3282","ISSN":"87563282","PMID":"17855178","abstract":"Bone has the capacity to alter its mass and structure to its mechanical environment. Osteocytes are the predominant bone cells and it is generally accepted that the osteocytes are the professional mechanosensors of bone. A strain-derived fluid flow through the lacuno-canalicular porosity seems to mechanically activate them, resulting in the production of signalling molecules such as nitric oxide (NO). We hypothesize that mechanically stimulated osteocytes modulate osteoclast formation and activity via soluble factors, thus affecting bone resorption. Osteocytes, osteoblasts, and periosteal fibroblasts were isolated from fetal chicken calvariae via enzymatic digestion. The periosteal fibroblasts were obtained from the periostea. Osteocytes were separated from osteoblasts by immunomagnetic separation. Cells were mechanically stimulated for 1 h with pulsating fluid flow (PFF, 0.70 ± 0.30 Pa) at 5 Hz, or kept under static conditions. Conditioned medium was collected after 60 min. The effect of conditioned medium on osteoclastogenesis was tested on mouse bone marrow cells in the presence of macrophage colony stimulating factor and receptor activator of NF-κB ligand. After 6 days of culture, osteoclast formation and bone resorption was determined. Osteocytes subjected to 1 h pulsating fluid flow produced conditioned medium that inhibited the formation of osteoclasts. For osteoblast PFF-conditioned medium, such effect was, to a lesser extent, also observed, but not for periosteal fibroblast PFF-conditioned medium. Furthermore, PFF-treated osteocytes, but not osteoblast or periosteal fibroblast, produced conditioned medium that resulted in a decreased bone resorption. The NO synthase inhibitor NG-nitro-l-arginine methyl ester attenuated the inhibitory effects of osteocyte PFF-conditioned medium on osteoclast formation and resorption. We conclude that osteocytes subjected to PFF inhibit osteoclast formation and resorption via soluble factors, and the release of these factors was at least partially dependent on activation of an NO pathway in osteocytes in response to PFF. Thus, the osteocyte appears to be more responsive to PFF than the osteoblast or periosteal fibroblast regarding to the production of soluble factors affecting osteoclast formation and bone resorption. © 2007 Elsevier Inc. All rights reserved.","author":[{"dropping-particle":"","family":"Tan","given":"S. Djien","non-dropping-particle":"","parse-names":false,"suffix":""},{"dropping-particle":"","family":"Vries","given":"Teun J.","non-dropping-particle":"de","parse-names":false,"suffix":""},{"dropping-particle":"","family":"Kuijpers-Jagtman","given":"Anne Marie","non-dropping-particle":"","parse-names":false,"suffix":""},{"dropping-particle":"","family":"Semeins","given":"Cornelis M.","non-dropping-particle":"","parse-names":false,"suffix":""},{"dropping-particle":"","family":"Everts","given":"Vincent","non-dropping-particle":"","parse-names":false,"suffix":""},{"dropping-particle":"","family":"Klein-Nulend","given":"Jenneke","non-dropping-particle":"","parse-names":false,"suffix":""}],"container-title":"Bone","id":"ITEM-7","issued":{"date-parts":[["2007"]]},"page":"745-751","title":"Osteocytes subjected to fluid flow inhibit osteoclast formation and bone resorption","type":"article-journal","volume":"41"},"uris":["http://www.mendeley.com/documents/?uuid=f0725ba1-d5e8-4cb8-9eaa-7df1c3b5aec0"]},{"id":"ITEM-8","itemData":{"DOI":"10.1016/j.bone.2017.04.003","ISSN":"87563282","PMID":"28414140","abstract":"Interleukin (IL)-17 is crucial to osteoclast differentiation and activation. Osteocytes support osteoclast formation and are thought to orchestrate bone remodeling in response to fluid flow. The contribution of IL-17 to osteocyte-related bone resorption remains unclear. Here, we used the osteocyte-like MLO-Y4 cell line to examine the role of IL-17 and fluid flow in osteoclastogenesis. It was the first time to demonstrate that IL-17A promoted MLO-Y4 cell proliferation, enhanced expression of receptor activator of nuclear factor κ-B ligand (RANKL) and tumor necrosis factor-α (TNF-α), and induced osteoclastogenesis when MLO-Y4 cells were co-cultured with bone marrow-derived macrophage (BMM) cells. Additionally, shear stress upregulated osteoprotegerin expression in osteocytes, downregulated the effect of IL-17A on RANKL and TNF-α expression, and attenuated IL-17A-activated osteoclastic differentiation in the co-culture system of MLO-Y4 and BMM cells. Furthermore, we explored the signaling pathways that potentially mediate these effects in osteocytes, and found that the extracellular signal-regulated kinase (ERK)1/2 and signal transducer and activator of transcription (STAT3) pathways were suppressed by IL-17A but induced by fluid flow. EphA2 signaling enhances osteoclastogenesis in osteocytes, and the intercellular reversed EphA2-ephrinA2 signaling from osteocytes to BMM play an important role in IL-17A-dependent osteoclastic differentiation. EphB4 signaling inhibits osteoclastogenesis in osteocytes, and the intercellular reversed EphB4-ephrinB2 signaling from osteocytes to BMM could inhibit IL-17A-dependent osteoclastic differentiation. The current findings suggest that IL-17A as a promoter of bone resorption and fluid shear stress critically regulate bone remodeling via osteocyte-specific signaling pathways. IL-17 modulation-based approaches may be developed as a novel therapeutic strategy for enhancing bone remodeling efficiency and stability.","author":[{"dropping-particle":"","family":"Liao","given":"Chongshan","non-dropping-particle":"","parse-names":false,"suffix":""},{"dropping-particle":"","family":"Cheng","given":"Tianfan","non-dropping-particle":"","parse-names":false,"suffix":""},{"dropping-particle":"","family":"Wang","given":"Shuai","non-dropping-particle":"","parse-names":false,"suffix":""},{"dropping-particle":"","family":"Zhang","given":"Chengfei","non-dropping-particle":"","parse-names":false,"suffix":""},{"dropping-particle":"","family":"Jin","given":"Lijian","non-dropping-particle":"","parse-names":false,"suffix":""},{"dropping-particle":"","family":"Yang","given":"Yanqi","non-dropping-particle":"","parse-names":false,"suffix":""}],"container-title":"Bone","id":"ITEM-8","issued":{"date-parts":[["2017"]]},"page":"10-20","publisher":"The Authors","title":"Shear stress inhibits IL-17A-mediated induction of osteoclastogenesis via osteocyte pathways","type":"article-journal","volume":"101"},"uris":["http://www.mendeley.com/documents/?uuid=d6778433-ba5a-49d4-b3c5-29f7df3a4c33"]},{"id":"ITEM-9","itemData":{"DOI":"10.1016/j.bone.2007.09.047.Osteocytes","author":[{"dropping-particle":"","family":"You","given":"Lidan","non-dropping-particle":"","parse-names":false,"suffix":""},{"dropping-particle":"","family":"Temiyasathit","given":"Sara","non-dropping-particle":"","parse-names":false,"suffix":""},{"dropping-particle":"","family":"Lee","given":"Peling","non-dropping-particle":"","parse-names":false,"suffix":""},{"dropping-particle":"","family":"Kim","given":"Chi Hyun","non-dropping-particle":"","parse-names":false,"suffix":""},{"dropping-particle":"","family":"Tummala","given":"Padmaja","non-dropping-particle":"","parse-names":false,"suffix":""},{"dropping-particle":"","family":"Yao","given":"Wei","non-dropping-particle":"","parse-names":false,"suffix":""},{"dropping-particle":"","family":"Kingery","given":"Wade","non-dropping-particle":"","parse-names":false,"suffix":""},{"dropping-particle":"","family":"Malone","given":"Amanda M","non-dropping-particle":"","parse-names":false,"suffix":""},{"dropping-particle":"","family":"Kwon","given":"Ronald Y","non-dropping-particle":"","parse-names":false,"suffix":""},{"dropping-particle":"","family":"Jacobs","given":"Christopher R","non-dropping-particle":"","parse-names":false,"suffix":""}],"container-title":"Bone","id":"ITEM-9","issue":"1","issued":{"date-parts":[["2008"]]},"page":"172-179","title":"Osteocytes as Mechanosensors in the Inhibition of Bone Resorption Due to Mechanical Loading","type":"article-journal","volume":"42"},"uris":["http://www.mendeley.com/documents/?uuid=45126e84-dcf7-40e4-87f7-eafb2e2ae2a5"]},{"id":"ITEM-10","itemData":{"DOI":"10.1007/s00223-010-9407-7","ISBN":"1432-0827 (Electronic)\\r0171-967X (Linking)","ISSN":"0171967X","PMID":"20725825","abstract":"In regions of high bone loading, the mechanoresponsive osteocytes inhibit osteoclastic bone resorption by producing signaling molecules. One possible candidate is matrix extracellular phosphoglycoprotein (MEPE) because acidic serine- and aspartate-rich MEPE-associated motif peptides upregulate osteoprotegerin (OPG) gene expression, a negative regulator of osteoclastogenesis. These peptides are cleaved from MEPE when relatively more MEPE than PHEX (phosphate-regulating gene with homology to endopeptidases on the X chromosome) is present. We investigated whether mechanical loading of osteocytes affects osteocyte-stimulated osteoclastogenesis by involvement of MEPE. MLO-Y4 osteocytes were mechanically loaded by 1-h pulsating fluid flow (PFF; 0.7 ± 0.3 Pa, 5 Hz) or kept under static control conditions. Recombinant MEPE (0.05, 0.5, or 5 μg/ml) was added to some static cultures. Mouse bone marrow cells were seeded on top of the osteocytes to determine osteoclastogenesis. Gene expression of MEPE, PHEX, receptor activator of nuclear factor kappa-B ligand (RANKL), and OPG by osteocytes was determined after PFF. Osteocytes supported osteoclast formation under static control conditions. Both PFF and recombinant MEPE inhibited osteocyte-stimulated osteoclastogenesis. PFF upregulated MEPE gene expression by 2.5-fold, but not PHEX expression. PFF decreased the RANKL/OPG ratio at 1-h PFF treatment. Our data suggest that mechanical loading induces changes in gene expression by osteocytes, which likely contributes to the inhibition of osteoclastogenesis after mechanical loading of bone. Because mechanical loading upregulated gene expression of MEPE but not PHEX, possibly resulting in the upregulation of OPG gene expression, we speculate that MEPE is a soluble factor involved in the inhibition of osteoclastogenesis by osteocytes.","author":[{"dropping-particle":"","family":"Kulkarni","given":"Rishikesh N.","non-dropping-particle":"","parse-names":false,"suffix":""},{"dropping-particle":"","family":"Bakker","given":"Astrid D.","non-dropping-particle":"","parse-names":false,"suffix":""},{"dropping-particle":"","family":"Everts","given":"Vincent","non-dropping-particle":"","parse-names":false,"suffix":""},{"dropping-particle":"","family":"Klein-Nulend","given":"Jenneke","non-dropping-particle":"","parse-names":false,"suffix":""}],"container-title":"Calcified Tissue International","id":"ITEM-10","issued":{"date-parts":[["2010"]]},"page":"461-468","title":"Inhibition of osteoclastogenesis by mechanically loaded osteocytes: Involvement of MEPE","type":"article-journal","volume":"87"},"uris":["http://www.mendeley.com/documents/?uuid=19b6c660-9dc9-4cfd-be71-17123a94a385"]}],"mendeley":{"formattedCitation":"[5–14]","plainTextFormattedCitation":"[5–14]","previouslyFormattedCitation":"[5–14]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[5–14]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In addition to these metabolites, osteocytes produce factors that regulate the sequence of events comprising the process of bone remodeling. Hence, osteocytes are the main source of receptor activator of nuclear factor kappa-Β ligand (RANK-L) and can negatively regulate osteoclast differentiation in response to mechanical loading by downregulating the ratio of RANK-L to osteoprotegerin </w:t>
      </w:r>
      <w:r>
        <w:fldChar w:fldCharType="begin"/>
      </w:r>
      <w:r>
        <w:rPr>
          <w:sz w:val="24"/>
          <w:szCs w:val="24"/>
          <w:rFonts w:cs="Times New Roman" w:ascii="Times New Roman" w:hAnsi="Times New Roman"/>
          <w:lang w:val="en-US"/>
        </w:rPr>
        <w:instrText>ADDIN CSL_CITATION {"citationItems":[{"id":"ITEM-1","itemData":{"DOI":"10.1016/j.bone.2017.04.003","ISSN":"87563282","PMID":"28414140","abstract":"Interleukin (IL)-17 is crucial to osteoclast differentiation and activation. Osteocytes support osteoclast formation and are thought to orchestrate bone remodeling in response to fluid flow. The contribution of IL-17 to osteocyte-related bone resorption remains unclear. Here, we used the osteocyte-like MLO-Y4 cell line to examine the role of IL-17 and fluid flow in osteoclastogenesis. It was the first time to demonstrate that IL-17A promoted MLO-Y4 cell proliferation, enhanced expression of receptor activator of nuclear factor κ-B ligand (RANKL) and tumor necrosis factor-α (TNF-α), and induced osteoclastogenesis when MLO-Y4 cells were co-cultured with bone marrow-derived macrophage (BMM) cells. Additionally, shear stress upregulated osteoprotegerin expression in osteocytes, downregulated the effect of IL-17A on RANKL and TNF-α expression, and attenuated IL-17A-activated osteoclastic differentiation in the co-culture system of MLO-Y4 and BMM cells. Furthermore, we explored the signaling pathways that potentially mediate these effects in osteocytes, and found that the extracellular signal-regulated kinase (ERK)1/2 and signal transducer and activator of transcription (STAT3) pathways were suppressed by IL-17A but induced by fluid flow. EphA2 signaling enhances osteoclastogenesis in osteocytes, and the intercellular reversed EphA2-ephrinA2 signaling from osteocytes to BMM play an important role in IL-17A-dependent osteoclastic differentiation. EphB4 signaling inhibits osteoclastogenesis in osteocytes, and the intercellular reversed EphB4-ephrinB2 signaling from osteocytes to BMM could inhibit IL-17A-dependent osteoclastic differentiation. The current findings suggest that IL-17A as a promoter of bone resorption and fluid shear stress critically regulate bone remodeling via osteocyte-specific signaling pathways. IL-17 modulation-based approaches may be developed as a novel therapeutic strategy for enhancing bone remodeling efficiency and stability.","author":[{"dropping-particle":"","family":"Liao","given":"Chongshan","non-dropping-particle":"","parse-names":false,"suffix":""},{"dropping-particle":"","family":"Cheng","given":"Tianfan","non-dropping-particle":"","parse-names":false,"suffix":""},{"dropping-particle":"","family":"Wang","given":"Shuai","non-dropping-particle":"","parse-names":false,"suffix":""},{"dropping-particle":"","family":"Zhang","given":"Chengfei","non-dropping-particle":"","parse-names":false,"suffix":""},{"dropping-particle":"","family":"Jin","given":"Lijian","non-dropping-particle":"","parse-names":false,"suffix":""},{"dropping-particle":"","family":"Yang","given":"Yanqi","non-dropping-particle":"","parse-names":false,"suffix":""}],"container-title":"Bone","id":"ITEM-1","issued":{"date-parts":[["2017"]]},"page":"10-20","publisher":"The Authors","title":"Shear stress inhibits IL-17A-mediated induction of osteoclastogenesis via osteocyte pathways","type":"article-journal","volume":"101"},"uris":["http://www.mendeley.com/documents/?uuid=d6778433-ba5a-49d4-b3c5-29f7df3a4c33"]},{"id":"ITEM-2","itemData":{"DOI":"10.1016/j.bone.2007.09.047.Osteocytes","author":[{"dropping-particle":"","family":"You","given":"Lidan","non-dropping-particle":"","parse-names":false,"suffix":""},{"dropping-particle":"","family":"Temiyasathit","given":"Sara","non-dropping-particle":"","parse-names":false,"suffix":""},{"dropping-particle":"","family":"Lee","given":"Peling","non-dropping-particle":"","parse-names":false,"suffix":""},{"dropping-particle":"","family":"Kim","given":"Chi Hyun","non-dropping-particle":"","parse-names":false,"suffix":""},{"dropping-particle":"","family":"Tummala","given":"Padmaja","non-dropping-particle":"","parse-names":false,"suffix":""},{"dropping-particle":"","family":"Yao","given":"Wei","non-dropping-particle":"","parse-names":false,"suffix":""},{"dropping-particle":"","family":"Kingery","given":"Wade","non-dropping-particle":"","parse-names":false,"suffix":""},{"dropping-particle":"","family":"Malone","given":"Amanda M","non-dropping-particle":"","parse-names":false,"suffix":""},{"dropping-particle":"","family":"Kwon","given":"Ronald Y","non-dropping-particle":"","parse-names":false,"suffix":""},{"dropping-particle":"","family":"Jacobs","given":"Christopher R","non-dropping-particle":"","parse-names":false,"suffix":""}],"container-title":"Bone","id":"ITEM-2","issue":"1","issued":{"date-parts":[["2008"]]},"page":"172-179","title":"Osteocytes as Mechanosensors in the Inhibition of Bone Resorption Due to Mechanical Loading","type":"article-journal","volume":"42"},"uris":["http://www.mendeley.com/documents/?uuid=45126e84-dcf7-40e4-87f7-eafb2e2ae2a5"]},{"id":"ITEM-3","itemData":{"DOI":"10.1371/journal.pone.0138189","author":[{"dropping-particle":"","family":"Xiong","given":"Jinhu","non-dropping-particle":"","parse-names":false,"suffix":""},{"dropping-particle":"","family":"Piemontese","given":"Marilina","non-dropping-particle":"","parse-names":false,"suffix":""},{"dropping-particle":"","family":"Onal","given":"Melda","non-dropping-particle":"","parse-names":false,"suffix":""},{"dropping-particle":"","family":"Campbell","given":"Josh","non-dropping-particle":"","parse-names":false,"suffix":""}],"container-title":"PLoS ONE","id":"ITEM-3","issue":"9","issued":{"date-parts":[["2015"]]},"page":"e0138189","title":"Osteocytes, not Osteoblasts or Lining Cells , are the Main Source of the RANKL Required for Osteoclast Formation in Remodeling Bone","type":"article-journal","volume":"10"},"uris":["http://www.mendeley.com/documents/?uuid=3af9e651-776c-4509-802b-1d14ecdddfd6"]}],"mendeley":{"formattedCitation":"[12,13,15]","plainTextFormattedCitation":"[12,13,15]","previouslyFormattedCitation":"[12,13,15]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[12,13,15]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Osteocyte mechanosensing  also downregulates the production of sclerostin that subsequently activates bone formation following mechanical forces </w:t>
      </w:r>
      <w:r>
        <w:fldChar w:fldCharType="begin"/>
      </w:r>
      <w:r>
        <w:rPr>
          <w:sz w:val="24"/>
          <w:szCs w:val="24"/>
          <w:rFonts w:cs="Times New Roman" w:ascii="Times New Roman" w:hAnsi="Times New Roman"/>
          <w:lang w:val="en-US"/>
        </w:rPr>
        <w:instrText>ADDIN CSL_CITATION {"citationItems":[{"id":"ITEM-1","itemData":{"DOI":"10.1074/jbc.M705092200","ISBN":"0021-9258 (Print) 0021-9258 (Linking)","ISSN":"00219258","PMID":"18089564","abstract":"Sclerostin, the protein product of the Sost gene, is a potent inhibitor of bone formation. Among bone cells, sclerostin is found nearly exclusively in the osteocytes, the cell type that historically has been implicated in sensing and initiating mechanical signaling. The recent discovery of the antagonistic effects of sclerostin on Lrp5 receptor signaling, a crucial mediator of skeletal mechanotransduction, provides a potential mechanism for the osteocytes to control mechanotransduction, by adjusting their sclerostin (Wnt inhibitory) signal output to modulate Wnt signaling in the effector cell population. We investigated the mechanoregulation of Sost and sclerostin under enhanced (ulnar loading) and reduced (hindlimb unloading) loading conditions. Sost transcripts and sclerostin protein levels were dramatically reduced by ulnar loading. Portions of the ulnar cortex receiving a greater strain stimulus were associated with a greater reduction in Sost staining intensity and sclerostin-positive osteocytes (revealed via in situ hybridization and immunohistochemistry, respectively) than were lower strain portions of the tissue. Hindlimb unloading yielded a significant increase in Sost expression in the tibia. Modulation of sclerostin levels appears to be a finely tuned mechanism by which osteocytes coordinate regional and local osteogenesis in response to increased mechanical stimulation, perhaps via releasing the local inhibition of Wnt/Lrp5 signaling.","author":[{"dropping-particle":"","family":"Robling","given":"Alexander G.","non-dropping-particle":"","parse-names":false,"suffix":""},{"dropping-particle":"","family":"Niziolek","given":"Paul J.","non-dropping-particle":"","parse-names":false,"suffix":""},{"dropping-particle":"","family":"Baldridge","given":"Lee A.","non-dropping-particle":"","parse-names":false,"suffix":""},{"dropping-particle":"","family":"Condon","given":"Keith W.","non-dropping-particle":"","parse-names":false,"suffix":""},{"dropping-particle":"","family":"Allen","given":"Matthew R.","non-dropping-particle":"","parse-names":false,"suffix":""},{"dropping-particle":"","family":"Alam","given":"Imranul","non-dropping-particle":"","parse-names":false,"suffix":""},{"dropping-particle":"","family":"Mantila","given":"Sara M.","non-dropping-particle":"","parse-names":false,"suffix":""},{"dropping-particle":"","family":"Gluhak-Heinrich","given":"Jelica","non-dropping-particle":"","parse-names":false,"suffix":""},{"dropping-particle":"","family":"Bellido","given":"Teresita M.","non-dropping-particle":"","parse-names":false,"suffix":""},{"dropping-particle":"","family":"Harris","given":"Stephen E.","non-dropping-particle":"","parse-names":false,"suffix":""},{"dropping-particle":"","family":"Turner","given":"Charles H.","non-dropping-particle":"","parse-names":false,"suffix":""}],"container-title":"Journal of Biological Chemistry","id":"ITEM-1","issue":"9","issued":{"date-parts":[["2008"]]},"page":"5866-5875","title":"Mechanical stimulation of bone in vivo reduces osteocyte expression of Sost/sclerostin","type":"article-journal","volume":"283"},"uris":["http://www.mendeley.com/documents/?uuid=b1bae8c2-3d43-45f8-9a7b-af932790077e"]},{"id":"ITEM-2","itemData":{"DOI":"10.1016/j.bone.2011.10.025.Sost","author":[{"dropping-particle":"","family":"Tu","given":"Xiaolin","non-dropping-particle":"","parse-names":false,"suffix":""},{"dropping-particle":"","family":"Rhee","given":"Yumie","non-dropping-particle":"","parse-names":false,"suffix":""},{"dropping-particle":"","family":"Condon","given":"Keith","non-dropping-particle":"","parse-names":false,"suffix":""},{"dropping-particle":"","family":"Bivi","given":"Nicoletta","non-dropping-particle":"","parse-names":false,"suffix":""},{"dropping-particle":"","family":"Allen","given":"Matthew R","non-dropping-particle":"","parse-names":false,"suffix":""},{"dropping-particle":"","family":"Dwyer","given":"Denise","non-dropping-particle":"","parse-names":false,"suffix":""},{"dropping-particle":"","family":"Stolina","given":"Marina","non-dropping-particle":"","parse-names":false,"suffix":""},{"dropping-particle":"","family":"Turner","given":"Charles H","non-dropping-particle":"","parse-names":false,"suffix":""},{"dropping-particle":"","family":"Robling","given":"Alexander G","non-dropping-particle":"","parse-names":false,"suffix":""},{"dropping-particle":"","family":"Plotkin","given":"Lilian I","non-dropping-particle":"","parse-names":false,"suffix":""},{"dropping-particle":"","family":"Bellido","given":"Teresita","non-dropping-particle":"","parse-names":false,"suffix":""}],"container-title":"Bone","id":"ITEM-2","issue":"1","issued":{"date-parts":[["2012"]]},"page":"209-217","title":"Sost downregulation and local Wnt signaling are required for the osteogenic response to mechanical loading","type":"article-journal","volume":"50"},"uris":["http://www.mendeley.com/documents/?uuid=362ec596-dc39-403c-96e4-02a37f49c768"]},{"id":"ITEM-3","itemData":{"DOI":"10.1074/jbc.M114.628313","author":[{"dropping-particle":"","family":"Spatz","given":"Jordan M","non-dropping-particle":"","parse-names":false,"suffix":""},{"dropping-particle":"","family":"Wein","given":"Marc N","non-dropping-particle":"","parse-names":false,"suffix":""},{"dropping-particle":"","family":"Gooi","given":"Jonathan H","non-dropping-particle":"","parse-names":false,"suffix":""},{"dropping-particle":"","family":"Qu","given":"Yili","non-dropping-particle":"","parse-names":false,"suffix":""},{"dropping-particle":"","family":"Garr","given":"Jenna L","non-dropping-particle":"","parse-names":false,"suffix":""},{"dropping-particle":"","family":"Liu","given":"Shawn","non-dropping-particle":"","parse-names":false,"suffix":""},{"dropping-particle":"","family":"Barry","given":"Kevin J.","non-dropping-particle":"","parse-names":false,"suffix":""},{"dropping-particle":"","family":"Uda","given":"Yuhei","non-dropping-particle":"","parse-names":false,"suffix":""},{"dropping-particle":"","family":"Lai","given":"Forest","non-dropping-particle":"","parse-names":false,"suffix":""},{"dropping-particle":"","family":"Dedic","given":"Christopher","non-dropping-particle":"","parse-names":false,"suffix":""},{"dropping-particle":"","family":"Balcells-camps","given":"Mercedes","non-dropping-particle":"","parse-names":false,"suffix":""},{"dropping-particle":"","family":"Kronenberg","given":"Henry M.","non-dropping-particle":"","parse-names":false,"suffix":""},{"dropping-particle":"","family":"Babij","given":"Philip","non-dropping-particle":"","parse-names":false,"suffix":""},{"dropping-particle":"","family":"Pajevic","given":"Paola Divieti","non-dropping-particle":"","parse-names":false,"suffix":""}],"container-title":"J Biol Chem","id":"ITEM-3","issued":{"date-parts":[["2015"]]},"title":"The Wnt-inhibitor Sclerostin is Up-regulated by Mechanical Unloading in Osteocytes in-vitro","type":"article-journal"},"uris":["http://www.mendeley.com/documents/?uuid=00356cb5-89ee-4011-8d01-234c9f072896"]}],"mendeley":{"formattedCitation":"[16–18]","plainTextFormattedCitation":"[16–18]","previouslyFormattedCitation":"[16–18]"},"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[16–18]</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Among the signaling pathways implicated in mechanotransduction, mechanical loading rapidly activates Wnt/β-catenin signaling in osteocytes via a prostaglandin-mediated mechanism </w:t>
      </w:r>
      <w:r>
        <w:fldChar w:fldCharType="begin"/>
      </w:r>
      <w:r>
        <w:rPr>
          <w:sz w:val="24"/>
          <w:szCs w:val="24"/>
          <w:rFonts w:cs="Times New Roman" w:ascii="Times New Roman" w:hAnsi="Times New Roman"/>
          <w:lang w:val="en-US"/>
        </w:rPr>
        <w:instrText>ADDIN CSL_CITATION {"citationItems":[{"id":"ITEM-1","itemData":{"DOI":"10.1016/j.bone.2015.03.019","ISSN":"8756-3282","author":[{"dropping-particle":"","family":"Lara-castillo","given":"N","non-dropping-particle":"","parse-names":false,"suffix":""},{"dropping-particle":"","family":"Kim-weroha","given":"N A","non-dropping-particle":"","parse-names":false,"suffix":""},{"dropping-particle":"","family":"Kamel","given":"M A","non-dropping-particle":"","parse-names":false,"suffix":""},{"dropping-particle":"","family":"Javaheri","given":"B","non-dropping-particle":"","parse-names":false,"suffix":""},{"dropping-particle":"","family":"Ellies","given":"D L","non-dropping-particle":"","parse-names":false,"suffix":""},{"dropping-particle":"","family":"Krumlauf","given":"R E","non-dropping-particle":"","parse-names":false,"suffix":""},{"dropping-particle":"","family":"Thiagarajan","given":"G","non-dropping-particle":"","parse-names":false,"suffix":""},{"dropping-particle":"","family":"Johnson","given":"M L","non-dropping-particle":"","parse-names":false,"suffix":""}],"container-title":"Bone","id":"ITEM-1","issued":{"date-parts":[["2015"]]},"publisher":"Elsevier Inc.","title":"In vivo mechanical loading rapidly activates β -catenin signaling in osteocytes through a prostaglandin mediated mechanism","type":"article-journal"},"uris":["http://www.mendeley.com/documents/?uuid=91ba1bd5-99bb-4997-8727-85fb1b0abe92"]}],"mendeley":{"formattedCitation":"[19]","plainTextFormattedCitation":"[19]","previouslyFormattedCitation":"[19]"},"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[19]</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Yes associated protein (YAP)  and transcriptional coactivator with PDZ-binding motif (TAZ) were first discovered in Drosophila and described as the main regulators of organ growth during development </w:t>
      </w:r>
      <w:r>
        <w:fldChar w:fldCharType="begin"/>
      </w:r>
      <w:r>
        <w:rPr>
          <w:sz w:val="24"/>
          <w:szCs w:val="24"/>
          <w:rFonts w:cs="Times New Roman" w:ascii="Times New Roman" w:hAnsi="Times New Roman"/>
          <w:lang w:val="en-US"/>
        </w:rPr>
        <w:instrText>ADDIN CSL_CITATION {"citationItems":[{"id":"ITEM-1","itemData":{"DOI":"10.1016/j.cell.2007.07.019","ISBN":"0092-8674 (Print)","ISSN":"00928674","PMID":"17889654","abstract":"Coordination of cell proliferation and cell death is essential to attain proper organ size during development and for maintaining tissue homeostasis throughout postnatal life. In Drosophila, these two processes are orchestrated by the Hippo kinase cascade, a growth-suppressive pathway that ultimately antagonizes the transcriptional coactivator Yorkie (Yki). Here we demonstrate that a single phosphorylation site in Yki mediates the growth-suppressive output of the Hippo pathway. Hippo-mediated phosphorylation inactivates Yki by excluding it from the nucleus, whereas loss of Hippo signaling leads to nuclear accumulation and therefore increased Yki activity. We further delineate a mammalian Hippo signaling pathway that culminates in the phosphorylation of YAP, the mammalian homolog of Yki. Using a conditional YAP transgenic mouse model, we demonstrate that the mammalian Hippo pathway is a potent regulator of organ size, and that its dysregulation leads to tumorigenesis. These results uncover a universal size-control mechanism in metazoan. © 2007 Elsevier Inc. All rights reserved.","author":[{"dropping-particle":"","family":"Dong","given":"Jixin","non-dropping-particle":"","parse-names":false,"suffix":""},{"dropping-particle":"","family":"Feldmann","given":"Georg","non-dropping-particle":"","parse-names":false,"suffix":""},{"dropping-particle":"","family":"Huang","given":"Jianbin","non-dropping-particle":"","parse-names":false,"suffix":""},{"dropping-particle":"","family":"Wu","given":"Shian","non-dropping-particle":"","parse-names":false,"suffix":""},{"dropping-particle":"","family":"Zhang","given":"Nailing","non-dropping-particle":"","parse-names":false,"suffix":""},{"dropping-particle":"","family":"Comerford","given":"Sarah A.","non-dropping-particle":"","parse-names":false,"suffix":""},{"dropping-particle":"","family":"Gayyed","given":"Mariana F","non-dropping-particle":"","parse-names":false,"suffix":""},{"dropping-particle":"","family":"Anders","given":"Robert A.","non-dropping-particle":"","parse-names":false,"suffix":""},{"dropping-particle":"","family":"Maitra","given":"Anirban","non-dropping-particle":"","parse-names":false,"suffix":""},{"dropping-particle":"","family":"Pan","given":"Duojia","non-dropping-particle":"","parse-names":false,"suffix":""}],"container-title":"Cell","id":"ITEM-1","issue":"6","issued":{"date-parts":[["2007"]]},"page":"1120-1133","title":"Elucidation of a Universal Size-Control Mechanism in Drosophila and Mammals","type":"article-journal","volume":"130"},"uris":["http://www.mendeley.com/documents/?uuid=ced0cd88-f12c-3998-a075-ebedd4274742"]},{"id":"ITEM-2","itemData":{"DOI":"10.1101/gad.1536007","ISBN":"0890-9369","ISSN":"08909369","PMID":"17437995","abstract":"The control of organ (or organism) size is a fundamental aspect of life that has long captured human imagination. What makes an elephant grow a million times larger than a mouse? How do our two hands develop independently of each other yet reach very similar size? How does a liver precisely regenerate its original mass when two-thirds of it is removed? The recent discovery of a novel signaling network in Drosophila, known as the Hippo (Hpo) pathway, might provide an important entry point to these fascinating questions. The Hpo pathway consists of several negative growth regulators acting in a kinase cascade that ultimately phosphorylates and inactivates Yorkie (Yki), a transcriptional coactivator that positively regulates cell growth, survival, and proliferation. Components of the Hpo pathway are highly conserved throughout evolution, suggesting that this pathway may function as a global regulator of tissue homeostasis in all metazoan animals. Here, I provide a historical review of this potent growth-regulatory pathway and highlight outstanding questions that will likely be the focus of future investigation.","author":[{"dropping-particle":"","family":"Pan","given":"Duojia","non-dropping-particle":"","parse-names":false,"suffix":""}],"container-title":"Genes and Development","id":"ITEM-2","issued":{"date-parts":[["2007"]]},"page":"886-897","title":"Hippo signaling in organ size control","type":"article-journal","volume":"21"},"uris":["http://www.mendeley.com/documents/?uuid=1e7ca6e3-b19d-3d83-b9bf-dd86ea0990bc"]}],"mendeley":{"formattedCitation":"[20,21]","plainTextFormattedCitation":"[20,21]","previouslyFormattedCitation":"[20,21]"},"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[20,21]</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YAP/TAZ is regulated by mechanical and cytoskeletal cues and acts as a mechanotransducer  controlling cell fate in response to the properties of the cellular microenvironment </w:t>
      </w:r>
      <w:r>
        <w:fldChar w:fldCharType="begin"/>
      </w:r>
      <w:r>
        <w:rPr>
          <w:sz w:val="24"/>
          <w:szCs w:val="24"/>
          <w:rFonts w:cs="Times New Roman" w:ascii="Times New Roman" w:hAnsi="Times New Roman"/>
          <w:lang w:val="en-US"/>
        </w:rPr>
        <w:instrText>ADDIN CSL_CITATION {"citationItems":[{"id":"ITEM-1","itemData":{"DOI":"10.1038/nrm3416","ISBN":"1471-0080 (Electronic)\\n1471-0072 (Linking)","ISSN":"1471-0072","PMID":"22895435","abstract":"Nature Reviews Molecular Cell Biology 13, 591 (2012). doi:10.1038/nrm3416","author":[{"dropping-particle":"","family":"Halder","given":"Georg","non-dropping-particle":"","parse-names":false,"suffix":""},{"dropping-particle":"","family":"Dupont","given":"Sirio","non-dropping-particle":"","parse-names":false,"suffix":""},{"dropping-particle":"","family":"Piccolo","given":"Stefano","non-dropping-particle":"","parse-names":false,"suffix":""}],"container-title":"Nature Reviews Molecular Cell Biology","id":"ITEM-1","issued":{"date-parts":[["2012"]]},"page":"591-600","publisher":"Nature Publishing Group","title":"Transduction of mechanical and cytoskeletal cues by YAP and TAZ","type":"article-journal","volume":"13"},"uris":["http://www.mendeley.com/documents/?uuid=e435f2c2-da3b-414a-a2c1-17dbd431335f"]},{"id":"ITEM-2","itemData":{"DOI":"10.1002/aur.1474.Replication","ISBN":"0000000000000","ISSN":"1527-5418","PMID":"24655651","author":[{"dropping-particle":"","family":"Hansen","given":"Carsten Gram","non-dropping-particle":"","parse-names":false,"suffix":""},{"dropping-particle":"","family":"Moroishi","given":"Toshiro","non-dropping-particle":"","parse-names":false,"suffix":""},{"dropping-particle":"","family":"Guan","given":"Kun-Liang","non-dropping-particle":"","parse-names":false,"suffix":""}],"container-title":"Trends Cell Biol","id":"ITEM-2","issue":"9","issued":{"date-parts":[["2015"]]},"page":"499-513","title":"YAP and TAZ: a nexus for Hippo signaling and beyond","type":"article-journal","volume":"25"},"uris":["http://www.mendeley.com/documents/?uuid=1212466a-3236-45f8-aff9-70cf1c2df975"]}],"mendeley":{"formattedCitation":"[22,23]","plainTextFormattedCitation":"[22,23]","previouslyFormattedCitation":"[22,23]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[22,23]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Indeed, large adhesive area, stiff matrix, low cell density or mechanical pressure led to the nuclear translocation of YAP/TAZ, thus enabling the control of cell proliferation, differentiation and apoptosis </w:t>
      </w:r>
      <w:r>
        <w:fldChar w:fldCharType="begin"/>
      </w:r>
      <w:r>
        <w:rPr>
          <w:sz w:val="24"/>
          <w:szCs w:val="24"/>
          <w:rFonts w:cs="Times New Roman" w:ascii="Times New Roman" w:hAnsi="Times New Roman"/>
          <w:lang w:val="en-US"/>
        </w:rPr>
        <w:instrText>ADDIN CSL_CITATION {"citationItems":[{"id":"ITEM-1","itemData":{"DOI":"10.1038/nrm.2017.87","ISSN":"1471-0072","author":[{"dropping-particle":"","family":"Panciera","given":"Tito","non-dropping-particle":"","parse-names":false,"suffix":""},{"dropping-particle":"","family":"Azzolin","given":"Luca","non-dropping-particle":"","parse-names":false,"suffix":""},{"dropping-particle":"","family":"Cordenonsi","given":"Michelangelo","non-dropping-particle":"","parse-names":false,"suffix":""},{"dropping-particle":"","family":"Piccolo","given":"Stefano","non-dropping-particle":"","parse-names":false,"suffix":""}],"container-title":"Nature Publishing Group","id":"ITEM-1","issued":{"date-parts":[["2017"]]},"page":"758-770","publisher":"Nature Publishing Group","title":"Mechanobiology of YAP and TAZ in physiology and disease","type":"article-journal","volume":"18"},"uris":["http://www.mendeley.com/documents/?uuid=d91083c0-5b72-41dd-912f-b2aee3bd51ef"]}],"mendeley":{"formattedCitation":"[24]","plainTextFormattedCitation":"[24]","previouslyFormattedCitation":"[24]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Nuclear YAP/TAZ acts as a transcriptional co-activator because it can interact with transcription factors, mainly the members of the TEA domain transcription factor family (TEAD) </w:t>
      </w:r>
      <w:r>
        <w:fldChar w:fldCharType="begin"/>
      </w:r>
      <w:r>
        <w:rPr>
          <w:sz w:val="24"/>
          <w:szCs w:val="24"/>
          <w:rFonts w:cs="Times New Roman" w:ascii="Times New Roman" w:hAnsi="Times New Roman"/>
          <w:lang w:val="en-US"/>
        </w:rPr>
        <w:instrText>ADDIN CSL_CITATION {"citationItems":[{"id":"ITEM-1","itemData":{"ISSN":"1976-670X","PMID":"29366442","abstract":"Hippo signaling plays critical roles in regulation of tissue homeostasis, organ size, and tumorigenesis by inhibiting YES-associated protein (YAP) and PDZ-binding protein TAZ through MST1/2 and LATS1/2 pathway. It is also engaged in cross-talk with various other signaling pathways, including WNT, BMPs, Notch, GPCRs, and Hedgehog to further modulate activities of YAP/TAZ. Because YAP and TAZ are transcriptional coactivators that lack DNA-binding activity, both proteins must interact with DNA-binding transcription factors to regulate target gene's expression. To activate target genes involved in cell proliferation, TEAD family members are major DNA-binding partners of YAP/TAZ. Accordingly, YAP/TAZ were originally classified as oncogenes. However, YAP might also play tumor-suppressing role. For example, YAP can bind to DNA-binding tumor suppressors including RUNXs and p73. Thus, YAP might act either as an oncogene or tumor suppressor depending on its binding partners. Here, we summarize roles of YAP depending on its DNA-binding partners and discuss context-dependent functions of YAP/TAZ.","author":[{"dropping-particle":"","family":"Kim","given":"Min-kyu","non-dropping-particle":"","parse-names":false,"suffix":""},{"dropping-particle":"","family":"Jang","given":"Ju-Won","non-dropping-particle":"","parse-names":false,"suffix":""},{"dropping-particle":"","family":"Bae","given":"Suk-Chul","non-dropping-particle":"","parse-names":false,"suffix":""}],"container-title":"BMB reports","id":"ITEM-1","issue":"3","issued":{"date-parts":[["2018"]]},"page":"126-133","title":"DNA binding partners of YAP/TAZ.","type":"article-journal","volume":"51"},"uris":["http://www.mendeley.com/documents/?uuid=d1177913-c419-4716-90f2-dab92a40c4c1"]}],"mendeley":{"formattedCitation":"[25]","plainTextFormattedCitation":"[25]","previouslyFormattedCitation":"[25]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YAP/TAZ activity is controlled at multiple levels, notably via its phosphorylation, which induces its cytoplasmic or membrane shuttling, and subsequent degradation by the proteasome </w:t>
      </w:r>
      <w:r>
        <w:fldChar w:fldCharType="begin"/>
      </w:r>
      <w:r>
        <w:rPr>
          <w:sz w:val="24"/>
          <w:szCs w:val="24"/>
          <w:rFonts w:cs="Times New Roman" w:ascii="Times New Roman" w:hAnsi="Times New Roman"/>
          <w:lang w:val="en-US"/>
        </w:rPr>
        <w:instrText>ADDIN CSL_CITATION {"citationItems":[{"id":"ITEM-1","itemData":{"DOI":"10.1152/physrev.00005.2014","ISBN":"1522-1210 (Electronic)\\r0031-9333 (Linking)","ISSN":"1522-1210","PMID":"25287865","abstract":"The transcriptional regulators YAP and TAZ are the focus of intense interest given their remarkable biological properties in development, tissue homeostasis and cancer. YAP and TAZ activity is key for the growth of whole organs, for amplification of tissue-specific progenitor cells during tissue renewal and regeneration, and for cell proliferation. In tumors, YAP/TAZ can reprogram cancer cells into cancer stem cells and incite tumor initiation, progression and metastasis. As such, YAP/TAZ are appealing therapeutic targets in cancer and regenerative medicine. Just like the function of YAP/TAZ offers a molecular entry point into the mysteries of tissue biology, their regulation by upstream cues is equally captivating. YAP/TAZ are well known for being the effectors of the Hippo signaling cascade, and mouse mutants in Hippo pathway components display remarkable phenotypes of organ overgrowth, enhanced stem cell content and reduced cellular differentiation. YAP/TAZ are primary sensors of the cell's physical nature, as defined by cell structure, shape and polarity. YAP/TAZ activation also reflects the cell \"social\" behavior, including cell adhesion and the mechanical signals that the cell receives from tissue architecture and surrounding extracellular matrix (ECM). At the same time, YAP/TAZ entertain relationships with morphogenetic signals, such as Wnt growth factors, and are also regulated by Rho, GPCRs and mevalonate metabolism. YAP/TAZ thus appear at the centerpiece of a signaling nexus by which cells take control of their behavior according to their own shape, spatial location and growth factor context.","author":[{"dropping-particle":"","family":"Piccolo","given":"Stefano","non-dropping-particle":"","parse-names":false,"suffix":""},{"dropping-particle":"","family":"Dupont","given":"Sirio","non-dropping-particle":"","parse-names":false,"suffix":""},{"dropping-particle":"","family":"Cordenonsi","given":"Michelangelo","non-dropping-particle":"","parse-names":false,"suffix":""}],"container-title":"Physiological reviews","id":"ITEM-1","issued":{"date-parts":[["2014"]]},"page":"1287-312","title":"The biology of YAP/TAZ: hippo signaling and beyond.","type":"article-journal","volume":"94"},"uris":["http://www.mendeley.com/documents/?uuid=e4dcc826-30b5-443f-a7bc-a3bbdfc0acda"]}],"mendeley":{"formattedCitation":"[26]","plainTextFormattedCitation":"[26]","previouslyFormattedCitation":"[26]"},"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[26]</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These regulations are mediated directly by cellular contact, matrix properties or soluble factors and indirectly by YAP/TAZ phosphorylation mediated by the core Hippo kinase cassette, mammalian Ste20-like ½ (MST1/2) and large tumor suppressor kinase ½ (LATS1/2).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YAP/TAZ interacts with different signaling pathways that are implicated in osteoblastogenesis, such as the transforming growth factor β/ bone morphogenetic protein pathway and  Wnt/β-catenin signaling </w:t>
      </w:r>
      <w:r>
        <w:fldChar w:fldCharType="begin"/>
      </w:r>
      <w:r>
        <w:rPr>
          <w:sz w:val="24"/>
          <w:szCs w:val="24"/>
          <w:rFonts w:cs="Times New Roman" w:ascii="Times New Roman" w:hAnsi="Times New Roman"/>
          <w:lang w:val="en-US"/>
        </w:rPr>
        <w:instrText>ADDIN CSL_CITATION {"citationItems":[{"id":"ITEM-1","itemData":{"DOI":"10.1016/j.exer.2013.06.012.What","author":[{"dropping-particle":"","family":"Morgan","given":"Joshua T.","non-dropping-particle":"","parse-names":false,"suffix":""},{"dropping-particle":"","family":"Murphy","given":"Christopher J.","non-dropping-particle":"","parse-names":false,"suffix":""},{"dropping-particle":"","family":"Russell","given":"Paul","non-dropping-particle":"","parse-names":false,"suffix":""}],"container-title":"Exp Eye Res","id":"ITEM-1","issued":{"date-parts":[["2013"]]},"page":"1-12","title":"What do mechanotransduction, Hippo, Wnt, and TGF β have in common? YAP and TAZ as key orchestrating molecules in ocular health and disease","type":"article-journal"},"uris":["http://www.mendeley.com/documents/?uuid=8cf38eb6-8f71-42d4-932e-e0bea56934b7"]},{"id":"ITEM-2","itemData":{"DOI":"10.1016/j.cell.2014.06.013","ISBN":"1097-4172 (Electronic)\\r0092-8674 (Linking)","ISSN":"10974172","PMID":"24976009","abstract":"The Hippo transducers YAP/TAZ have been shown to play positive, as well as negative, roles in Wnt signaling, but the underlying mechanisms remain unclear. Here, we provide biochemical, functional, and genetic evidence that YAP and TAZ are integral components of the ??-catenin destruction complex that serves as cytoplasmic sink for YAP/TAZ. In Wnt-ON cells, YAP/TAZ are physically dislodged from the destruction complex, allowing their nuclear accumulation and activation of Wnt/YAP/TAZ-dependent biological effects. YAP/TAZ are required for intestinal crypt overgrowth induced by APC deficiency and for crypt regeneration ex vivo. In Wnt-OFF cells, YAP/TAZ are essential for ??-TrCP recruitment to the complex and ??-catenin inactivation. In Wnt-ON cells, release of YAP/TAZ from the complex is instrumental for Wnt/??-catenin signaling. In line, the ??-catenin-dependent maintenance of ES cells in an undifferentiated state is sustained by loss of YAP/TAZ. This work reveals an unprecedented signaling framework relevant for organ size control, regeneration, and tumor suppression. ?? 2014 Elsevier Inc.","author":[{"dropping-particle":"","family":"Azzolin","given":"Luca","non-dropping-particle":"","parse-names":false,"suffix":""},{"dropping-particle":"","family":"Panciera","given":"Tito","non-dropping-particle":"","parse-names":false,"suffix":""},{"dropping-particle":"","family":"Soligo","given":"Sandra","non-dropping-particle":"","parse-names":false,"suffix":""},{"dropping-particle":"","family":"Enzo","given":"Elena","non-dropping-particle":"","parse-names":false,"suffix":""},{"dropping-particle":"","family":"Bicciato","given":"Silvio","non-dropping-particle":"","parse-names":false,"suffix":""},{"dropping-particle":"","family":"Dupont","given":"Sirio","non-dropping-particle":"","parse-names":false,"suffix":""},{"dropping-particle":"","family":"Bresolin","given":"Silvia","non-dropping-particle":"","parse-names":false,"suffix":""},{"dropping-particle":"","family":"Frasson","given":"Chiara","non-dropping-particle":"","parse-names":false,"suffix":""},{"dropping-particle":"","family":"Basso","given":"Giuseppe","non-dropping-particle":"","parse-names":false,"suffix":""},{"dropping-particle":"","family":"Guzzardo","given":"Vincenza","non-dropping-particle":"","parse-names":false,"suffix":""},{"dropping-particle":"","family":"Fassina","given":"Ambrogio","non-dropping-particle":"","parse-names":false,"suffix":""},{"dropping-particle":"","family":"Cordenonsi","given":"Michelangelo","non-dropping-particle":"","parse-names":false,"suffix":""},{"dropping-particle":"","family":"Piccolo","given":"Stefano","non-dropping-particle":"","parse-names":false,"suffix":""}],"container-title":"Cell","id":"ITEM-2","issued":{"date-parts":[["2014"]]},"page":"157-170","publisher":"Elsevier Inc.","title":"YAP/TAZ incorporation in the B-catenin destruction complex orchestrates the Wnt response","type":"article-journal","volume":"158"},"uris":["http://www.mendeley.com/documents/?uuid=b50b745d-6324-4df6-aa2f-726a836abb27"]},{"id":"ITEM-3","itemData":{"DOI":"10.1016/j.devcel.2010.03.007","ISBN":"1878-1551 (Electronic)\\r1534-5807 (Linking)","ISSN":"15345807","PMID":"20412773","abstract":"Several developmental pathways contribute to processes that regulate tissue growth and organ size. The Hippo pathway has emerged as one such critical regulator. However, how Hippo signaling is integrated with other pathways to coordinate these processes remains unclear. Here, we show that the Hippo pathway restricts Wnt/??-Catenin signaling by promoting an interaction between TAZ and DVL in the cytoplasm. TAZ inhibits the CK1??/e{open}-mediated phosphorylation of DVL, thereby inhibiting Wnt/??-Catenin signaling. Abrogation of TAZ levels or Hippo signaling enhances Wnt3A-stimulated DVL phosphorylation, nuclear ??-Catenin, and Wnt target gene expression. Mice lacking Taz develop polycystic kidneys with enhanced cytoplasmic and nuclear ??-Catenin. Moreover, in Drosophila, Hippo signaling modulates Wg target gene expression. These results uncover a cytoplasmic function of TAZ in regulating Wnt signaling and highlight the role of the Hippo pathway in coordinating morphogenetic signaling with growth control. ?? 2010 Elsevier Inc.","author":[{"dropping-particle":"","family":"Varelas","given":"Xaralabos","non-dropping-particle":"","parse-names":false,"suffix":""},{"dropping-particle":"","family":"Miller","given":"Bryan W.","non-dropping-particle":"","parse-names":false,"suffix":""},{"dropping-particle":"","family":"Sopko","given":"Richelle","non-dropping-particle":"","parse-names":false,"suffix":""},{"dropping-particle":"","family":"Song","given":"Siyuan","non-dropping-particle":"","parse-names":false,"suffix":""},{"dropping-particle":"","family":"Gregorieff","given":"Alex","non-dropping-particle":"","parse-names":false,"suffix":""},{"dropping-particle":"","family":"Fellouse","given":"Frederic A.","non-dropping-particle":"","parse-names":false,"suffix":""},{"dropping-particle":"","family":"Sakuma","given":"Rui","non-dropping-particle":"","parse-names":false,"suffix":""},{"dropping-particle":"","family":"Pawson","given":"Tony","non-dropping-particle":"","parse-names":false,"suffix":""},{"dropping-particle":"","family":"Hunziker","given":"Walter","non-dropping-particle":"","parse-names":false,"suffix":""},{"dropping-particle":"","family":"McNeill","given":"Helen","non-dropping-particle":"","parse-names":false,"suffix":""},{"dropping-particle":"","family":"Wrana","given":"Jeffrey L.","non-dropping-particle":"","parse-names":false,"suffix":""},{"dropping-particle":"","family":"Attisano","given":"Liliana","non-dropping-particle":"","parse-names":false,"suffix":""}],"container-title":"Developmental Cell","id":"ITEM-3","issued":{"date-parts":[["2010"]]},"page":"579-591","title":"The Hippo Pathway Regulates Wnt/B-Catenin Signaling","type":"article-journal","volume":"18"},"uris":["http://www.mendeley.com/documents/?uuid=a9dab67d-ff87-3b88-8e02-f6dbbdd9172c"]}],"mendeley":{"formattedCitation":"[27–29]","plainTextFormattedCitation":"[27–29]","previouslyFormattedCitation":"[27–29]"},"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[27–29]</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Emerging evidence suggests that YAP/TAZ plays a role in mechanosensitivity during osteoblastogenesis. YAP/TAZ has been shown to induce the commitment of mesenchymal stem cells toward the osteoblast lineage by inhibiting adipogenesis and chondrogenesis, particularly in response to fluid shear stress or low cell density </w:t>
      </w:r>
      <w:r>
        <w:fldChar w:fldCharType="begin"/>
      </w:r>
      <w:r>
        <w:rPr>
          <w:sz w:val="24"/>
          <w:szCs w:val="24"/>
          <w:rFonts w:cs="Times New Roman" w:ascii="Times New Roman" w:hAnsi="Times New Roman"/>
          <w:lang w:val="en-US"/>
        </w:rPr>
        <w:instrText>ADDIN CSL_CITATION {"citationItems":[{"id":"ITEM-1","itemData":{"DOI":"10.1126/science.1110955","ISBN":"1095-9203 (Electronic)","ISSN":"0036-8075","PMID":"16099986","abstract":"Mesenchymal stem cells (MSCs) are a pluripotent cell type that can differentiate into several distinct lineages. Two key transcription factors, Runx2 and peroxisome proliferator-activated receptor gamma (PPARgamma), drive MSCs to differentiate into either osteoblasts or adipocytes, respectively. How these two transcription factors are regulated in order to specify these alternate cell fates remains a pivotal question. Here we report that a 14-3-3-binding protein, TAZ (transcriptional coactivator with PDZ-binding motif), coactivates Runx2-dependent gene transcription while repressing PPARgamma-dependent gene transcription. By modulating TAZ expression in model cell lines, mouse embryonic fibroblasts, and primary MSCs in culture and in zebrafish in vivo, we observed alterations in osteogenic versus adipogenic potential. These results indicate that TAZ functions as a molecular rheostat that modulates MSC differentiation.","author":[{"dropping-particle":"","family":"Hong","given":"Jeong-ho","non-dropping-particle":"","parse-names":false,"suffix":""},{"dropping-particle":"","family":"Hong","given":"Jeong-ho","non-dropping-particle":"","parse-names":false,"suffix":""},{"dropping-particle":"","family":"Hwang","given":"Eun Sook","non-dropping-particle":"","parse-names":false,"suffix":""},{"dropping-particle":"","family":"McManus","given":"Michael T","non-dropping-particle":"","parse-names":false,"suffix":""},{"dropping-particle":"","family":"Amsterdam","given":"Adam","non-dropping-particle":"","parse-names":false,"suffix":""},{"dropping-particle":"","family":"Tian","given":"Yu","non-dropping-particle":"","parse-names":false,"suffix":""},{"dropping-particle":"","family":"Kalmukova","given":"Ralitsa","non-dropping-particle":"","parse-names":false,"suffix":""},{"dropping-particle":"","family":"Mueller","given":"Elisabetta","non-dropping-particle":"","parse-names":false,"suffix":""},{"dropping-particle":"","family":"Benjamin","given":"Thomas","non-dropping-particle":"","parse-names":false,"suffix":""},{"dropping-particle":"","family":"Spiegelman","given":"Bruce M","non-dropping-particle":"","parse-names":false,"suffix":""},{"dropping-particle":"","family":"Sharp","given":"Phillip a","non-dropping-particle":"","parse-names":false,"suffix":""},{"dropping-particle":"","family":"Hopkins","given":"Nancy","non-dropping-particle":"","parse-names":false,"suffix":""},{"dropping-particle":"","family":"Yaffe","given":"Michael B","non-dropping-particle":"","parse-names":false,"suffix":""},{"dropping-particle":"","family":"Hong","given":"Jeong-ho","non-dropping-particle":"","parse-names":false,"suffix":""},{"dropping-particle":"","family":"Hwang","given":"Eun Sook","non-dropping-particle":"","parse-names":false,"suffix":""},{"dropping-particle":"","family":"McManus","given":"Michael T","non-dropping-particle":"","parse-names":false,"suffix":""},{"dropping-particle":"","family":"Amsterdam","given":"Adam","non-dropping-particle":"","parse-names":false,"suffix":""},{"dropping-particle":"","family":"Tian","given":"Yu","non-dropping-particle":"","parse-names":false,"suffix":""},{"dropping-particle":"","family":"Kalmukova","given":"Ralitsa","non-dropping-particle":"","parse-names":false,"suffix":""},{"dropping-particle":"","family":"Mueller","given":"Elisabetta","non-dropping-particle":"","parse-names":false,"suffix":""},{"dropping-particle":"","family":"Benjamin","given":"Thomas","non-dropping-particle":"","parse-names":false,"suffix":""},{"dropping-particle":"","family":"Spiegelman","given":"Bruce M","non-dropping-particle":"","parse-names":false,"suffix":""},{"dropping-particle":"","family":"Sharp","given":"Phillip a","non-dropping-particle":"","parse-names":false,"suffix":""},{"dropping-particle":"","family":"Hopkins","given":"Nancy","non-dropping-particle":"","parse-names":false,"suffix":""},{"dropping-particle":"","family":"Yaffe","given":"Michael B","non-dropping-particle":"","parse-names":false,"suffix":""}],"container-title":"Science Reports","id":"ITEM-1","issued":{"date-parts":[["2005"]]},"page":"1074-1078","title":"TAZ, a transcriptional modulator of mesenchymal stem cell differentiation.","type":"article-journal","volume":"309"},"uris":["http://www.mendeley.com/documents/?uuid=b68f23b7-1f8d-4873-a654-673512375539"]},{"id":"ITEM-2","itemData":{"DOI":"10.1080/15384101.2017.1280643","ISSN":"1538-4101","author":[{"dropping-particle":"","family":"Tang","given":"Yi","non-dropping-particle":"","parse-names":false,"suffix":""},{"dropping-particle":"","family":"Weiss","given":"Stephen J.","non-dropping-particle":"","parse-names":false,"suffix":""}],"container-title":"Cell Cycle","id":"ITEM-2","issue":"5","issued":{"date-parts":[["2017"]]},"page":"399-405","publisher":"Taylor &amp; Francis","title":"Snail/Slug-YAP/TAZ complexes cooperatively regulate mesenchymal stem cell function and bone formation","type":"article-journal","volume":"16"},"uris":["http://www.mendeley.com/documents/?uuid=b6fb672a-ea71-49e3-88f6-7fc51490c848"]},{"id":"ITEM-3","itemData":{"DOI":"10.1371/journal.pone.0092427","ISBN":"1932-6203 (Electronic)\\n1932-6203 (Linking)","ISSN":"19326203","PMID":"24658423","abstract":"Shear stress activates cellular signaling involved in cellular proliferation, differentiation, and migration. However, the mechanisms of mesenchymal stem cell (MSC) differentiation under interstitial flow are not fully understood. Here, we show the increased osteogenic differentiation of MSCs under exposure to constant, extremely low shear stress created by osmotic pressure-induced flow in a microfluidic chip. The interstitial level of shear stress in the proposed microfluidic system stimulated nuclear localization of TAZ (transcriptional coactivator with PDZ-binding motif), a transcriptional modulator of MSCs, activated TAZ target genes such as CTGF and Cyr61, and induced osteogenic differentiation. TAZ-depleted cells showed defects in shear stress-induced osteogenic differentiation. In shear stress induced cellular signaling, Rho signaling pathway was important forthe nuclear localization of TAZ. Taken together, these results suggest that TAZ is an important mediator of interstitial flow-driven shear stress signaling in osteoblast differentiation of MSCs.","author":[{"dropping-particle":"","family":"Kim","given":"Kyung Min","non-dropping-particle":"","parse-names":false,"suffix":""},{"dropping-particle":"","family":"Choi","given":"Yoon Jung","non-dropping-particle":"","parse-names":false,"suffix":""},{"dropping-particle":"","family":"Hwang","given":"Jun Ha","non-dropping-particle":"","parse-names":false,"suffix":""},{"dropping-particle":"","family":"Kim","given":"A. Rum","non-dropping-particle":"","parse-names":false,"suffix":""},{"dropping-particle":"","family":"Cho","given":"Hang Jun","non-dropping-particle":"","parse-names":false,"suffix":""},{"dropping-particle":"","family":"Hwang","given":"Eun Sook","non-dropping-particle":"","parse-names":false,"suffix":""},{"dropping-particle":"","family":"Park","given":"Joong Yull","non-dropping-particle":"","parse-names":false,"suffix":""},{"dropping-particle":"","family":"Lee","given":"Sang Hoon","non-dropping-particle":"","parse-names":false,"suffix":""},{"dropping-particle":"","family":"Hong","given":"Jeong Ho","non-dropping-particle":"","parse-names":false,"suffix":""}],"container-title":"PLoS ONE","id":"ITEM-3","issue":"3","issued":{"date-parts":[["2014"]]},"page":"e9427","title":"Shear stress induced by an interstitial level of slow flow increases the osteogenic differentiation of mesenchymal stem cells through TAZ activation","type":"article-journal","volume":"9"},"uris":["http://www.mendeley.com/documents/?uuid=37bb9601-6b0d-46c5-add8-504f04f50fdf"]},{"id":"ITEM-4","itemData":{"DOI":"10.1016/S1534-5807(04)00075-9","ISBN":"1534-5807","ISSN":"15345807","PMID":"15068789","abstract":"Commitment of stem cells to different lineages is regulated by many cues in the local tissue microenvironment. Here we demonstrate that cell shape regulates commitment of human mesenchymal stem cells (hMSCs) to adipocyte or osteoblast fate. hMSCs allowed to adhere, flatten, and spread underwent osteogenesis, while unspread, round cells became adipocytes. Cell shape regulated the switch in lineage commitment by modulating endogenous RhoA activity. Expressing dominant-negative RhoA committed hMSCs to become adipocytes, while constitutively active RhoA caused osteogenesis. However, the RhoA-mediated adipogenesis or osteogenesis was conditional on a round or spread shape, respectively, while constitutive activation of the RhoA effector, ROCK, induced osteogenesis independent of cell shape. This RhoA-ROCK commitment signal required actin-myosin-generated tension. These studies demonstrate that mechanical cues experienced in developmental and adult contexts, embodied by cell shape, cytoskeletal tension, and RhoA signaling, are integral to the commitment of stem cell fate. ?? 2004 by Cell Press.","author":[{"dropping-particle":"","family":"McBeath","given":"R","non-dropping-particle":"","parse-names":false,"suffix":""},{"dropping-particle":"","family":"Pirone","given":"D M","non-dropping-particle":"","parse-names":false,"suffix":""},{"dropping-particle":"","family":"Nelson","given":"C M","non-dropping-particle":"","parse-names":false,"suffix":""},{"dropping-particle":"","family":"Bhadriraju","given":"K","non-dropping-particle":"","parse-names":false,"suffix":""},{"dropping-particle":"","family":"Chen","given":"C S","non-dropping-particle":"","parse-names":false,"suffix":""}],"container-title":"Developmental Cell","id":"ITEM-4","issued":{"date-parts":[["2004"]]},"page":"483-495","title":"Cell shape, cytoskeletal tension, and RhoA regulate stemm cell lineage commitment","type":"article-journal","volume":"6"},"uris":["http://www.mendeley.com/documents/?uuid=b3e79dd4-08f2-4b87-954b-f1989da48ecf"]}],"mendeley":{"formattedCitation":"[30–33]","plainTextFormattedCitation":"[30–33]","previouslyFormattedCitation":"[30–33]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[30–33]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Microgravity induces a decrease in osteoblastogenesis owing to the downregulation of TAZ activity </w:t>
      </w:r>
      <w:r>
        <w:fldChar w:fldCharType="begin"/>
      </w:r>
      <w:r>
        <w:rPr>
          <w:sz w:val="24"/>
          <w:szCs w:val="24"/>
          <w:rFonts w:cs="Times New Roman" w:ascii="Times New Roman" w:hAnsi="Times New Roman"/>
          <w:lang w:val="en-US"/>
        </w:rPr>
        <w:instrText>ADDIN CSL_CITATION {"citationItems":[{"id":"ITEM-1","itemData":{"DOI":"10.1016/j.bbrc.2015.11.006","ISSN":"10902104","PMID":"26549225","abstract":"Microgravity induces observed bone loss in space flight or simulated experiments, while the mechanism underlying it is still obscure. Here, we utilized a clinostat to model simulated microgravity (SMG) and found that SMG obviously inhibited osteogenic differentiation of rat bone marrow mesenchymal stem cells (BMSCs). We detected that SMG dramatically inhibited the expression of the transcriptional coactivator with PDZ-binding motif (TAZ), which acts as a vital regulator of osteogenesis. Interestingly, we found that lysophosphatidic acid (LPA) could activate TAZ and retain osteogenic differentiation of BMSCs under SMG. Our data further demonstrated that depletion of TAZ by siRNA blocked the LPA-induced increase in osteogenic differentiation of BMSCs under SMG. Moreover, Y27632 (the Rock inhibitor) abrogated the activation of TAZ and the increased osteogenic differentiation induced by LPA. Taken together, we propose that microgravity inhibits osteogenic differentiation of BMSCs due to decreased TAZ expression and that LPA can efficiently reverse the reduced osteogenic differentiation via the Rock-TAZ pathway.","author":[{"dropping-particle":"","family":"Chen","given":"Zhe","non-dropping-particle":"","parse-names":false,"suffix":""},{"dropping-particle":"","family":"Luo","given":"Qing","non-dropping-particle":"","parse-names":false,"suffix":""},{"dropping-particle":"","family":"Lin","given":"Chuanchuan","non-dropping-particle":"","parse-names":false,"suffix":""},{"dropping-particle":"","family":"Song","given":"Guanbin","non-dropping-particle":"","parse-names":false,"suffix":""}],"container-title":"Biochemical and Biophysical Research Communications","id":"ITEM-1","issued":{"date-parts":[["2015"]]},"page":"21-26","publisher":"Elsevier Ltd","title":"Simulated microgravity inhibits osteogenic differentiation of mesenchymal stem cells through down regulating the transcriptional co-activator TAZ","type":"article-journal","volume":"468"},"uris":["http://www.mendeley.com/documents/?uuid=0c659c7f-64ce-49f0-92dc-ea2299fe6727"]}],"mendeley":{"formattedCitation":"[34]","plainTextFormattedCitation":"[34]","previouslyFormattedCitation":"[34]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Li and collaborators also demonstrated in the osteocytic cell line MLO-Y4 that Piezo mediates mechanotransduction and induces YAP/TAZ nuclear translocation in response to shear stress </w:t>
      </w:r>
      <w:r>
        <w:fldChar w:fldCharType="begin"/>
      </w:r>
      <w:r>
        <w:rPr>
          <w:sz w:val="24"/>
          <w:szCs w:val="24"/>
          <w:rFonts w:cs="Times New Roman" w:ascii="Times New Roman" w:hAnsi="Times New Roman"/>
          <w:lang w:val="en-US"/>
        </w:rPr>
        <w:instrText>ADDIN CSL_CITATION {"citationItems":[{"id":"ITEM-1","itemData":{"author":[{"dropping-particle":"","family":"Li","given":"Xuehua","non-dropping-particle":"","parse-names":false,"suffix":""},{"dropping-particle":"","family":"Han","given":"Li","non-dropping-particle":"","parse-names":false,"suffix":""},{"dropping-particle":"","family":"Nookaew","given":"Intawat","non-dropping-particle":"","parse-names":false,"suffix":""},{"dropping-particle":"","family":"Mannen","given":"Erin","non-dropping-particle":"","parse-names":false,"suffix":""},{"dropping-particle":"","family":"Silva","given":"Matthew J","non-dropping-particle":"","parse-names":false,"suffix":""},{"dropping-particle":"","family":"Almeida","given":"Maria","non-dropping-particle":"","parse-names":false,"suffix":""},{"dropping-particle":"","family":"Xiong","given":"Jinhu","non-dropping-particle":"","parse-names":false,"suffix":""}],"container-title":"eLife","id":"ITEM-1","issue":"e49631","issued":{"date-parts":[["2019"]]},"title":"Stimulation of Piezo1 by mechanical signals promotes bone anabolism","type":"article-journal","volume":"8"},"uris":["http://www.mendeley.com/documents/?uuid=62ce2a67-82ac-4e72-b708-cddddf5f4015","http://www.mendeley.com/documents/?uuid=038289c3-cf35-43b2-a992-32aaddae0fea"]}],"mendeley":{"formattedCitation":"[35]","plainTextFormattedCitation":"[35]","previouslyFormattedCitation":"[35]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Finally, YAP/TAZ seemingly has a role in osteocytes </w:t>
      </w:r>
      <w:r>
        <w:rPr>
          <w:rFonts w:cs="Times New Roman" w:ascii="Times New Roman" w:hAnsi="Times New Roman"/>
          <w:i/>
          <w:iCs/>
          <w:sz w:val="24"/>
          <w:szCs w:val="24"/>
          <w:lang w:val="en-US"/>
        </w:rPr>
        <w:t>in vivo</w:t>
      </w:r>
      <w:r>
        <w:rPr>
          <w:rFonts w:cs="Times New Roman" w:ascii="Times New Roman" w:hAnsi="Times New Roman"/>
          <w:sz w:val="24"/>
          <w:szCs w:val="24"/>
          <w:lang w:val="en-US"/>
        </w:rPr>
        <w:t xml:space="preserve"> in that the deletion of YAP/TAZ  using dentin matrix acidic phosphoprotein 1 (DMP1-Cre) in mice induced low bone mass characterized by increased osteoclast activity and decreased bone formation </w:t>
      </w:r>
      <w:r>
        <w:fldChar w:fldCharType="begin"/>
      </w:r>
      <w:r>
        <w:rPr>
          <w:sz w:val="24"/>
          <w:szCs w:val="24"/>
          <w:rFonts w:cs="Times New Roman" w:ascii="Times New Roman" w:hAnsi="Times New Roman"/>
          <w:lang w:val="en-US"/>
        </w:rPr>
        <w:instrText>ADDIN CSL_CITATION {"citationItems":[{"id":"ITEM-1","itemData":{"DOI":"10.1016/j.bone.2018.04.001","ISSN":"87563282","author":[{"dropping-particle":"","family":"Xiong","given":"Jinhu","non-dropping-particle":"","parse-names":false,"suffix":""},{"dropping-particle":"","family":"Almeida","given":"Maria","non-dropping-particle":"","parse-names":false,"suffix":""},{"dropping-particle":"","family":"O'Brien","given":"Charles A.","non-dropping-particle":"","parse-names":false,"suffix":""}],"container-title":"Bone","id":"ITEM-1","issued":{"date-parts":[["2018"]]},"title":"The YAP/TAZ transcriptional co-activators have opposing effects at different stages of osteoblast differentiation","type":"article-journal"},"uris":["http://www.mendeley.com/documents/?uuid=87c4de48-9d1a-366c-9c71-fc8a6c3fb234"]}],"mendeley":{"formattedCitation":"[36]","plainTextFormattedCitation":"[36]","previouslyFormattedCitation":"[36]"},"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[36]</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In light of these findings, the question of a potential role of YAP/TAZ in osteocytes has been raised, particularly in response to 3D mechanical loading. Therefore, the aim of this study was to characterize the response of the </w:t>
      </w:r>
      <w:r>
        <w:rPr>
          <w:rFonts w:cs="Times New Roman" w:ascii="Times New Roman" w:hAnsi="Times New Roman"/>
          <w:bCs/>
          <w:sz w:val="24"/>
          <w:szCs w:val="24"/>
          <w:lang w:val="en-US"/>
        </w:rPr>
        <w:t xml:space="preserve">osteocyte-like cell line MLO-Y4 </w:t>
      </w:r>
      <w:r>
        <w:rPr>
          <w:rFonts w:cs="Times New Roman" w:ascii="Times New Roman" w:hAnsi="Times New Roman"/>
          <w:sz w:val="24"/>
          <w:szCs w:val="24"/>
          <w:lang w:val="en-US"/>
        </w:rPr>
        <w:t xml:space="preserve">following mechanical loading using a new 3D culture model subjected to compressive stress. </w:t>
      </w:r>
    </w:p>
    <w:p>
      <w:pPr>
        <w:pStyle w:val="Normal"/>
        <w:spacing w:lineRule="auto" w:line="48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48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t>Materials and Methods</w:t>
      </w:r>
    </w:p>
    <w:p>
      <w:pPr>
        <w:pStyle w:val="Normal"/>
        <w:spacing w:lineRule="auto" w:line="48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480" w:before="0" w:after="0"/>
        <w:jc w:val="both"/>
        <w:rPr>
          <w:rFonts w:ascii="Times New Roman" w:hAnsi="Times New Roman" w:cs="Times New Roman"/>
          <w:bCs/>
          <w:i/>
          <w:i/>
          <w:sz w:val="24"/>
          <w:szCs w:val="24"/>
          <w:lang w:val="en-US"/>
        </w:rPr>
      </w:pPr>
      <w:r>
        <w:rPr>
          <w:rFonts w:cs="Times New Roman" w:ascii="Times New Roman" w:hAnsi="Times New Roman"/>
          <w:bCs/>
          <w:i/>
          <w:sz w:val="24"/>
          <w:szCs w:val="24"/>
          <w:lang w:val="en-US"/>
        </w:rPr>
        <w:t>Cell lines cultures and mechanical stress experiments</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MLO-Y4 cells were cultured on collagen-coated flasks previously rinsed to reach pH 7.0 before plating cells (rat tail tendon type I collagen, 0.15 mg/mL in 0.02 M acetic acid solution) in alpha minimum essential medium (αMEM, GIBCO) supplemented with 5% heat-inactivated fetal bovine serum (GIBCO), 5% heat-inactivated calf serum (Hyclone), 100 U/mL penicillin and 100 mg/mL streptomycin and grown at 37°C in 5% CO</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 xml:space="preserve"> as described </w:t>
      </w:r>
      <w:r>
        <w:fldChar w:fldCharType="begin"/>
      </w:r>
      <w:r>
        <w:rPr>
          <w:sz w:val="24"/>
          <w:szCs w:val="24"/>
          <w:rFonts w:cs="Times New Roman" w:ascii="Times New Roman" w:hAnsi="Times New Roman"/>
          <w:lang w:val="en-US"/>
        </w:rPr>
        <w:instrText>ADDIN CSL_CITATION {"citationItems":[{"id":"ITEM-1","itemData":{"author":[{"dropping-particle":"","family":"Kato","given":"Y","non-dropping-particle":"","parse-names":false,"suffix":""},{"dropping-particle":"","family":"Windle","given":"JJ","non-dropping-particle":"","parse-names":false,"suffix":""},{"dropping-particle":"","family":"Koop","given":"BA","non-dropping-particle":"","parse-names":false,"suffix":""},{"dropping-particle":"","family":"Mundy","given":"GR","non-dropping-particle":"","parse-names":false,"suffix":""},{"dropping-particle":"","family":"Bonewald","given":"LF","non-dropping-particle":"","parse-names":false,"suffix":""}],"container-title":"American Society for Bone and Mineral Research","id":"ITEM-1","issue":"12","issued":{"date-parts":[["1997"]]},"page":"2014-2023","title":"Establishment of an Osteocyte-like Cell Line , MLO-Y4","type":"article-journal","volume":"12"},"uris":["http://www.mendeley.com/documents/?uuid=8b2cd619-be13-49bc-a7f9-5f5082e540b4"]}],"mendeley":{"formattedCitation":"[37]","plainTextFormattedCitation":"[37]","previouslyFormattedCitation":"[37]"},"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[37]</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bCs/>
          <w:i/>
          <w:i/>
          <w:iCs/>
          <w:sz w:val="24"/>
          <w:szCs w:val="24"/>
          <w:lang w:val="en-US"/>
        </w:rPr>
      </w:pPr>
      <w:r>
        <w:rPr>
          <w:rFonts w:cs="Times New Roman" w:ascii="Times New Roman" w:hAnsi="Times New Roman"/>
          <w:bCs/>
          <w:i/>
          <w:iCs/>
          <w:sz w:val="24"/>
          <w:szCs w:val="24"/>
          <w:lang w:val="en-US"/>
        </w:rPr>
        <w:t>2D cultures and mechanical stretch</w:t>
      </w:r>
    </w:p>
    <w:p>
      <w:pPr>
        <w:pStyle w:val="Normal"/>
        <w:spacing w:lineRule="auto" w:line="480" w:before="0" w:after="0"/>
        <w:jc w:val="both"/>
        <w:rPr>
          <w:rFonts w:ascii="Times New Roman" w:hAnsi="Times New Roman" w:cs="Times New Roman"/>
          <w:bCs/>
          <w:i/>
          <w:i/>
          <w:iCs/>
          <w:sz w:val="24"/>
          <w:szCs w:val="24"/>
          <w:lang w:val="en-US"/>
        </w:rPr>
      </w:pPr>
      <w:r>
        <w:rPr>
          <w:rFonts w:cs="Times New Roman" w:ascii="Times New Roman" w:hAnsi="Times New Roman"/>
          <w:bCs/>
          <w:i/>
          <w:iCs/>
          <w:sz w:val="24"/>
          <w:szCs w:val="24"/>
          <w:lang w:val="en-US"/>
        </w:rPr>
        <w:t xml:space="preserve"> </w:t>
      </w:r>
      <w:r>
        <w:rPr>
          <w:rFonts w:cs="Times New Roman" w:ascii="Times New Roman" w:hAnsi="Times New Roman"/>
          <w:sz w:val="24"/>
          <w:szCs w:val="24"/>
          <w:lang w:val="en-US"/>
        </w:rPr>
        <w:t>For the preparation of the 2D MLO-Y4 cultures subjected to mechanical stretch, MLO-Y4 cells were treated with trypsin and plated at 1.2x10</w:t>
      </w:r>
      <w:r>
        <w:rPr>
          <w:rFonts w:cs="Times New Roman" w:ascii="Times New Roman" w:hAnsi="Times New Roman"/>
          <w:sz w:val="24"/>
          <w:szCs w:val="24"/>
          <w:vertAlign w:val="superscript"/>
          <w:lang w:val="en-US"/>
        </w:rPr>
        <w:t>5</w:t>
      </w:r>
      <w:r>
        <w:rPr>
          <w:rFonts w:cs="Times New Roman" w:ascii="Times New Roman" w:hAnsi="Times New Roman"/>
          <w:sz w:val="24"/>
          <w:szCs w:val="24"/>
          <w:lang w:val="en-US"/>
        </w:rPr>
        <w:t xml:space="preserve"> cells/well in BioFlex Culture Plates coated with collagen type I (Flexcell International Corp., Dunn Labortechnick GmbH, Asbach, Germany). BioFlex Culture Plates are 6-well plates containing a flexible silicone rubber membrane at the bottom of each well. MLO-Y4 cells were grown at 37°C in a humidified incubator containing 5% CO</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 xml:space="preserve">. At 80% confluence, 24 hr before stretching, the medium was replaced with fresh medium containing a reduced amount of serum (1% heat-inactivated fetal bovine serum and 1% heat-inactivated calf serum). MLO-Y4 cells grown on BioFlex plates were submitted to an equibiaxial mechanical stretch using the Flexcell FX-5000T Tension System (Flexcell International Corp., Burlington, NC, USA), a computer-regulated bioreactor that apply cyclic or static stretch to 2D cells culture models by applied regulated vacuum pressure below each silicone flexible rubber membrane </w:t>
      </w:r>
      <w:r>
        <w:fldChar w:fldCharType="begin"/>
      </w:r>
      <w:r>
        <w:rPr>
          <w:sz w:val="24"/>
          <w:szCs w:val="24"/>
          <w:rFonts w:cs="Times New Roman" w:ascii="Times New Roman" w:hAnsi="Times New Roman"/>
          <w:lang w:val="en-US"/>
        </w:rPr>
        <w:instrText>ADDIN CSL_CITATION {"citationItems":[{"id":"ITEM-1","itemData":{"author":[{"dropping-particle":"","family":"Banes","given":"Albert J","non-dropping-particle":"","parse-names":false,"suffix":""},{"dropping-particle":"","family":"Gilbert","given":"Jerome","non-dropping-particle":"","parse-names":false,"suffix":""},{"dropping-particle":"","family":"Taylor","given":"Duane","non-dropping-particle":"","parse-names":false,"suffix":""},{"dropping-particle":"","family":"Monbureau","given":"Olivier","non-dropping-particle":"","parse-names":false,"suffix":""}],"container-title":"J. Cell Sci.","id":"ITEM-1","issued":{"date-parts":[["1985"]]},"page":"35-42","title":"A new vacuum-operated stress-providing instrument that applies static or variable duration cyclic tension or compression to cells in vitro","type":"article-journal","volume":"75"},"uris":["http://www.mendeley.com/documents/?uuid=5abdc543-66e6-44b4-8386-423bd28cc097","http://www.mendeley.com/documents/?uuid=717e2adf-3945-43f8-96a4-516a52ed75f7"]},{"id":"ITEM-2","itemData":{"author":[{"dropping-particle":"","family":"Gilbert","given":"J. A.","non-dropping-particle":"","parse-names":false,"suffix":""},{"dropping-particle":"","family":"Weinhold","given":"P. S.","non-dropping-particle":"","parse-names":false,"suffix":""},{"dropping-particle":"","family":"Banes","given":"A. J.","non-dropping-particle":"","parse-names":false,"suffix":""},{"dropping-particle":"","family":"Link","given":"G. W.","non-dropping-particle":"","parse-names":false,"suffix":""},{"dropping-particle":"","family":"Jones","given":"G. L.","non-dropping-particle":"","parse-names":false,"suffix":""}],"container-title":"J. Biomechanics","id":"ITEM-2","issue":"9","issued":{"date-parts":[["1994"]]},"page":"1169-1177","title":"Strain profiles for circular cell culture plates containing flexible surfaces employed to mechanically deform cells in vitro","type":"article-journal","volume":"27"},"uris":["http://www.mendeley.com/documents/?uuid=208f6229-76b4-4c0e-a498-67b97fdc063b","http://www.mendeley.com/documents/?uuid=fe57d98f-f63a-4f07-a631-eb88c9f67847"]}],"mendeley":{"formattedCitation":"[38,39]","plainTextFormattedCitation":"[38,39]","previouslyFormattedCitation":"[38,39]"},"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[38,39]</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Percentage of stretch, frequency, form of signal and duration of stretch are adjustable. The 2D MLO-Y4 cultures were submitted to an equi-biaxial dynamic stretch with a sinusoidal waveform at 0.3 Hz and 3% elongation for 9 hr at 37°C and 5% CO</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 xml:space="preserve">. Frequency and elongation settings used were previously described </w:t>
      </w:r>
      <w:r>
        <w:fldChar w:fldCharType="begin"/>
      </w:r>
      <w:r>
        <w:rPr>
          <w:sz w:val="24"/>
          <w:szCs w:val="24"/>
          <w:rFonts w:cs="Times New Roman" w:ascii="Times New Roman" w:hAnsi="Times New Roman"/>
          <w:lang w:val="en-US"/>
        </w:rPr>
        <w:instrText>ADDIN CSL_CITATION {"citationItems":[{"id":"ITEM-1","itemData":{"DOI":"10.1359/JBMR.050210","author":[{"dropping-particle":"","family":"Hens","given":"Julie R","non-dropping-particle":"","parse-names":false,"suffix":""},{"dropping-particle":"","family":"Wilson","given":"Kimberly M","non-dropping-particle":"","parse-names":false,"suffix":""},{"dropping-particle":"","family":"Dann","given":"Pamela","non-dropping-particle":"","parse-names":false,"suffix":""},{"dropping-particle":"","family":"Chen","given":"Xuesong","non-dropping-particle":"","parse-names":false,"suffix":""},{"dropping-particle":"","family":"Horowitz","given":"Mark C","non-dropping-particle":"","parse-names":false,"suffix":""},{"dropping-particle":"","family":"Wysolmerski","given":"John J","non-dropping-particle":"","parse-names":false,"suffix":""}],"container-title":"J Bone Miner Res","id":"ITEM-1","issue":"7","issued":{"date-parts":[["2005"]]},"page":"1103-1113","title":"TOPGAL Mice Show That the Canonical Wnt Signaling Pathway Is Active During Bone Development and Growth and Is Activated by Mechanical Loading In Vitro","type":"article-journal","volume":"20"},"uris":["http://www.mendeley.com/documents/?uuid=6221c457-08e6-42ce-afc6-f5230dffc7a6"]}],"mendeley":{"formattedCitation":"[40]","plainTextFormattedCitation":"[40]","previouslyFormattedCitation":"[40]"},"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[40]</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Control cultures plates were prepared and underwent the same conditions and were kept in un-stretched conditions. </w:t>
      </w:r>
      <w:r>
        <w:rPr>
          <w:rFonts w:cs="Times New Roman" w:ascii="Times New Roman" w:hAnsi="Times New Roman"/>
          <w:bCs/>
          <w:sz w:val="24"/>
          <w:szCs w:val="24"/>
          <w:lang w:val="en-US"/>
        </w:rPr>
        <w:t>Gene expression analyses were performed at 0 hr post-stretch.</w:t>
      </w:r>
      <w:r>
        <w:rPr>
          <w:rFonts w:cs="Times New Roman" w:ascii="Times New Roman" w:hAnsi="Times New Roman"/>
          <w:b/>
          <w:sz w:val="24"/>
          <w:szCs w:val="24"/>
          <w:lang w:val="en-US"/>
        </w:rPr>
        <w:t xml:space="preserve"> </w:t>
      </w:r>
      <w:r>
        <w:rPr>
          <w:rFonts w:cs="Times New Roman" w:ascii="Times New Roman" w:hAnsi="Times New Roman"/>
          <w:sz w:val="24"/>
          <w:szCs w:val="24"/>
          <w:lang w:val="en-US"/>
        </w:rPr>
        <w:t xml:space="preserve">2D experiments were repeated at least 4-times.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bCs/>
          <w:i/>
          <w:iCs/>
          <w:sz w:val="24"/>
          <w:szCs w:val="24"/>
          <w:lang w:val="en-US"/>
        </w:rPr>
        <w:t>3D cultures and mechanical compression:</w:t>
      </w:r>
      <w:r>
        <w:rPr>
          <w:rFonts w:cs="Times New Roman" w:ascii="Times New Roman" w:hAnsi="Times New Roman"/>
          <w:sz w:val="24"/>
          <w:szCs w:val="24"/>
          <w:lang w:val="en-US"/>
        </w:rPr>
        <w:t xml:space="preserve">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MLO-Y4 cells were embedded in concentrated collagen type I hydrogel (rat tail tendon type I collagen 4 mg/mL in 0.5 M acetic acid solution, 0.02 mM NaOH, PBS and αMEM 1X) at 2 x 10</w:t>
      </w:r>
      <w:r>
        <w:rPr>
          <w:rFonts w:cs="Times New Roman" w:ascii="Times New Roman" w:hAnsi="Times New Roman"/>
          <w:sz w:val="24"/>
          <w:szCs w:val="24"/>
          <w:vertAlign w:val="superscript"/>
          <w:lang w:val="en-US"/>
        </w:rPr>
        <w:t>6</w:t>
      </w:r>
      <w:r>
        <w:rPr>
          <w:rFonts w:cs="Times New Roman" w:ascii="Times New Roman" w:hAnsi="Times New Roman"/>
          <w:sz w:val="24"/>
          <w:szCs w:val="24"/>
          <w:lang w:val="en-US"/>
        </w:rPr>
        <w:t xml:space="preserve"> cells/mL. Cells were cultured for 14 days in complete medium in a humidified atmosphere at 37°C and 5% CO</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 xml:space="preserve"> to allow the formation of an osteocyte-like structure with dendrites elongation across collagen hydrogel before loading experiments. Collagen gels with diameter 13-mm underwent compression according to the usage specifications of the BioPress Compression Plates with the Flexcell FX-5000C Compression System (Flexcell International Corp., Dunn Labortechnick GmbH, Asbach, Germany). The BioPress Compression Plates consist of 6-well plates containing a flexible silicone rubber membrane at the bottom. On each membrane a rigid plastic piston is fixed and a circular foam disc attached to each plastic piston confines the samples to the central region of each well. Each collagen gel is put on the plastic piston, into the circular foam disc. In total, 3 ml culture medium is introduced into each well and a stationary platen closes each well. The 3D MLO-Y4 culture transferred in BioPress was compressed by using the Flexcell FX-5000C Compression System, a computer-regulated bioreactor that regulates positive air pressure to compress tissue samples or 3D cell cultures </w:t>
      </w:r>
      <w:r>
        <w:rPr>
          <w:rFonts w:cs="Times New Roman" w:ascii="Times New Roman" w:hAnsi="Times New Roman"/>
          <w:i/>
          <w:sz w:val="24"/>
          <w:szCs w:val="24"/>
          <w:lang w:val="en-US"/>
        </w:rPr>
        <w:t xml:space="preserve">in vitro </w:t>
      </w:r>
      <w:r>
        <w:fldChar w:fldCharType="begin"/>
      </w:r>
      <w:r>
        <w:rPr>
          <w:sz w:val="24"/>
          <w:i/>
          <w:szCs w:val="24"/>
          <w:rFonts w:cs="Times New Roman" w:ascii="Times New Roman" w:hAnsi="Times New Roman"/>
          <w:lang w:val="en-US"/>
        </w:rPr>
        <w:instrText>ADDIN CSL_CITATION {"citationItems":[{"id":"ITEM-1","itemData":{"author":[{"dropping-particle":"","family":"Fermor","given":"Beverley","non-dropping-particle":"","parse-names":false,"suffix":""},{"dropping-particle":"","family":"Weinberg","given":"J Brice","non-dropping-particle":"","parse-names":false,"suffix":""},{"dropping-particle":"","family":"Pisetsky","given":"David S","non-dropping-particle":"","parse-names":false,"suffix":""},{"dropping-particle":"","family":"Misukonis","given":"Mary A","non-dropping-particle":"","parse-names":false,"suffix":""},{"dropping-particle":"","family":"Banes","given":"Albert J","non-dropping-particle":"","parse-names":false,"suffix":""},{"dropping-particle":"","family":"Guilak","given":"Farshid","non-dropping-particle":"","parse-names":false,"suffix":""}],"container-title":"Journal of Orthopaedic Research","id":"ITEM-1","issued":{"date-parts":[["2001"]]},"page":"729-737","title":"The effects of static and intermittent compression on nitric oxide production in articular cartilage explants","type":"article-journal","volume":"19"},"uris":["http://www.mendeley.com/documents/?uuid=eb7c4ec4-485d-496f-8e3d-9c18c03d9bdf","http://www.mendeley.com/documents/?uuid=97b62fd6-352a-4c56-af10-163f3f67e805"]}],"mendeley":{"formattedCitation":"[41]","plainTextFormattedCitation":"[41]","previouslyFormattedCitation":"[41]"},"properties":{"noteIndex":0},"schema":"https://github.com/citation-style-language/schema/raw/master/csl-citation.json"}</w:instrText>
      </w:r>
      <w:r>
        <w:rPr>
          <w:rFonts w:cs="Times New Roman" w:ascii="Times New Roman" w:hAnsi="Times New Roman"/>
          <w:i/>
          <w:sz w:val="24"/>
          <w:szCs w:val="24"/>
          <w:lang w:val="en-US"/>
        </w:rPr>
      </w:r>
      <w:r>
        <w:rPr>
          <w:sz w:val="24"/>
          <w:i/>
          <w:szCs w:val="24"/>
          <w:rFonts w:cs="Times New Roman" w:ascii="Times New Roman" w:hAnsi="Times New Roman"/>
          <w:lang w:val="en-US"/>
        </w:rPr>
        <w:fldChar w:fldCharType="separate"/>
      </w:r>
      <w:r>
        <w:rPr>
          <w:rFonts w:cs="Times New Roman" w:ascii="Times New Roman" w:hAnsi="Times New Roman"/>
          <w:i/>
          <w:sz w:val="24"/>
          <w:szCs w:val="24"/>
          <w:lang w:val="en-US"/>
        </w:rPr>
      </w:r>
      <w:r>
        <w:rPr>
          <w:rFonts w:cs="Times New Roman" w:ascii="Times New Roman" w:hAnsi="Times New Roman"/>
          <w:sz w:val="24"/>
          <w:szCs w:val="24"/>
          <w:lang w:val="en-US"/>
        </w:rPr>
        <w:t>[41]</w:t>
      </w:r>
      <w:r>
        <w:rPr>
          <w:rFonts w:cs="Times New Roman" w:ascii="Times New Roman" w:hAnsi="Times New Roman"/>
          <w:i/>
          <w:sz w:val="24"/>
          <w:szCs w:val="24"/>
          <w:lang w:val="en-US"/>
        </w:rPr>
      </w:r>
      <w:r>
        <w:rPr>
          <w:sz w:val="24"/>
          <w:i/>
          <w:szCs w:val="24"/>
          <w:rFonts w:cs="Times New Roman" w:ascii="Times New Roman" w:hAnsi="Times New Roman"/>
          <w:lang w:val="en-US"/>
        </w:rPr>
        <w:fldChar w:fldCharType="end"/>
      </w:r>
      <w:r>
        <w:rPr>
          <w:rFonts w:cs="Times New Roman" w:ascii="Times New Roman" w:hAnsi="Times New Roman"/>
          <w:sz w:val="24"/>
          <w:szCs w:val="24"/>
          <w:lang w:val="en-US"/>
        </w:rPr>
        <w:t>. Briefly, a force applied by positive air pressure below each flexible rubber membrane causing the deformation of membrane leads to compression of the 3D MLO-Y4 culture between the piston and the stationary platen. This system allows the pressure to be uniform in the sample area. At 24 hr before compression, the medium was replaced with fresh medium containing reduced amount of serum (1% heat-inactivated fetal bovine serum and 1% heat-inactivated calf serum), and 3D MLO-Y4 cultures were submitted to cyclic compression of 0 to 40 kPa with a sinusoidal waveform at 1 Hz for 9 hr in a humidified atmosphere at 37°C and 5% CO</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 xml:space="preserve">. This load condition (40 kPa and 1 Hz) had already been tested on type I collagen gel and enabled a cellular response to mechanical stress, so we used this condition for our model </w:t>
      </w:r>
      <w:r>
        <w:fldChar w:fldCharType="begin"/>
      </w:r>
      <w:r>
        <w:rPr>
          <w:sz w:val="24"/>
          <w:szCs w:val="24"/>
          <w:rFonts w:cs="Times New Roman" w:ascii="Times New Roman" w:hAnsi="Times New Roman"/>
          <w:lang w:val="en-US"/>
        </w:rPr>
        <w:instrText>ADDIN CSL_CITATION {"citationItems":[{"id":"ITEM-1","itemData":{"DOI":"10.1080/09168451.2014.882749","ISSN":"0916-8451","author":[{"dropping-particle":"","family":"Hara","given":"Masao","non-dropping-particle":"","parse-names":false,"suffix":""},{"dropping-particle":"","family":"Nakashima","given":"Masahiro","non-dropping-particle":"","parse-names":false,"suffix":""},{"dropping-particle":"","family":"Fujii","given":"Takahiro","non-dropping-particle":"","parse-names":false,"suffix":""},{"dropping-particle":"","family":"Uehara","given":"Kazuki","non-dropping-particle":"","parse-names":false,"suffix":""},{"dropping-particle":"","family":"Yokono","given":"Chisako","non-dropping-particle":"","parse-names":false,"suffix":""},{"dropping-particle":"","family":"Hashizume","given":"Ron","non-dropping-particle":"","parse-names":false,"suffix":""},{"dropping-particle":"","family":"Nomura","given":"Yoshihiro","non-dropping-particle":"","parse-names":false,"suffix":""}],"container-title":"Bioscience, Biotechnology, and Biochemistry","id":"ITEM-1","issue":"3","issued":{"date-parts":[["2014"]]},"page":"458-461","publisher":"Taylor &amp; Francis","title":"Construction of collagen gel scaffolds for mechanical stress analysis","type":"article-journal","volume":"78"},"uris":["http://www.mendeley.com/documents/?uuid=4885e019-c02c-4aca-a03a-182604710fa2"]}],"mendeley":{"formattedCitation":"[42]","plainTextFormattedCitation":"[42]","previouslyFormattedCitation":"[42]"},"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[42]</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The frequency of 1 Hz corresponds to the frequency of a moderate walk </w:t>
      </w:r>
      <w:r>
        <w:fldChar w:fldCharType="begin"/>
      </w:r>
      <w:r>
        <w:rPr>
          <w:sz w:val="24"/>
          <w:szCs w:val="24"/>
          <w:rFonts w:cs="Times New Roman" w:ascii="Times New Roman" w:hAnsi="Times New Roman"/>
          <w:lang w:val="en-US"/>
        </w:rPr>
        <w:instrText>ADDIN CSL_CITATION {"citationItems":[{"id":"ITEM-1","itemData":{"DOI":"10.1016/j.gaitpost.2015.04.003","ISSN":"0966-6362","author":[{"dropping-particle":"","family":"Sardroodian","given":"Mahta","non-dropping-particle":"","parse-names":false,"suffix":""},{"dropping-particle":"","family":"Madeleine","given":"Pascal","non-dropping-particle":"","parse-names":false,"suffix":""},{"dropping-particle":"","family":"Voigt","given":"Michael","non-dropping-particle":"","parse-names":false,"suffix":""},{"dropping-particle":"","family":"Hansen","given":"Ernst A","non-dropping-particle":"","parse-names":false,"suffix":""}],"container-title":"Gait &amp; Posture","id":"ITEM-1","issued":{"date-parts":[["2015"]]},"page":"60-64","publisher":"Elsevier B.V.","title":"Freely chosen stride frequencies during walking and running are not correlated with freely chosen pedalling frequency and are insensitive to strength training","type":"article-journal","volume":"42"},"uris":["http://www.mendeley.com/documents/?uuid=e2dbcc40-0cd3-4423-b55d-d17f53f6208c","http://www.mendeley.com/documents/?uuid=b3a5f126-9567-43ec-9a4a-a8ad421c81b0"]}],"mendeley":{"formattedCitation":"[43]","plainTextFormattedCitation":"[43]","previouslyFormattedCitation":"[43]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Control 3D MLO-Y4 cultures were kept in unloaded conditions and were not placed into the device. At the end of the experiment, collagen hydrogels were fixed with AntigenFix for 24 hr or hydrolysed at 37°C with 5 mg/mL type I collagenase solution (Sigma) for RNA and protein extraction. 3D experiments were repeated at least three times.</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All mechanical stress experiments outlined in this study were conducted using systems located in the Mechanobiology core facility of BioMedTech Facilities at INSERM US36 - CNRS UMS2009 - Paris Descartes.</w:t>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t>Isolation of total RNA, reverse transcription, and real-time quantitative PCR</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Isolation of total RNA involved using RNA Isolate II Minikit (Bioline) according to the instructions of the manufacturer. The mRNA isolated from each sample was reverse transcribed by using the High-Capacity cDNA Reverse Transcription kit (Applied Biosystem) from 1 μg total RNA. Real-time quantitative PCR involved using cDNA (1:40 final dilution per reaction) with Sensifast (Bioline). Tata binding protein (TBP) was used for normalisation, and mRNA expression was calculated as percentage of TBP expression (2</w:t>
      </w:r>
      <w:r>
        <w:rPr>
          <w:rFonts w:cs="Times New Roman" w:ascii="Times New Roman" w:hAnsi="Times New Roman"/>
          <w:sz w:val="24"/>
          <w:szCs w:val="24"/>
          <w:vertAlign w:val="superscript"/>
          <w:lang w:val="en-US"/>
        </w:rPr>
        <w:t xml:space="preserve">-∆CT </w:t>
      </w:r>
      <w:r>
        <w:rPr>
          <w:rFonts w:cs="Times New Roman" w:ascii="Times New Roman" w:hAnsi="Times New Roman"/>
          <w:sz w:val="24"/>
          <w:szCs w:val="24"/>
          <w:lang w:val="en-US"/>
        </w:rPr>
        <w:t xml:space="preserve">(mean gene - mean gene reference)) to give an indication of the level of expression. The primer sequences are in supplemental Table I. </w:t>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t>Production and transfection of shRNA</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Lentiviral shRNA particles were produced from the 293T cell lines by using the Ready-to-Use Lentiviral Packaging (CPCP-K2A Cellecta) and shRNA plasmid from Santa Cruz Biotechnology (TAZ shRNA plasmid sc-38569-SH, YAP shRNA plasmid sc-38638-SH and shControl# sc-108060). Transfection of 293T involved using 2 million cells (2.65x10</w:t>
      </w:r>
      <w:r>
        <w:rPr>
          <w:rFonts w:cs="Times New Roman" w:ascii="Times New Roman" w:hAnsi="Times New Roman"/>
          <w:sz w:val="24"/>
          <w:szCs w:val="24"/>
          <w:vertAlign w:val="superscript"/>
          <w:lang w:val="en-US"/>
        </w:rPr>
        <w:t>4</w:t>
      </w:r>
      <w:r>
        <w:rPr>
          <w:rFonts w:cs="Times New Roman" w:ascii="Times New Roman" w:hAnsi="Times New Roman"/>
          <w:sz w:val="24"/>
          <w:szCs w:val="24"/>
          <w:lang w:val="en-US"/>
        </w:rPr>
        <w:t xml:space="preserve"> cell/cm</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 with 10 µg lentiviral packaging, 30 µL of Lipofectamine 2000 (Thermofisher) and 2 µg shRNA plasmid. Lentiviral particles were collected 24 hr after transfection and applied on MLO-Y4 cells previously plated at 1.6 x10</w:t>
      </w:r>
      <w:r>
        <w:rPr>
          <w:rFonts w:cs="Times New Roman" w:ascii="Times New Roman" w:hAnsi="Times New Roman"/>
          <w:sz w:val="24"/>
          <w:szCs w:val="24"/>
          <w:vertAlign w:val="superscript"/>
          <w:lang w:val="en-US"/>
        </w:rPr>
        <w:t>4</w:t>
      </w:r>
      <w:r>
        <w:rPr>
          <w:rFonts w:cs="Times New Roman" w:ascii="Times New Roman" w:hAnsi="Times New Roman"/>
          <w:sz w:val="24"/>
          <w:szCs w:val="24"/>
          <w:lang w:val="en-US"/>
        </w:rPr>
        <w:t xml:space="preserve"> cells/cm</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 xml:space="preserve">. MLO-Y4 were infected for 48 hr and selected with puromycine at 10 µg/mL for at least 1 week. </w:t>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t xml:space="preserve">RNA-sequencing (RNAseq) analysis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RNAseq analysis involved using duplicates for the following conditions: shControl# loaded and unloaded, shYAP loaded and unloaded, shTAZ loaded and unloaded. The preparation of strand-specific cDNA libraries and the sequencing on an Illumina HiSeq4000 sequencer in 150 bp paired-end mode was performed by Eurofins GATC Biotech GmbH, Konstanz, Germany).</w:t>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t xml:space="preserve">Quality controls (QCs): </w:t>
      </w:r>
      <w:r>
        <w:rPr>
          <w:rFonts w:cs="Times New Roman" w:ascii="Times New Roman" w:hAnsi="Times New Roman"/>
          <w:sz w:val="24"/>
          <w:szCs w:val="24"/>
          <w:lang w:val="en-US"/>
        </w:rPr>
        <w:t xml:space="preserve">A quality check of the FASTQ files containing the raw reads was involved using the software package FastQC v0.11.9 (https://www.bioinformatics.babraham.ac.uk/projects/fastqc/). The software returns a comprehensive HTML report containing several modules that summarize key details of interest, such as GC content, duplication level and adapter content. For each module, there is a fail/warn/pass icon that allows the detection of any potential problems before the downstream analysis, thus avoiding any false positive results from the beginning. All of the 24 FASTQ files provided successfully passed nearly every module of the quality test and therefore were considered suitable for the next steps of the pipeline. The FastQC reports were then aggregated into 3 MultiQC v1.8 (https://multiqc.info/) reports for ease of visualization and summary purposes </w:t>
      </w:r>
      <w:r>
        <w:fldChar w:fldCharType="begin"/>
      </w:r>
      <w:r>
        <w:rPr>
          <w:sz w:val="24"/>
          <w:szCs w:val="24"/>
          <w:rFonts w:cs="Times New Roman" w:ascii="Times New Roman" w:hAnsi="Times New Roman"/>
          <w:lang w:val="en-US"/>
        </w:rPr>
        <w:instrText>ADDIN CSL_CITATION {"citationItems":[{"id":"ITEM-1","itemData":{"DOI":"10.1093/bioinformatics/btw354","author":[{"dropping-particle":"","family":"Ewels","given":"Philip","non-dropping-particle":"","parse-names":false,"suffix":""},{"dropping-particle":"","family":"Magnusson","given":"Mans","non-dropping-particle":"","parse-names":false,"suffix":""},{"dropping-particle":"","family":"Lundin","given":"Sverker","non-dropping-particle":"","parse-names":false,"suffix":""},{"dropping-particle":"","family":"Max","given":"K","non-dropping-particle":"","parse-names":false,"suffix":""}],"container-title":"Bioinformatics","id":"ITEM-1","issue":"19","issued":{"date-parts":[["2016"]]},"page":"3047-3048","title":"Data and text mining MultiQC : summarize analysis results for multiple tools and samples in a single report","type":"article-journal","volume":"32"},"uris":["http://www.mendeley.com/documents/?uuid=9bd2385c-58dd-49eb-97f9-5b0f3994edc8","http://www.mendeley.com/documents/?uuid=f7d573d9-9c5a-439d-a4a8-0ada02c7d02b"]}],"mendeley":{"formattedCitation":"[44]","plainTextFormattedCitation":"[44]","previouslyFormattedCitation":"[44]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The MultiQC reports were generated by using Python 3.7.4.</w:t>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t xml:space="preserve">Pseudoalignment: </w:t>
      </w:r>
      <w:r>
        <w:rPr>
          <w:rFonts w:cs="Times New Roman" w:ascii="Times New Roman" w:hAnsi="Times New Roman"/>
          <w:sz w:val="24"/>
          <w:szCs w:val="24"/>
          <w:lang w:val="en-US"/>
        </w:rPr>
        <w:t xml:space="preserve">Kallisto v0.46.1 represents an innovative tool for transcript abundance quantification </w:t>
      </w:r>
      <w:r>
        <w:fldChar w:fldCharType="begin"/>
      </w:r>
      <w:r>
        <w:rPr>
          <w:sz w:val="24"/>
          <w:szCs w:val="24"/>
          <w:rFonts w:cs="Times New Roman" w:ascii="Times New Roman" w:hAnsi="Times New Roman"/>
          <w:lang w:val="en-US"/>
        </w:rPr>
        <w:instrText>ADDIN CSL_CITATION {"citationItems":[{"id":"ITEM-1","itemData":{"DOI":"10.1038/nbt.3519","author":[{"dropping-particle":"","family":"Bray","given":"Nicolas L","non-dropping-particle":"","parse-names":false,"suffix":""},{"dropping-particle":"","family":"Pimentel","given":"Harold","non-dropping-particle":"","parse-names":false,"suffix":""},{"dropping-particle":"","family":"Melsted","given":"Páll","non-dropping-particle":"","parse-names":false,"suffix":""},{"dropping-particle":"","family":"Pachter","given":"Lior","non-dropping-particle":"","parse-names":false,"suffix":""}],"container-title":"Nat","id":"ITEM-1","issue":"5","issued":{"date-parts":[["2016"]]},"title":"Near-optimal probabilistic rna-seq quantification","type":"article-journal","volume":"34"},"uris":["http://www.mendeley.com/documents/?uuid=8e70355c-c807-40ea-b889-8a1b40b25325","http://www.mendeley.com/documents/?uuid=3b0cf7b0-b9a6-44ef-9f14-39fde24072ab"]}],"mendeley":{"formattedCitation":"[45]","plainTextFormattedCitation":"[45]","previouslyFormattedCitation":"[45]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In Kallisto, the raw sequence reads (i.e., FASTQ files) are directly compared to transcript sequences and then used to quantify transcript abundance. The comparison of the sequencing reads to the transcripts involves using a transcriptome de Bruijn graph </w:t>
      </w:r>
      <w:r>
        <w:fldChar w:fldCharType="begin"/>
      </w:r>
      <w:r>
        <w:rPr>
          <w:sz w:val="24"/>
          <w:szCs w:val="24"/>
          <w:rFonts w:cs="Times New Roman" w:ascii="Times New Roman" w:hAnsi="Times New Roman"/>
          <w:lang w:val="en-US"/>
        </w:rPr>
        <w:instrText>ADDIN CSL_CITATION {"citationItems":[{"id":"ITEM-1","itemData":{"DOI":"10.1038/nbt.2023.Why","author":[{"dropping-particle":"","family":"Compeau","given":"Phillip E. C.","non-dropping-particle":"","parse-names":false,"suffix":""},{"dropping-particle":"","family":"Pevzner","given":"Pavel A.","non-dropping-particle":"","parse-names":false,"suffix":""},{"dropping-particle":"","family":"Tesler","given":"Glenn","non-dropping-particle":"","parse-names":false,"suffix":""}],"container-title":"Nat Biotechnol","id":"ITEM-1","issue":"11","issued":{"date-parts":[["2017"]]},"page":"987-991","title":"Why are de Bruijn graphs useful for genome assembly?","type":"article-journal","volume":"29"},"uris":["http://www.mendeley.com/documents/?uuid=a18afbfa-6072-4513-865d-6da76978ae6c","http://www.mendeley.com/documents/?uuid=aaa974c2-28e4-490e-951d-6e06e8603dd7"]}],"mendeley":{"formattedCitation":"[46]","plainTextFormattedCitation":"[46]","previouslyFormattedCitation":"[46]"},"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[46]</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in which each node is a k-mer (i.e., a unique string of k nucleotides from a set of sequences). Therefore, each node is associated with a transcript or set of transcripts formally described as the k-compatibility class of that vertex. The alignment is based on the intersection of k-compatibility classes while skipping the redundant k-mers along a path (i.e., equivalence classes), thus speeding up the process. A number of 100 bootstraps were used for all samples. The output was represented by an abundance file together with a summary of the pseudo-alignment. The programming language used was Python 3.7.4 and the mapping was done on the mouse transcriptome mm10.</w:t>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i/>
          <w:iCs/>
          <w:sz w:val="24"/>
          <w:szCs w:val="24"/>
          <w:lang w:val="en-US"/>
        </w:rPr>
        <w:t xml:space="preserve">Differential gene expression (DGE) analysis: </w:t>
      </w:r>
      <w:r>
        <w:rPr>
          <w:rFonts w:cs="Times New Roman" w:ascii="Times New Roman" w:hAnsi="Times New Roman"/>
          <w:sz w:val="24"/>
          <w:szCs w:val="24"/>
          <w:lang w:val="en-US"/>
        </w:rPr>
        <w:t xml:space="preserve">The tximport Bioconductor package (release 3.10) was used to import and summarize the transcript-level abundance estimates from the previous pseudo alignment step. Tximport estimates un-normalized counts and transcript lengths and summarizes them into matrices for use with downstream gene-level analysis packages </w:t>
      </w:r>
      <w:r>
        <w:fldChar w:fldCharType="begin"/>
      </w:r>
      <w:r>
        <w:rPr>
          <w:sz w:val="24"/>
          <w:szCs w:val="24"/>
          <w:rFonts w:cs="Times New Roman" w:ascii="Times New Roman" w:hAnsi="Times New Roman"/>
          <w:lang w:val="en-US"/>
        </w:rPr>
        <w:instrText>ADDIN CSL_CITATION {"citationItems":[{"id":"ITEM-1","itemData":{"DOI":"10.12688/f1000research.7563.1","author":[{"dropping-particle":"","family":"Soneson","given":"Charlotte","non-dropping-particle":"","parse-names":false,"suffix":""},{"dropping-particle":"","family":"Love","given":"Michael I","non-dropping-particle":"","parse-names":false,"suffix":""},{"dropping-particle":"","family":"Robinson","given":"Mark D","non-dropping-particle":"","parse-names":false,"suffix":""}],"container-title":"F1000Research","id":"ITEM-1","issue":"1521","issued":{"date-parts":[["2016"]]},"title":"Differential analyses for RNA-seq : transcript-level estimates improve gene-level inferences","type":"article-journal","volume":"4"},"uris":["http://www.mendeley.com/documents/?uuid=142f4be0-3d15-47ea-bf8e-034224f91eb9","http://www.mendeley.com/documents/?uuid=ba441e58-7eda-4ceb-8d48-05b70316dece"]}],"mendeley":{"formattedCitation":"[47]","plainTextFormattedCitation":"[47]","previouslyFormattedCitation":"[47]"},"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[47]</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To determine whether any genes were enriched in different experimental setups, the estimated count matrices obtained after the import were studied by using DESeq2 v1.26.0, an R-based tool that performs DGE analysis by using a negative binomial distribution </w:t>
      </w:r>
      <w:r>
        <w:fldChar w:fldCharType="begin"/>
      </w:r>
      <w:r>
        <w:rPr>
          <w:sz w:val="24"/>
          <w:szCs w:val="24"/>
          <w:rFonts w:cs="Times New Roman" w:ascii="Times New Roman" w:hAnsi="Times New Roman"/>
          <w:lang w:val="en-US"/>
        </w:rPr>
        <w:instrText>ADDIN CSL_CITATION {"citationItems":[{"id":"ITEM-1","itemData":{"DOI":"10.1186/s13059-014-0550-8","author":[{"dropping-particle":"","family":"Love","given":"Michael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Biology","id":"ITEM-1","issue":"550","issued":{"date-parts":[["2014"]]},"title":"Moderated estimation of fold change and dispersion for RNA-seq data with DESeq2","type":"article-journal","volume":"15"},"uris":["http://www.mendeley.com/documents/?uuid=1244a853-a5d2-4780-bab6-29c7d8042cab","http://www.mendeley.com/documents/?uuid=4400ad8f-d2e5-4daf-8dc8-6bffe7ac9fc5"]}],"mendeley":{"formattedCitation":"[48]","plainTextFormattedCitation":"[48]","previouslyFormattedCitation":"[48]"},"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[48]</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DESeq2 generates a DESeqDataSet (dds) to store read counts and the intermediate estimated quantities during statistical analysis. The differential analysis steps are automatically performed by calling the DESeq function, and the results tables are generated by calling the results function, the log2 fold change depending on the factor levels specified. To visualize gene changes, an unsupervised gene clustering analysis was applied with the CRAN heatmap package (v.0.12). The level of clustering was also investigated by a principal component analysis (PCA) plot after regularizing the original count data with the regularized log function (rlog) </w:t>
      </w:r>
      <w:r>
        <w:fldChar w:fldCharType="begin"/>
      </w:r>
      <w:r>
        <w:rPr>
          <w:sz w:val="24"/>
          <w:szCs w:val="24"/>
          <w:rFonts w:cs="Times New Roman" w:ascii="Times New Roman" w:hAnsi="Times New Roman"/>
          <w:lang w:val="en-US"/>
        </w:rPr>
        <w:instrText>ADDIN CSL_CITATION {"citationItems":[{"id":"ITEM-1","itemData":{"DOI":"10.1038/nmeth.4346","ISSN":"1548-7091","author":[{"dropping-particle":"","family":"Lever","given":"Jake","non-dropping-particle":"","parse-names":false,"suffix":""},{"dropping-particle":"","family":"Krzywinski","given":"Martin","non-dropping-particle":"","parse-names":false,"suffix":""},{"dropping-particle":"","family":"Altman","given":"Naomi","non-dropping-particle":"","parse-names":false,"suffix":""}],"container-title":"Nature Methods","id":"ITEM-1","issue":"7","issued":{"date-parts":[["2017"]]},"page":"641-642","publisher":"Nature Publishing Group","title":"Principal component analysis","type":"article-journal","volume":"14"},"uris":["http://www.mendeley.com/documents/?uuid=ae574884-718c-44e5-b83d-46627f92ec72","http://www.mendeley.com/documents/?uuid=b524b13c-ba1c-4569-a1ed-7f5e58fc774e"]}],"mendeley":{"formattedCitation":"[49]","plainTextFormattedCitation":"[49]","previouslyFormattedCitation":"[49]"},"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[49]</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Lists of highly up/downregulated genes were created, with absolute log</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FoldChange ≥ log</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 xml:space="preserve">(1.5) and P-adjusted value (padj) ≤ 0.05 as cut-off criteria. MA (ratio intensity) plots were also generated. R v3.6.1 was used for the analysis. </w:t>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480" w:before="0" w:after="0"/>
        <w:jc w:val="both"/>
        <w:rPr>
          <w:rFonts w:ascii="Times New Roman" w:hAnsi="Times New Roman" w:cs="Times New Roman"/>
          <w:i/>
          <w:i/>
          <w:iCs/>
          <w:sz w:val="24"/>
          <w:szCs w:val="24"/>
          <w:lang w:val="en-US"/>
        </w:rPr>
      </w:pPr>
      <w:r>
        <w:rPr>
          <w:rFonts w:cs="Times New Roman" w:ascii="Times New Roman" w:hAnsi="Times New Roman"/>
          <w:i/>
          <w:iCs/>
          <w:sz w:val="24"/>
          <w:szCs w:val="24"/>
          <w:lang w:val="en-US"/>
        </w:rPr>
        <w:t xml:space="preserve">Gene ontology (GO) analysis: </w:t>
      </w:r>
      <w:r>
        <w:rPr>
          <w:rFonts w:cs="Times New Roman" w:ascii="Times New Roman" w:hAnsi="Times New Roman"/>
          <w:iCs/>
          <w:sz w:val="24"/>
          <w:szCs w:val="24"/>
          <w:lang w:val="en-US"/>
        </w:rPr>
        <w:t xml:space="preserve">Functional annotations </w:t>
      </w:r>
      <w:r>
        <w:rPr>
          <w:rFonts w:cs="Times New Roman" w:ascii="Times New Roman" w:hAnsi="Times New Roman"/>
          <w:sz w:val="24"/>
          <w:szCs w:val="24"/>
          <w:lang w:val="en-US"/>
        </w:rPr>
        <w:t xml:space="preserve">of the lists of significantly enriched genes corresponding to the experimental conditions were studied by using goseq, a Bioconductor package that takes length bias into account by calculating a Probability Weighting Function (PWF) </w:t>
      </w:r>
      <w:r>
        <w:fldChar w:fldCharType="begin"/>
      </w:r>
      <w:r>
        <w:rPr>
          <w:sz w:val="24"/>
          <w:szCs w:val="24"/>
          <w:rFonts w:cs="Times New Roman" w:ascii="Times New Roman" w:hAnsi="Times New Roman"/>
          <w:lang w:val="en-US"/>
        </w:rPr>
        <w:instrText>ADDIN CSL_CITATION {"citationItems":[{"id":"ITEM-1","itemData":{"author":[{"dropping-particle":"","family":"Young","given":"Matthew D","non-dropping-particle":"","parse-names":false,"suffix":""},{"dropping-particle":"","family":"Wakefield","given":"Matthew J","non-dropping-particle":"","parse-names":false,"suffix":""},{"dropping-particle":"","family":"Smyth","given":"Gordon K","non-dropping-particle":"","parse-names":false,"suffix":""},{"dropping-particle":"","family":"Oshlack","given":"Alicia","non-dropping-particle":"","parse-names":false,"suffix":""}],"container-title":"Genome Biology","id":"ITEM-1","issue":"R14","issued":{"date-parts":[["2010"]]},"title":"Gene ontology analysis for RNA-seq : accounting for selection bias","type":"article-journal","volume":"11"},"uris":["http://www.mendeley.com/documents/?uuid=d459e4e6-9ad5-4fa2-868b-96cf907247b8","http://www.mendeley.com/documents/?uuid=78da1a91-a1c6-49c8-920f-da7e68accc92"]},{"id":"ITEM-2","itemData":{"DOI":"10.1186/1745-6150-4-14","author":[{"dropping-particle":"","family":"Oshlack","given":"Alicia","non-dropping-particle":"","parse-names":false,"suffix":""},{"dropping-particle":"","family":"Wakefield","given":"Matthew J","non-dropping-particle":"","parse-names":false,"suffix":""}],"container-title":"Biology Direct","id":"ITEM-2","issue":"14","issued":{"date-parts":[["2009"]]},"title":"Transcript length bias in RNA-seq data confounds systems biology","type":"article-journal","volume":"4"},"uris":["http://www.mendeley.com/documents/?uuid=91c1a078-ac0f-417c-9b21-fbc1eba1012c","http://www.mendeley.com/documents/?uuid=22b67fb4-9005-418e-9af4-557c84e74f3b"]}],"mendeley":{"formattedCitation":"[50,51]","plainTextFormattedCitation":"[50,51]","previouslyFormattedCitation":"[50,51]"},"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[50,51]</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Goseq-based analysis requires a vector containing all the genes found in an RNAseq dataset for an experimental comparison, the genes being separated in a binary manner: enriched ones (1), uninteresting ones (0). A Wallenius distribution is then used to determine whether each GO category is over/under-represented among the set of differentially expressed genes. The output GO terms were sorted based on their associated p values (p ≤ 0.05 as cut-off), and their biological meaning was studied by using the online AMIGO2 tool (http://amigo.geneontology.org/amigo/landing). The annotations are based on the Ensembl genome browser.</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t>Western blot analysis</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Proteins were separated by using 4% to 12% Novex Tris-Glycine mini gel electrophoresis (Fisher Scientific) under reducing conditions and transferred onto a PVDF membrane. Blotted membranes were blocked by using 5% skin milk at room temperature for 1 hr, incubated overnight at 4°C with primary antibody diluted in 5% bovine serum albumin and incubated with horseradish peroxidase-conjugated secondary antibody diluted in 5% skin milk for 1 hr at room temperature. Chemiluminescent detection was achieved with Clarity Western ECL Substrat (BioRad). Primary antibodies were mouse anti-YAP (1:1000, sc-101199, Santa Cruz Biotechnology), mouse anti-TAZ (1:1000, 560235, BD Bioscience), rabbit anti-YAP/TAZ (1:1000, 8418S, Cell signaling) and anti-GAPDH as a control (1:1000, ab9484, Abcam). Secondary antibodies were rabbit anti-mouse (1:10000, ab6728, Abcam) and goat anti-rabbit (1:10000, ab6721, Abcam). Chemiluminescent signals were detected by using the Azure Imaging System and were quantified with ImageJ.</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t xml:space="preserve">Histology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Collagen hydrogels were fixed with AntigenFix for 24 hr and embedded in paraffin; 5-µm thick sections were obtained by using an automatic microtome (Leica) For histological cryosections, left femurs from 6-month-old mice were fixed in 4% paraformaldehyde overnight at 4°C and then decalcified in 0.5 M EDTA (pH 7.4) at 4 °C with constant shaking for 10 days with four changes of EDTA solution. Decalcified bones were washed twice with a mixture of 10% sucrose in phosphate buffered saline (PBS) and then with 30% sucrose in PBS overnight at 4°C. The next morning, all samples were cryoprotected with a 50/50 mixture of 30% sucrose solution and then 100% OCT compound overnight at 4°C. Next day, bones were embedded with 100% OCT compound at -20°C and cryosections of 5-μm thick were obtained by using a cryostat (X, Thermo Scientific).</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For immunofluorescence analysis from collagen hydrogel, 5-µm thick sections were dewaxed and treated with HIER Citrate Buffer pH 6.0 (Zymoted) for 1 hr at 95°C, followed by treatment with 0.1% pepsin diluted in 10% acetic acid solution for 1 hr at 37°C and with glycin 1% for 30 min at room temperature. Permeabilization involved using 0.1% PBS-Triton for 10 min at room temperature and blocking epitopes was performed in PBS-1% BSA-1% glycine. Primary antibodies used for immunofluorescence are listed in the previous section. For immunofluorescence analysis from femur, 5-µm thick sections were permeabilized with Tween 0.05% and then blocked with PBS-serum donkey serum 5%-glycine 100 mM for 30 min.</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All antibodies used were diluted in PBS-BSA-1%-glycine-1% for collagen hydrogel and PBS-serum donkey serum 5%-glycine 100 mM for femurs with a dilution ratio of 1:200 for primary antibodies (rabbit anti-YAP/TAZ, 8418S, Cell Signalling or purified rabbit IgG, Rb-003-V, ImmunoReagents) and 1:100 for secondary antibodies coupled to fluorochrome DyLight550 (donkey anti-rabbit, SA5-10039, Invitrogen). DAPI staining was used to identify nuclei. The fluorescent signal was preserved by using DAKO mounting fluorescence medium. Images were acquired by using the Apotome optical sectioning system (Zeiss) with an inverted microscope (Zeiss Axio Observer Z1).</w:t>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r>
    </w:p>
    <w:p>
      <w:pPr>
        <w:pStyle w:val="Normal"/>
        <w:spacing w:lineRule="auto" w:line="480" w:before="0" w:after="0"/>
        <w:jc w:val="both"/>
        <w:rPr>
          <w:rFonts w:ascii="Times New Roman" w:hAnsi="Times New Roman" w:cs="Times New Roman"/>
          <w:i/>
          <w:i/>
          <w:sz w:val="24"/>
          <w:szCs w:val="24"/>
          <w:lang w:val="en-US"/>
        </w:rPr>
      </w:pPr>
      <w:r>
        <w:rPr>
          <w:rFonts w:cs="Times New Roman" w:ascii="Times New Roman" w:hAnsi="Times New Roman"/>
          <w:i/>
          <w:sz w:val="24"/>
          <w:szCs w:val="24"/>
          <w:lang w:val="en-US"/>
        </w:rPr>
        <w:t>Statistical analysis</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Data are presented as mean ± SEM and dot plots represent each collagen hydrogel. Statistical analysis involved using the Mann-Whitney U test for comparing two independent samples. Two-way ANOVA was used for multiple comparisons and controlling the false discovery rate correction. P&lt;0.05 was considered statistically significant. Statistical analyses involved using GraphPad Prism 7.00 (GraphPad Software, La Jolla, CA, USA).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keepNext w:val="true"/>
        <w:spacing w:lineRule="auto" w:line="240" w:before="0" w:after="160"/>
        <w:rPr>
          <w:rFonts w:ascii="Times New Roman" w:hAnsi="Times New Roman" w:cs="Times New Roman"/>
          <w:b/>
          <w:b/>
          <w:sz w:val="24"/>
          <w:szCs w:val="24"/>
          <w:lang w:val="en-US"/>
        </w:rPr>
      </w:pPr>
      <w:r>
        <w:rPr>
          <w:rFonts w:cs="Times New Roman" w:ascii="Times New Roman" w:hAnsi="Times New Roman"/>
          <w:b/>
          <w:sz w:val="24"/>
          <w:szCs w:val="24"/>
          <w:lang w:val="en-US"/>
        </w:rPr>
        <w:t>Results</w:t>
      </w:r>
    </w:p>
    <w:p>
      <w:pPr>
        <w:pStyle w:val="Normal"/>
        <w:keepNext w:val="true"/>
        <w:spacing w:lineRule="auto" w:line="240" w:before="0" w:after="0"/>
        <w:jc w:val="both"/>
        <w:rPr>
          <w:rFonts w:ascii="Times New Roman" w:hAnsi="Times New Roman" w:cs="Times New Roman"/>
          <w:b/>
          <w:b/>
          <w:i/>
          <w:i/>
          <w:sz w:val="24"/>
          <w:szCs w:val="24"/>
          <w:lang w:val="en-US"/>
        </w:rPr>
      </w:pPr>
      <w:r>
        <w:rPr>
          <w:rFonts w:cs="Times New Roman" w:ascii="Times New Roman" w:hAnsi="Times New Roman"/>
          <w:b/>
          <w:i/>
          <w:sz w:val="24"/>
          <w:szCs w:val="24"/>
          <w:lang w:val="en-US"/>
        </w:rPr>
      </w:r>
    </w:p>
    <w:p>
      <w:pPr>
        <w:pStyle w:val="Normal"/>
        <w:keepNext w:val="true"/>
        <w:spacing w:lineRule="auto" w:line="240" w:before="0" w:after="0"/>
        <w:jc w:val="both"/>
        <w:rPr>
          <w:rFonts w:ascii="Times New Roman" w:hAnsi="Times New Roman" w:cs="Times New Roman"/>
          <w:bCs/>
          <w:sz w:val="24"/>
          <w:szCs w:val="24"/>
          <w:lang w:val="en-US"/>
        </w:rPr>
      </w:pPr>
      <w:r>
        <w:rPr>
          <w:rFonts w:cs="Times New Roman" w:ascii="Times New Roman" w:hAnsi="Times New Roman"/>
          <w:b/>
          <w:i/>
          <w:sz w:val="24"/>
          <w:szCs w:val="24"/>
          <w:lang w:val="en-US"/>
        </w:rPr>
        <w:t>3D mechanical loading enhances the mechanosensing</w:t>
      </w:r>
      <w:r>
        <w:rPr>
          <w:rFonts w:cs="Times New Roman" w:ascii="Times New Roman" w:hAnsi="Times New Roman"/>
          <w:b/>
          <w:i/>
          <w:iCs/>
          <w:sz w:val="24"/>
          <w:szCs w:val="24"/>
          <w:lang w:val="en-US"/>
        </w:rPr>
        <w:t xml:space="preserve"> of the osteocyte-like cell line MLO-Y4</w:t>
      </w:r>
      <w:r>
        <w:rPr>
          <w:rFonts w:cs="Times New Roman" w:ascii="Times New Roman" w:hAnsi="Times New Roman"/>
          <w:bCs/>
          <w:sz w:val="24"/>
          <w:szCs w:val="24"/>
          <w:lang w:val="en-US"/>
        </w:rPr>
        <w:t xml:space="preserve"> </w:t>
      </w:r>
    </w:p>
    <w:p>
      <w:pPr>
        <w:pStyle w:val="Normal"/>
        <w:keepNext w:val="true"/>
        <w:spacing w:lineRule="auto" w:line="240" w:before="0" w:after="0"/>
        <w:jc w:val="both"/>
        <w:rPr>
          <w:rFonts w:ascii="Times New Roman" w:hAnsi="Times New Roman" w:cs="Times New Roman"/>
          <w:b/>
          <w:b/>
          <w:i/>
          <w:i/>
          <w:sz w:val="24"/>
          <w:szCs w:val="24"/>
          <w:lang w:val="en-US"/>
        </w:rPr>
      </w:pPr>
      <w:r>
        <w:rPr>
          <w:rFonts w:cs="Times New Roman" w:ascii="Times New Roman" w:hAnsi="Times New Roman"/>
          <w:b/>
          <w:i/>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To define the best conditions for </w:t>
      </w:r>
      <w:r>
        <w:rPr>
          <w:rFonts w:cs="Times New Roman" w:ascii="Times New Roman" w:hAnsi="Times New Roman"/>
          <w:bCs/>
          <w:sz w:val="24"/>
          <w:szCs w:val="24"/>
          <w:lang w:val="en-US"/>
        </w:rPr>
        <w:t xml:space="preserve">osteocyte-like cell line </w:t>
      </w:r>
      <w:r>
        <w:rPr>
          <w:rFonts w:cs="Times New Roman" w:ascii="Times New Roman" w:hAnsi="Times New Roman"/>
          <w:sz w:val="24"/>
          <w:szCs w:val="24"/>
          <w:lang w:val="en-US"/>
        </w:rPr>
        <w:t xml:space="preserve">culture in response to mechanical loading, we used both cyclic mechanical 2D stretching and 3D compression on MLO-Y4 cells. In comparison to 2D stretching and unloaded mechanical conditions, 3D compression activated certain mechanosensitive genes such as </w:t>
      </w:r>
      <w:r>
        <w:rPr>
          <w:rFonts w:cs="Times New Roman" w:ascii="Times New Roman" w:hAnsi="Times New Roman"/>
          <w:i/>
          <w:iCs/>
          <w:sz w:val="24"/>
          <w:szCs w:val="24"/>
          <w:lang w:val="en-US"/>
        </w:rPr>
        <w:t>E11</w:t>
      </w:r>
      <w:r>
        <w:rPr>
          <w:rFonts w:cs="Times New Roman" w:ascii="Times New Roman" w:hAnsi="Times New Roman"/>
          <w:sz w:val="24"/>
          <w:szCs w:val="24"/>
          <w:lang w:val="en-US"/>
        </w:rPr>
        <w:t xml:space="preserve"> and COX2-encoding </w:t>
      </w:r>
      <w:r>
        <w:rPr>
          <w:rFonts w:cs="Times New Roman" w:ascii="Times New Roman" w:hAnsi="Times New Roman"/>
          <w:i/>
          <w:iCs/>
          <w:sz w:val="24"/>
          <w:szCs w:val="24"/>
          <w:lang w:val="en-US"/>
        </w:rPr>
        <w:t>Ptgs2</w:t>
      </w:r>
      <w:r>
        <w:rPr>
          <w:rFonts w:cs="Times New Roman" w:ascii="Times New Roman" w:hAnsi="Times New Roman"/>
          <w:sz w:val="24"/>
          <w:szCs w:val="24"/>
          <w:lang w:val="en-US"/>
        </w:rPr>
        <w:t xml:space="preserve"> (Figure 1A). Therefore, the 3D osteocyte compression model was chosen for all the following experiments.</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bCs/>
          <w:sz w:val="24"/>
          <w:szCs w:val="24"/>
          <w:lang w:val="en-US"/>
        </w:rPr>
        <w:t xml:space="preserve">Osteocyte-like cell line MLO-Y4 </w:t>
      </w:r>
      <w:r>
        <w:rPr>
          <w:rFonts w:cs="Times New Roman" w:ascii="Times New Roman" w:hAnsi="Times New Roman"/>
          <w:sz w:val="24"/>
          <w:szCs w:val="24"/>
          <w:lang w:val="en-US"/>
        </w:rPr>
        <w:t xml:space="preserve">mechanical loading led to activation of the YAP/TAZ pathway, as shown by an increase in the expression of the target genes </w:t>
      </w:r>
      <w:r>
        <w:rPr>
          <w:rFonts w:cs="Times New Roman" w:ascii="Times New Roman" w:hAnsi="Times New Roman"/>
          <w:i/>
          <w:iCs/>
          <w:sz w:val="24"/>
          <w:szCs w:val="24"/>
          <w:lang w:val="en-US"/>
        </w:rPr>
        <w:t>Ankdr1</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Tead4</w:t>
      </w:r>
      <w:r>
        <w:rPr>
          <w:rFonts w:cs="Times New Roman" w:ascii="Times New Roman" w:hAnsi="Times New Roman"/>
          <w:sz w:val="24"/>
          <w:szCs w:val="24"/>
          <w:lang w:val="en-US"/>
        </w:rPr>
        <w:t xml:space="preserve"> (Figure 1B). The activation of YAP/TAZ signaling was further confirmed by immunofluorescence with quantification of the nuclear translocation, this being increased in response to mechanical loading (Figure 1C). 3D compression not only reduced </w:t>
      </w:r>
      <w:r>
        <w:rPr>
          <w:rFonts w:cs="Times New Roman" w:ascii="Times New Roman" w:hAnsi="Times New Roman"/>
          <w:i/>
          <w:iCs/>
          <w:sz w:val="24"/>
          <w:szCs w:val="24"/>
          <w:lang w:val="en-US"/>
        </w:rPr>
        <w:t xml:space="preserve">Yap </w:t>
      </w:r>
      <w:r>
        <w:rPr>
          <w:rFonts w:cs="Times New Roman" w:ascii="Times New Roman" w:hAnsi="Times New Roman"/>
          <w:sz w:val="24"/>
          <w:szCs w:val="24"/>
          <w:lang w:val="en-US"/>
        </w:rPr>
        <w:t>expression</w:t>
      </w:r>
      <w:r>
        <w:rPr>
          <w:rFonts w:cs="Times New Roman" w:ascii="Times New Roman" w:hAnsi="Times New Roman"/>
          <w:i/>
          <w:iCs/>
          <w:sz w:val="24"/>
          <w:szCs w:val="24"/>
          <w:lang w:val="en-US"/>
        </w:rPr>
        <w:t xml:space="preserve"> </w:t>
      </w:r>
      <w:r>
        <w:rPr>
          <w:rFonts w:cs="Times New Roman" w:ascii="Times New Roman" w:hAnsi="Times New Roman"/>
          <w:iCs/>
          <w:sz w:val="24"/>
          <w:szCs w:val="24"/>
          <w:lang w:val="en-US"/>
        </w:rPr>
        <w:t>but also increased</w:t>
      </w:r>
      <w:r>
        <w:rPr>
          <w:rFonts w:cs="Times New Roman" w:ascii="Times New Roman" w:hAnsi="Times New Roman"/>
          <w:i/>
          <w:iCs/>
          <w:sz w:val="24"/>
          <w:szCs w:val="24"/>
          <w:lang w:val="en-US"/>
        </w:rPr>
        <w:t xml:space="preserve"> Taz</w:t>
      </w:r>
      <w:r>
        <w:rPr>
          <w:rFonts w:cs="Times New Roman" w:ascii="Times New Roman" w:hAnsi="Times New Roman"/>
          <w:sz w:val="24"/>
          <w:szCs w:val="24"/>
          <w:lang w:val="en-US"/>
        </w:rPr>
        <w:t xml:space="preserve"> expression (Figure 1D). Moreover, 3D compression enhanced the protein expression of YAP/TAZ, thus suggesting a stabilization of the YAP/TAZ protein (Figure 1E). To confirm YAP/TAZ expression </w:t>
      </w:r>
      <w:r>
        <w:rPr>
          <w:rFonts w:cs="Times New Roman" w:ascii="Times New Roman" w:hAnsi="Times New Roman"/>
          <w:i/>
          <w:sz w:val="24"/>
          <w:szCs w:val="24"/>
          <w:lang w:val="en-US"/>
        </w:rPr>
        <w:t>in vivo</w:t>
      </w:r>
      <w:r>
        <w:rPr>
          <w:rFonts w:cs="Times New Roman" w:ascii="Times New Roman" w:hAnsi="Times New Roman"/>
          <w:sz w:val="24"/>
          <w:szCs w:val="24"/>
          <w:lang w:val="en-US"/>
        </w:rPr>
        <w:t xml:space="preserve"> in osteocytes, antibody labelling was performed in femurs of 6-month-old mice. YAP/TAZ staining was found in both cortical and trabecular bones (Figure 2).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Characterization of YAP/TAZ gene response to mechanical loading in the </w:t>
      </w:r>
      <w:r>
        <w:rPr>
          <w:rFonts w:cs="Times New Roman" w:ascii="Times New Roman" w:hAnsi="Times New Roman"/>
          <w:b/>
          <w:i/>
          <w:iCs/>
          <w:sz w:val="24"/>
          <w:szCs w:val="24"/>
          <w:lang w:val="en-US"/>
        </w:rPr>
        <w:t xml:space="preserve">MLO-Y4 osteocyte-like cell line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RNAseq was used to determine the biological processes modulated by YAP/TAZ as part of the osteocyte mechanosensing process. The screening was performed on cells with shRNA</w:t>
      </w:r>
      <w:r>
        <w:rPr>
          <w:rFonts w:cs="Times New Roman" w:ascii="Times New Roman" w:hAnsi="Times New Roman"/>
          <w:i/>
          <w:iCs/>
          <w:sz w:val="24"/>
          <w:szCs w:val="24"/>
          <w:lang w:val="en-US"/>
        </w:rPr>
        <w:t xml:space="preserve"> </w:t>
      </w:r>
      <w:r>
        <w:rPr>
          <w:rFonts w:cs="Times New Roman" w:ascii="Times New Roman" w:hAnsi="Times New Roman"/>
          <w:iCs/>
          <w:sz w:val="24"/>
          <w:szCs w:val="24"/>
          <w:lang w:val="en-US"/>
        </w:rPr>
        <w:t xml:space="preserve">knockdown of </w:t>
      </w:r>
      <w:r>
        <w:rPr>
          <w:rFonts w:cs="Times New Roman" w:ascii="Times New Roman" w:hAnsi="Times New Roman"/>
          <w:i/>
          <w:iCs/>
          <w:sz w:val="24"/>
          <w:szCs w:val="24"/>
          <w:lang w:val="en-US"/>
        </w:rPr>
        <w:t>Yap/Taz</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 xml:space="preserve">Yap </w:t>
      </w:r>
      <w:r>
        <w:rPr>
          <w:rFonts w:cs="Times New Roman" w:ascii="Times New Roman" w:hAnsi="Times New Roman"/>
          <w:sz w:val="24"/>
          <w:szCs w:val="24"/>
          <w:lang w:val="en-US"/>
        </w:rPr>
        <w:t xml:space="preserve">and </w:t>
      </w:r>
      <w:r>
        <w:rPr>
          <w:rFonts w:cs="Times New Roman" w:ascii="Times New Roman" w:hAnsi="Times New Roman"/>
          <w:i/>
          <w:iCs/>
          <w:sz w:val="24"/>
          <w:szCs w:val="24"/>
          <w:lang w:val="en-US"/>
        </w:rPr>
        <w:t xml:space="preserve">Taz </w:t>
      </w:r>
      <w:r>
        <w:rPr>
          <w:rFonts w:cs="Times New Roman" w:ascii="Times New Roman" w:hAnsi="Times New Roman"/>
          <w:sz w:val="24"/>
          <w:szCs w:val="24"/>
          <w:lang w:val="en-US"/>
        </w:rPr>
        <w:t xml:space="preserve">shRNA-based silencing was sufficient to decrease both YAP/TAZ mRNA and protein levels (Supplemental figure 1A-B).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RNAseq analysis demonstrated via principal component analysis that regardless of the YAP/TAZ knockdown, the loading component accounted for most of the variance (principal component 1 = 92%), which suggests a strong effect of the loading factor (Figure 3A). Figure 3B-D shows the MA plots that are the plots of log averages (A values) against log2 fold changes (M values). These were generated as part of the RNAseq analysis, and the most up/downregulated genes specific to each experimental condition are indicated. </w:t>
      </w:r>
      <w:r>
        <w:rPr>
          <w:rFonts w:cs="Times New Roman" w:ascii="Times New Roman" w:hAnsi="Times New Roman"/>
          <w:i/>
          <w:iCs/>
          <w:sz w:val="24"/>
          <w:szCs w:val="24"/>
          <w:lang w:val="en-US"/>
        </w:rPr>
        <w:t>Cxcl2</w:t>
      </w:r>
      <w:r>
        <w:rPr>
          <w:rFonts w:cs="Times New Roman" w:ascii="Times New Roman" w:hAnsi="Times New Roman"/>
          <w:sz w:val="24"/>
          <w:szCs w:val="24"/>
          <w:lang w:val="en-US"/>
        </w:rPr>
        <w:t xml:space="preserve"> was the most highly upregulated gene induced by mechanical loading in control cells (Figure 3B). The 3D loading induced a higher number of enriched genes (Figure 3B) as compared with YAP/TAZ deletion, thus eluding to a discrete gene profile triggered by the silencing of these transcriptional coactivators. The gene response of the deletion of YAP or TAZ under mechanical loading led to some similarity, thus suggesting a certain level of redundancy. </w:t>
      </w:r>
      <w:r>
        <w:rPr>
          <w:rFonts w:cs="Times New Roman" w:ascii="Times New Roman" w:hAnsi="Times New Roman"/>
          <w:i/>
          <w:iCs/>
          <w:sz w:val="24"/>
          <w:szCs w:val="24"/>
          <w:lang w:val="en-US"/>
        </w:rPr>
        <w:t>Fbn2</w:t>
      </w:r>
      <w:r>
        <w:rPr>
          <w:rFonts w:cs="Times New Roman" w:ascii="Times New Roman" w:hAnsi="Times New Roman"/>
          <w:sz w:val="24"/>
          <w:szCs w:val="24"/>
          <w:lang w:val="en-US"/>
        </w:rPr>
        <w:t xml:space="preserve">  was one of the common genes upregulated by both YAP and TAZ individual deletion in osteocytic cells under mechanical loading. In addition, the silencing of YAP and TAZ was effective because both transcriptional cofactors were among the most downregulated genes (Figure 3C and 3D).</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59" w:before="0" w:after="160"/>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Gene ontology (GO) analysis </w:t>
      </w:r>
    </w:p>
    <w:p>
      <w:pPr>
        <w:pStyle w:val="Default"/>
        <w:spacing w:lineRule="auto" w:line="480"/>
        <w:jc w:val="both"/>
        <w:rPr>
          <w:rFonts w:ascii="Times New Roman" w:hAnsi="Times New Roman" w:cs="Times New Roman"/>
          <w:color w:val="auto"/>
          <w:lang w:val="en-US"/>
        </w:rPr>
      </w:pPr>
      <w:r>
        <w:rPr>
          <w:rFonts w:cs="Times New Roman" w:ascii="Times New Roman" w:hAnsi="Times New Roman"/>
          <w:color w:val="auto"/>
          <w:lang w:val="en-US"/>
        </w:rPr>
        <w:t xml:space="preserve">GO analysis was used to identify biological processes regulated by YAP/TAZ under mechanical loading in the </w:t>
      </w:r>
      <w:r>
        <w:rPr>
          <w:rFonts w:cs="Times New Roman" w:ascii="Times New Roman" w:hAnsi="Times New Roman"/>
          <w:bCs/>
          <w:lang w:val="en-US"/>
        </w:rPr>
        <w:t>osteocyte-like cell line MLO-Y4</w:t>
      </w:r>
      <w:r>
        <w:rPr>
          <w:rFonts w:cs="Times New Roman" w:ascii="Times New Roman" w:hAnsi="Times New Roman"/>
          <w:color w:val="auto"/>
          <w:lang w:val="en-US"/>
        </w:rPr>
        <w:t>. The output GO terms resulting from the goseq analysis pipeline were sorted based on their p-value, and details are provided for the top most-enriched terms of every experimental comparison (Supplemental Tables II and III). Supplemental table II indicates that TEAD1 and TEAD2 were among the top genes regulated in response to mechanical loading via YAP because YAP deletion highlighted an alteration of the genes contributing to these GO terms. Several GO terms related to dendritic morphogenesis were highlighted after cell loading, thus suggesting the contribution of YAP and TAZ in the relation between osteocytic cell functioning and the lacuna-canaliculi system (Supplemental Tables II and III).</w:t>
      </w:r>
    </w:p>
    <w:p>
      <w:pPr>
        <w:pStyle w:val="Default"/>
        <w:spacing w:lineRule="auto" w:line="480"/>
        <w:jc w:val="both"/>
        <w:rPr>
          <w:rFonts w:ascii="Times New Roman" w:hAnsi="Times New Roman" w:cs="Times New Roman"/>
          <w:color w:val="auto"/>
          <w:lang w:val="en-US"/>
        </w:rPr>
      </w:pPr>
      <w:r>
        <w:rPr>
          <w:rFonts w:cs="Times New Roman" w:ascii="Times New Roman" w:hAnsi="Times New Roman"/>
          <w:color w:val="auto"/>
          <w:lang w:val="en-US"/>
        </w:rPr>
      </w:r>
    </w:p>
    <w:p>
      <w:pPr>
        <w:pStyle w:val="Normal"/>
        <w:spacing w:lineRule="auto" w:line="480" w:before="0" w:after="0"/>
        <w:jc w:val="both"/>
        <w:rPr>
          <w:rFonts w:ascii="Times New Roman" w:hAnsi="Times New Roman" w:cs="Times New Roman"/>
          <w:b/>
          <w:b/>
          <w:i/>
          <w:i/>
          <w:sz w:val="24"/>
          <w:szCs w:val="24"/>
          <w:lang w:val="en-US"/>
        </w:rPr>
      </w:pPr>
      <w:r>
        <w:rPr>
          <w:rFonts w:cs="Times New Roman" w:ascii="Times New Roman" w:hAnsi="Times New Roman"/>
          <w:b/>
          <w:i/>
          <w:sz w:val="24"/>
          <w:szCs w:val="24"/>
          <w:lang w:val="en-US"/>
        </w:rPr>
        <w:t xml:space="preserve">YAP/TAZ mediates mechanicall -induced chemokine expression in the </w:t>
      </w:r>
      <w:r>
        <w:rPr>
          <w:rFonts w:cs="Times New Roman" w:ascii="Times New Roman" w:hAnsi="Times New Roman"/>
          <w:b/>
          <w:i/>
          <w:iCs/>
          <w:sz w:val="24"/>
          <w:szCs w:val="24"/>
          <w:lang w:val="en-US"/>
        </w:rPr>
        <w:t>MLO-Y4 osteocyte-like cell line</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Because </w:t>
      </w:r>
      <w:r>
        <w:rPr>
          <w:rFonts w:cs="Times New Roman" w:ascii="Times New Roman" w:hAnsi="Times New Roman"/>
          <w:i/>
          <w:iCs/>
          <w:sz w:val="24"/>
          <w:szCs w:val="24"/>
          <w:lang w:val="en-US"/>
        </w:rPr>
        <w:t xml:space="preserve">Cxcl2 </w:t>
      </w:r>
      <w:r>
        <w:rPr>
          <w:rFonts w:cs="Times New Roman" w:ascii="Times New Roman" w:hAnsi="Times New Roman"/>
          <w:sz w:val="24"/>
          <w:szCs w:val="24"/>
          <w:lang w:val="en-US"/>
        </w:rPr>
        <w:t>was the most upregulated gene in MLO-Y4 osteocytes after mechanical loading, a part of the RNAseq analysis focused on the effect of mechanical loading on chemokine expression (</w:t>
      </w:r>
      <w:r>
        <w:rPr>
          <w:rFonts w:cs="Times New Roman" w:ascii="Times New Roman" w:hAnsi="Times New Roman"/>
          <w:lang w:val="en-US"/>
        </w:rPr>
        <w:t>Supplemental</w:t>
      </w:r>
      <w:r>
        <w:rPr>
          <w:rFonts w:cs="Times New Roman" w:ascii="Times New Roman" w:hAnsi="Times New Roman"/>
          <w:sz w:val="24"/>
          <w:szCs w:val="24"/>
          <w:lang w:val="en-US"/>
        </w:rPr>
        <w:t xml:space="preserve"> Table III). Mechanical strains induced a large increase in </w:t>
      </w:r>
      <w:r>
        <w:rPr>
          <w:rFonts w:cs="Times New Roman" w:ascii="Times New Roman" w:hAnsi="Times New Roman"/>
          <w:i/>
          <w:iCs/>
          <w:sz w:val="24"/>
          <w:szCs w:val="24"/>
          <w:lang w:val="en-US"/>
        </w:rPr>
        <w:t>Cxcl1</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Cxcl2</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Cxcl3</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Cxcl9</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Cxcl10</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 xml:space="preserve">Csf1 </w:t>
      </w:r>
      <w:r>
        <w:rPr>
          <w:rFonts w:cs="Times New Roman" w:ascii="Times New Roman" w:hAnsi="Times New Roman"/>
          <w:iCs/>
          <w:sz w:val="24"/>
          <w:szCs w:val="24"/>
          <w:lang w:val="en-US"/>
        </w:rPr>
        <w:t xml:space="preserve">levels </w:t>
      </w:r>
      <w:r>
        <w:rPr>
          <w:rFonts w:cs="Times New Roman" w:ascii="Times New Roman" w:hAnsi="Times New Roman"/>
          <w:sz w:val="24"/>
          <w:szCs w:val="24"/>
          <w:lang w:val="en-US"/>
        </w:rPr>
        <w:t xml:space="preserve">in control cells (shRNA control). However, the deletion of YAP and TAZ abolished the increase in </w:t>
      </w:r>
      <w:r>
        <w:rPr>
          <w:rFonts w:cs="Times New Roman" w:ascii="Times New Roman" w:hAnsi="Times New Roman"/>
          <w:i/>
          <w:iCs/>
          <w:sz w:val="24"/>
          <w:szCs w:val="24"/>
          <w:lang w:val="en-US"/>
        </w:rPr>
        <w:t>Cxcl3</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Cxcl9</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Cxcl10</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 xml:space="preserve">Csf1 </w:t>
      </w:r>
      <w:r>
        <w:rPr>
          <w:rFonts w:cs="Times New Roman" w:ascii="Times New Roman" w:hAnsi="Times New Roman"/>
          <w:iCs/>
          <w:sz w:val="24"/>
          <w:szCs w:val="24"/>
          <w:lang w:val="en-US"/>
        </w:rPr>
        <w:t>levels</w:t>
      </w:r>
      <w:r>
        <w:rPr>
          <w:rFonts w:cs="Times New Roman" w:ascii="Times New Roman" w:hAnsi="Times New Roman"/>
          <w:i/>
          <w:iCs/>
          <w:sz w:val="24"/>
          <w:szCs w:val="24"/>
          <w:lang w:val="en-US"/>
        </w:rPr>
        <w:t xml:space="preserve"> </w:t>
      </w:r>
      <w:r>
        <w:rPr>
          <w:rFonts w:cs="Times New Roman" w:ascii="Times New Roman" w:hAnsi="Times New Roman"/>
          <w:sz w:val="24"/>
          <w:szCs w:val="24"/>
          <w:lang w:val="en-US"/>
        </w:rPr>
        <w:t>(</w:t>
      </w:r>
      <w:r>
        <w:rPr>
          <w:rFonts w:cs="Times New Roman" w:ascii="Times New Roman" w:hAnsi="Times New Roman"/>
          <w:lang w:val="en-US"/>
        </w:rPr>
        <w:t>Supplemental</w:t>
      </w:r>
      <w:r>
        <w:rPr>
          <w:rFonts w:cs="Times New Roman" w:ascii="Times New Roman" w:hAnsi="Times New Roman"/>
          <w:sz w:val="24"/>
          <w:szCs w:val="24"/>
          <w:lang w:val="en-US"/>
        </w:rPr>
        <w:t xml:space="preserve"> Table III). To confirm the RNAseq results related to chemokine expression in terms of YAP/TAZ modulation, we used real-time qPCR analyses. Mechanical loading indeed increased level of </w:t>
      </w:r>
      <w:r>
        <w:rPr>
          <w:rFonts w:cs="Times New Roman" w:ascii="Times New Roman" w:hAnsi="Times New Roman"/>
          <w:i/>
          <w:iCs/>
          <w:sz w:val="24"/>
          <w:szCs w:val="24"/>
          <w:lang w:val="en-US"/>
        </w:rPr>
        <w:t xml:space="preserve">Csf1 </w:t>
      </w:r>
      <w:r>
        <w:rPr>
          <w:rFonts w:cs="Times New Roman" w:ascii="Times New Roman" w:hAnsi="Times New Roman"/>
          <w:iCs/>
          <w:sz w:val="24"/>
          <w:szCs w:val="24"/>
          <w:lang w:val="en-US"/>
        </w:rPr>
        <w:t>(M-CSF)</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Cxcl3</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 xml:space="preserve">Cxcl9 </w:t>
      </w:r>
      <w:r>
        <w:rPr>
          <w:rFonts w:cs="Times New Roman" w:ascii="Times New Roman" w:hAnsi="Times New Roman"/>
          <w:sz w:val="24"/>
          <w:szCs w:val="24"/>
          <w:lang w:val="en-US"/>
        </w:rPr>
        <w:t xml:space="preserve">and </w:t>
      </w:r>
      <w:r>
        <w:rPr>
          <w:rFonts w:cs="Times New Roman" w:ascii="Times New Roman" w:hAnsi="Times New Roman"/>
          <w:i/>
          <w:iCs/>
          <w:sz w:val="24"/>
          <w:szCs w:val="24"/>
          <w:lang w:val="en-US"/>
        </w:rPr>
        <w:t>Cxcl10</w:t>
      </w:r>
      <w:r>
        <w:rPr>
          <w:rFonts w:cs="Times New Roman" w:ascii="Times New Roman" w:hAnsi="Times New Roman"/>
          <w:sz w:val="24"/>
          <w:szCs w:val="24"/>
          <w:lang w:val="en-US"/>
        </w:rPr>
        <w:t xml:space="preserve"> in control cells (Figure 4). Silencing YAP/TAZ partially blunted the upregulation of </w:t>
      </w:r>
      <w:r>
        <w:rPr>
          <w:rFonts w:cs="Times New Roman" w:ascii="Times New Roman" w:hAnsi="Times New Roman"/>
          <w:i/>
          <w:iCs/>
          <w:sz w:val="24"/>
          <w:szCs w:val="24"/>
          <w:lang w:val="en-US"/>
        </w:rPr>
        <w:t>Csf1</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Cxcl3</w:t>
      </w:r>
      <w:r>
        <w:rPr>
          <w:rFonts w:cs="Times New Roman" w:ascii="Times New Roman" w:hAnsi="Times New Roman"/>
          <w:sz w:val="24"/>
          <w:szCs w:val="24"/>
          <w:lang w:val="en-US"/>
        </w:rPr>
        <w:t xml:space="preserve"> after mechanical loading. In contrast, </w:t>
      </w:r>
      <w:r>
        <w:rPr>
          <w:rFonts w:cs="Times New Roman" w:ascii="Times New Roman" w:hAnsi="Times New Roman"/>
          <w:i/>
          <w:iCs/>
          <w:sz w:val="24"/>
          <w:szCs w:val="24"/>
          <w:lang w:val="en-US"/>
        </w:rPr>
        <w:t>Cxcl10</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Cxcl9</w:t>
      </w:r>
      <w:r>
        <w:rPr>
          <w:rFonts w:cs="Times New Roman" w:ascii="Times New Roman" w:hAnsi="Times New Roman"/>
          <w:sz w:val="24"/>
          <w:szCs w:val="24"/>
          <w:lang w:val="en-US"/>
        </w:rPr>
        <w:t xml:space="preserve"> upregulation in response to mechanical loading did not depend on YAP/TAZ.</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b/>
          <w:sz w:val="24"/>
          <w:szCs w:val="24"/>
          <w:lang w:val="en-US"/>
        </w:rPr>
        <w:t>Discussion</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In this study, we developed an innovative 3D </w:t>
      </w:r>
      <w:r>
        <w:rPr>
          <w:rFonts w:cs="Times New Roman" w:ascii="Times New Roman" w:hAnsi="Times New Roman"/>
          <w:bCs/>
          <w:sz w:val="24"/>
          <w:szCs w:val="24"/>
          <w:lang w:val="en-US"/>
        </w:rPr>
        <w:t xml:space="preserve">osteocyte-like cell-line </w:t>
      </w:r>
      <w:r>
        <w:rPr>
          <w:rFonts w:cs="Times New Roman" w:ascii="Times New Roman" w:hAnsi="Times New Roman"/>
          <w:sz w:val="24"/>
          <w:szCs w:val="24"/>
          <w:lang w:val="en-US"/>
        </w:rPr>
        <w:t xml:space="preserve">culture compression system with </w:t>
      </w:r>
      <w:r>
        <w:rPr>
          <w:rFonts w:cs="Times New Roman" w:ascii="Times New Roman" w:hAnsi="Times New Roman"/>
          <w:bCs/>
          <w:sz w:val="24"/>
          <w:szCs w:val="24"/>
          <w:lang w:val="en-US"/>
        </w:rPr>
        <w:t xml:space="preserve">MLO-Y4 cells </w:t>
      </w:r>
      <w:r>
        <w:rPr>
          <w:rFonts w:cs="Times New Roman" w:ascii="Times New Roman" w:hAnsi="Times New Roman"/>
          <w:sz w:val="24"/>
          <w:szCs w:val="24"/>
          <w:lang w:val="en-US"/>
        </w:rPr>
        <w:t xml:space="preserve">to explore the gene modifications induced by mechanical loading and to identify whether YAP/TAZ signaling acts as a mechanosensitive mediator in the cells. Our experimental model allowed us to study osteocyte mechanotransduction in a 3D culture consisting of collagen type I, thus representing a more physiologically relevant environment. This model also allowed for applying mechanical compression levels that recapitulate the different forces acting upon the bone, such as tension, fluid shear and compressive forces </w:t>
      </w:r>
      <w:r>
        <w:fldChar w:fldCharType="begin"/>
      </w:r>
      <w:r>
        <w:rPr>
          <w:sz w:val="24"/>
          <w:szCs w:val="24"/>
          <w:rFonts w:cs="Times New Roman" w:ascii="Times New Roman" w:hAnsi="Times New Roman"/>
          <w:lang w:val="en-US"/>
        </w:rPr>
        <w:instrText>ADDIN CSL_CITATION {"citationItems":[{"id":"ITEM-1","itemData":{"DOI":"10.1016/j.jocit.2018.09.003","ISSN":"2352-1775","author":[{"dropping-particle":"","family":"Stoltz","given":"Jean-françois","non-dropping-particle":"","parse-names":false,"suffix":""},{"dropping-particle":"","family":"Magdalou","given":"Jacques","non-dropping-particle":"","parse-names":false,"suffix":""},{"dropping-particle":"","family":"George","given":"Daniel","non-dropping-particle":"","parse-names":false,"suffix":""},{"dropping-particle":"","family":"Chen","given":"Yun","non-dropping-particle":"","parse-names":false,"suffix":""},{"dropping-particle":"","family":"Li","given":"Yinping","non-dropping-particle":"","parse-names":false,"suffix":""},{"dropping-particle":"De","family":"Isla","given":"Natalia","non-dropping-particle":"","parse-names":false,"suffix":""},{"dropping-particle":"","family":"He","given":"Xiaohua","non-dropping-particle":"","parse-names":false,"suffix":""},{"dropping-particle":"","family":"Remond","given":"Yves","non-dropping-particle":"","parse-names":false,"suffix":""}],"container-title":"Journal of Cellular Immunotherapy","id":"ITEM-1","issue":"1","issued":{"date-parts":[["2018"]]},"page":"10-12","publisher":"Elsevier B.V.","title":"Influence of mechanical forces on bone : Introduction to mechanobiology and mechanical adaptation concept","type":"article-journal","volume":"4"},"uris":["http://www.mendeley.com/documents/?uuid=7f718afa-b7de-42dd-8826-3bf3b953f5a7","http://www.mendeley.com/documents/?uuid=466ba8fd-879a-4b42-ab28-e5b930ad5335"]}],"mendeley":{"formattedCitation":"[52]","plainTextFormattedCitation":"[52]","previouslyFormattedCitation":"[52]"},"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[52]</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As a result, the osteocytic cell response following compression in our experimental condition was amplified as compared with 2D cultures.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Here we provide the first piece of evidence of activated YAP/TAZ signaling in response to 3D mechanical loading in the MLO-Y4 osteocyte cell line. Our results and those of Li and collaborators demonstrate that YAP/TAZ signaling was activated by both 3D compression and fluid shear stress in the MLO-Y4 cell line </w:t>
      </w:r>
      <w:r>
        <w:fldChar w:fldCharType="begin"/>
      </w:r>
      <w:r>
        <w:rPr>
          <w:sz w:val="24"/>
          <w:szCs w:val="24"/>
          <w:rFonts w:cs="Times New Roman" w:ascii="Times New Roman" w:hAnsi="Times New Roman"/>
          <w:lang w:val="en-US"/>
        </w:rPr>
        <w:instrText>ADDIN CSL_CITATION {"citationItems":[{"id":"ITEM-1","itemData":{"author":[{"dropping-particle":"","family":"Li","given":"Xuehua","non-dropping-particle":"","parse-names":false,"suffix":""},{"dropping-particle":"","family":"Han","given":"Li","non-dropping-particle":"","parse-names":false,"suffix":""},{"dropping-particle":"","family":"Nookaew","given":"Intawat","non-dropping-particle":"","parse-names":false,"suffix":""},{"dropping-particle":"","family":"Mannen","given":"Erin","non-dropping-particle":"","parse-names":false,"suffix":""},{"dropping-particle":"","family":"Silva","given":"Matthew J","non-dropping-particle":"","parse-names":false,"suffix":""},{"dropping-particle":"","family":"Almeida","given":"Maria","non-dropping-particle":"","parse-names":false,"suffix":""},{"dropping-particle":"","family":"Xiong","given":"Jinhu","non-dropping-particle":"","parse-names":false,"suffix":""}],"container-title":"eLife","id":"ITEM-1","issue":"e49631","issued":{"date-parts":[["2019"]]},"title":"Stimulation of Piezo1 by mechanical signals promotes bone anabolism","type":"article-journal","volume":"8"},"uris":["http://www.mendeley.com/documents/?uuid=038289c3-cf35-43b2-a992-32aaddae0fea"]}],"mendeley":{"formattedCitation":"[35]","plainTextFormattedCitation":"[35]","previouslyFormattedCitation":"[35]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Indeed, YAP/TAZ activation in response to shear stress was previously described in mesenchymal stem cells or osteoblastic cells and recently MLO-Y4 cells </w:t>
      </w:r>
      <w:r>
        <w:fldChar w:fldCharType="begin"/>
      </w:r>
      <w:r>
        <w:rPr>
          <w:sz w:val="24"/>
          <w:szCs w:val="24"/>
          <w:rFonts w:cs="Times New Roman" w:ascii="Times New Roman" w:hAnsi="Times New Roman"/>
          <w:lang w:val="en-US"/>
        </w:rPr>
        <w:instrText>ADDIN CSL_CITATION {"citationItems":[{"id":"ITEM-1","itemData":{"DOI":"10.1371/journal.pone.0092427","ISBN":"1932-6203 (Electronic)\\n1932-6203 (Linking)","ISSN":"19326203","PMID":"24658423","abstract":"Shear stress activates cellular signaling involved in cellular proliferation, differentiation, and migration. However, the mechanisms of mesenchymal stem cell (MSC) differentiation under interstitial flow are not fully understood. Here, we show the increased osteogenic differentiation of MSCs under exposure to constant, extremely low shear stress created by osmotic pressure-induced flow in a microfluidic chip. The interstitial level of shear stress in the proposed microfluidic system stimulated nuclear localization of TAZ (transcriptional coactivator with PDZ-binding motif), a transcriptional modulator of MSCs, activated TAZ target genes such as CTGF and Cyr61, and induced osteogenic differentiation. TAZ-depleted cells showed defects in shear stress-induced osteogenic differentiation. In shear stress induced cellular signaling, Rho signaling pathway was important forthe nuclear localization of TAZ. Taken together, these results suggest that TAZ is an important mediator of interstitial flow-driven shear stress signaling in osteoblast differentiation of MSCs.","author":[{"dropping-particle":"","family":"Kim","given":"Kyung Min","non-dropping-particle":"","parse-names":false,"suffix":""},{"dropping-particle":"","family":"Choi","given":"Yoon Jung","non-dropping-particle":"","parse-names":false,"suffix":""},{"dropping-particle":"","family":"Hwang","given":"Jun Ha","non-dropping-particle":"","parse-names":false,"suffix":""},{"dropping-particle":"","family":"Kim","given":"A. Rum","non-dropping-particle":"","parse-names":false,"suffix":""},{"dropping-particle":"","family":"Cho","given":"Hang Jun","non-dropping-particle":"","parse-names":false,"suffix":""},{"dropping-particle":"","family":"Hwang","given":"Eun Sook","non-dropping-particle":"","parse-names":false,"suffix":""},{"dropping-particle":"","family":"Park","given":"Joong Yull","non-dropping-particle":"","parse-names":false,"suffix":""},{"dropping-particle":"","family":"Lee","given":"Sang Hoon","non-dropping-particle":"","parse-names":false,"suffix":""},{"dropping-particle":"","family":"Hong","given":"Jeong Ho","non-dropping-particle":"","parse-names":false,"suffix":""}],"container-title":"PLoS ONE","id":"ITEM-1","issue":"3","issued":{"date-parts":[["2014"]]},"page":"e9427","title":"Shear stress induced by an interstitial level of slow flow increases the osteogenic differentiation of mesenchymal stem cells through TAZ activation","type":"article-journal","volume":"9"},"uris":["http://www.mendeley.com/documents/?uuid=37bb9601-6b0d-46c5-add8-504f04f50fdf"]},{"id":"ITEM-2","itemData":{"author":[{"dropping-particle":"","family":"Li","given":"Xuehua","non-dropping-particle":"","parse-names":false,"suffix":""},{"dropping-particle":"","family":"Han","given":"Li","non-dropping-particle":"","parse-names":false,"suffix":""},{"dropping-particle":"","family":"Nookaew","given":"Intawat","non-dropping-particle":"","parse-names":false,"suffix":""},{"dropping-particle":"","family":"Mannen","given":"Erin","non-dropping-particle":"","parse-names":false,"suffix":""},{"dropping-particle":"","family":"Silva","given":"Matthew J","non-dropping-particle":"","parse-names":false,"suffix":""},{"dropping-particle":"","family":"Almeida","given":"Maria","non-dropping-particle":"","parse-names":false,"suffix":""},{"dropping-particle":"","family":"Xiong","given":"Jinhu","non-dropping-particle":"","parse-names":false,"suffix":""}],"container-title":"eLife","id":"ITEM-2","issue":"e49631","issued":{"date-parts":[["2019"]]},"title":"Stimulation of Piezo1 by mechanical signals promotes bone anabolism","type":"article-journal","volume":"8"},"uris":["http://www.mendeley.com/documents/?uuid=038289c3-cf35-43b2-a992-32aaddae0fea"]},{"id":"ITEM-3","itemData":{"DOI":"10.1016/j.bbrc.2014.04.006","ISBN":"6176321972","ISSN":"10902104","PMID":"24726648","abstract":"Although osteoblast lineage cells, especially osteocytes, are thought to be a primary mechanosensory cell in bone, the identity of the mechano-receptor and downstream mechano-signaling pathways remain largely unknown. Here we show using osteoblastic cell model of mechanical stimulation with fluid shear stress that in the absence of integrin αv, phosphorylation of the Src substrate p130Cas and JNK was impaired, culminating in an inhibition of nuclear translocation of YAP/TAZ and subsequent transcriptional activation of target genes. Targeted deletion of the integrin αv in osteoblast lineage cells results in an attenuated response to mechanical loading in terms of Sost gene expression, indicative of a role for integrin αv in mechanoreception in vivo. Thus, integrin αv may be integral to a mechanosensing machinery in osteoblastic cells and involved in activation of a Src-JNK-YAP/TAZ pathway in response to mechanical stimulation. © 2014 Elsevier Inc. All rights reserved.","author":[{"dropping-particle":"","family":"Kaneko","given":"Keiko","non-dropping-particle":"","parse-names":false,"suffix":""},{"dropping-particle":"","family":"Ito","given":"Masako","non-dropping-particle":"","parse-names":false,"suffix":""},{"dropping-particle":"","family":"Naoe","given":"Yoshinori","non-dropping-particle":"","parse-names":false,"suffix":""},{"dropping-particle":"","family":"Lacy-Hulbert","given":"Adam","non-dropping-particle":"","parse-names":false,"suffix":""},{"dropping-particle":"","family":"Ikeda","given":"Kyoji","non-dropping-particle":"","parse-names":false,"suffix":""}],"container-title":"Biochemical and Biophysical Research Communications","id":"ITEM-3","issued":{"date-parts":[["2014"]]},"page":"352-357","publisher":"Elsevier Inc.","title":"Integrin αv in the mechanical response of osteoblast lineage cells","type":"article-journal","volume":"447"},"uris":["http://www.mendeley.com/documents/?uuid=bad84040-2278-46ca-8704-5b4ce1fcf466"]}],"mendeley":{"formattedCitation":"[32,35,53]","plainTextFormattedCitation":"[32,35,53]","previouslyFormattedCitation":"[32,35,53]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[32,35,53]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w:t>
      </w:r>
      <w:r>
        <w:rPr>
          <w:rFonts w:cs="Times New Roman" w:ascii="Times New Roman" w:hAnsi="Times New Roman"/>
          <w:i/>
          <w:sz w:val="24"/>
          <w:szCs w:val="24"/>
          <w:lang w:val="en-US"/>
        </w:rPr>
        <w:t>In vivo</w:t>
      </w:r>
      <w:r>
        <w:rPr>
          <w:rFonts w:cs="Times New Roman" w:ascii="Times New Roman" w:hAnsi="Times New Roman"/>
          <w:sz w:val="24"/>
          <w:szCs w:val="24"/>
          <w:lang w:val="en-US"/>
        </w:rPr>
        <w:t xml:space="preserve"> YAP/TAZ deletion using DMP1-Cre mice decreased bone mass, associated with increased osteoclast activity and decreased osteoblastogenesis, thus suggesting an major contribution of YAP/TAZ in mature osteoblasts and osteocytes </w:t>
      </w:r>
      <w:r>
        <w:fldChar w:fldCharType="begin"/>
      </w:r>
      <w:r>
        <w:rPr>
          <w:sz w:val="24"/>
          <w:szCs w:val="24"/>
          <w:rFonts w:cs="Times New Roman" w:ascii="Times New Roman" w:hAnsi="Times New Roman"/>
          <w:lang w:val="en-US"/>
        </w:rPr>
        <w:instrText>ADDIN CSL_CITATION {"citationItems":[{"id":"ITEM-1","itemData":{"DOI":"10.1016/j.bone.2018.04.001","ISSN":"87563282","author":[{"dropping-particle":"","family":"Xiong","given":"Jinhu","non-dropping-particle":"","parse-names":false,"suffix":""},{"dropping-particle":"","family":"Almeida","given":"Maria","non-dropping-particle":"","parse-names":false,"suffix":""},{"dropping-particle":"","family":"O'Brien","given":"Charles A.","non-dropping-particle":"","parse-names":false,"suffix":""}],"container-title":"Bone","id":"ITEM-1","issued":{"date-parts":[["2018"]]},"title":"The YAP/TAZ transcriptional co-activators have opposing effects at different stages of osteoblast differentiation","type":"article-journal"},"uris":["http://www.mendeley.com/documents/?uuid=87c4de48-9d1a-366c-9c71-fc8a6c3fb234"]}],"mendeley":{"formattedCitation":"[36]","plainTextFormattedCitation":"[36]","previouslyFormattedCitation":"[36]"},"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[36]</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This phenotype could be due to the failure of osteoblasts to fully differentiate into mature osteocytes, thus leading to a blockage of osteoblasts at a differentiation state associated with a high potential to induce osteoclastogenesis. To date, there was no specific model for YAP/TAZ deletion pertaining exclusively to osteocytes and aiming to investigate the role of YAP/TAZ in osteocyte mechanotransduction. Here, we found that YAP/TAZ mediates the mechanically induced expression of chemokines such as M-CSF and Cxcl3 in osteocyte-like cells. We further confirmed YAP/TAZ expression in osteocytes </w:t>
      </w:r>
      <w:r>
        <w:rPr>
          <w:rFonts w:cs="Times New Roman" w:ascii="Times New Roman" w:hAnsi="Times New Roman"/>
          <w:i/>
          <w:iCs/>
          <w:sz w:val="24"/>
          <w:szCs w:val="24"/>
          <w:lang w:val="en-US"/>
        </w:rPr>
        <w:t>in vivo</w:t>
      </w:r>
      <w:r>
        <w:rPr>
          <w:rFonts w:cs="Times New Roman" w:ascii="Times New Roman" w:hAnsi="Times New Roman"/>
          <w:sz w:val="24"/>
          <w:szCs w:val="24"/>
          <w:lang w:val="en-US"/>
        </w:rPr>
        <w:t xml:space="preserve"> in femurs of 6-month-old mice. Additional studies are required to confirm our </w:t>
      </w:r>
      <w:r>
        <w:rPr>
          <w:rFonts w:cs="Times New Roman" w:ascii="Times New Roman" w:hAnsi="Times New Roman"/>
          <w:i/>
          <w:iCs/>
          <w:sz w:val="24"/>
          <w:szCs w:val="24"/>
          <w:lang w:val="en-US"/>
        </w:rPr>
        <w:t>in vitro</w:t>
      </w:r>
      <w:r>
        <w:rPr>
          <w:rFonts w:cs="Times New Roman" w:ascii="Times New Roman" w:hAnsi="Times New Roman"/>
          <w:sz w:val="24"/>
          <w:szCs w:val="24"/>
          <w:lang w:val="en-US"/>
        </w:rPr>
        <w:t xml:space="preserve"> results, notably YAP/TAZ and chemokine expression in osteocytes in mice submitted to hypergravity or microgravity. Here, we used the MLO-Y4 cell line that is reported to not express sclerostin, a regulator of the Wnt/β-catenin pathway important for osteocytes, but no other cell line showed the whole expression profile of primary osteocytes. This is a limitation of our study because we could not exclude that sclerostin regulates and impact the mechanically induced chemokine expression. Also, the Wnt/β-catenin pathway is closely related to YAP/TAZ signaling and we could not rule out that sclerostin, normally upregulated by mechanical loading, limits YAP/TAZ activation in osteocytes.</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Our GO analysis suggested that YAP and TAZ could be implicated in osteocyte canaliculi formation. This finding is consistent with recent literature references demonstrating that YAP and TAZ deletion, by means of 8kb-DMP1-Cre mice, impaired osteocyte perilacunar/canaliculi remodeling </w:t>
      </w:r>
      <w:r>
        <w:fldChar w:fldCharType="begin"/>
      </w:r>
      <w:r>
        <w:rPr>
          <w:sz w:val="24"/>
          <w:szCs w:val="24"/>
          <w:rFonts w:cs="Times New Roman" w:ascii="Times New Roman" w:hAnsi="Times New Roman"/>
          <w:lang w:val="en-US"/>
        </w:rPr>
        <w:instrText>ADDIN CSL_CITATION {"citationItems":[{"id":"ITEM-1","itemData":{"DOI":"10.1002/jbmr.3876.YAP","author":[{"dropping-particle":"","family":"Kegelman","given":"Christopher D","non-dropping-particle":"","parse-names":false,"suffix":""},{"dropping-particle":"","family":"Coulombe","given":"Jennifer C","non-dropping-particle":"","parse-names":false,"suffix":""},{"dropping-particle":"","family":"Jordan","given":"Kelsey M","non-dropping-particle":"","parse-names":false,"suffix":""},{"dropping-particle":"","family":"Horan","given":"Daniel J","non-dropping-particle":"","parse-names":false,"suffix":""},{"dropping-particle":"","family":"Qin","given":"Ling","non-dropping-particle":"","parse-names":false,"suffix":""},{"dropping-particle":"","family":"Robling","given":"Alexander G","non-dropping-particle":"","parse-names":false,"suffix":""},{"dropping-particle":"","family":"Ferguson","given":"Virginia L","non-dropping-particle":"","parse-names":false,"suffix":""},{"dropping-particle":"","family":"Bellido","given":"Teresita M","non-dropping-particle":"","parse-names":false,"suffix":""},{"dropping-particle":"","family":"Boerckel","given":"Joel D","non-dropping-particle":"","parse-names":false,"suffix":""}],"container-title":"J Bone Miner Res","id":"ITEM-1","issue":"1","issued":{"date-parts":[["2020"]]},"page":"196-210","title":"YAP and TAZ mediate osteocyte perilacunar/canalicular remodeling","type":"article-journal","volume":"35"},"uris":["http://www.mendeley.com/documents/?uuid=822bf4db-e518-4a0b-823b-04b750e42bcd","http://www.mendeley.com/documents/?uuid=c7796670-cf58-4531-ba66-8e79b5c1d32e"]}],"mendeley":{"formattedCitation":"[54]","plainTextFormattedCitation":"[54]","previouslyFormattedCitation":"[54]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Also, YAP/TAZ deletion in osteoblasts impaired bone mechanical properties and matrix collagen content </w:t>
      </w:r>
      <w:r>
        <w:fldChar w:fldCharType="begin"/>
      </w:r>
      <w:r>
        <w:rPr>
          <w:sz w:val="24"/>
          <w:szCs w:val="24"/>
          <w:rFonts w:cs="Times New Roman" w:ascii="Times New Roman" w:hAnsi="Times New Roman"/>
          <w:lang w:val="en-US"/>
        </w:rPr>
        <w:instrText>ADDIN CSL_CITATION {"citationItems":[{"id":"ITEM-1","itemData":{"DOI":"10.1096/fj.201700872R","ISSN":"0892-6638","abstract":"The functions of the paralogous transcriptional coactivators Yes-associated protein (YAP) and tran-scriptional coactivator with PDZ-binding motif (TAZ) in bone are controversial. Each has been observed to promote or inhibit osteogenesis in vitro, with reports of both equivalent and divergent functions. Their combinatorial roles in bone physiology are unknown. We report that combinatorial YAP/TAZ deletion from skeletal lineage cells, using Osterix-Cre, caused an osteogenesis imperfecta-like phenotype with severity dependent on allele dose and greater phenotypic expressivity with homozygous TAZ vs. YAP ablation. YAP/TAZ deletion decreased bone accrual and reduced intrinsic bone material properties through impaired collagen content and organization. These structural and material defects produced spontaneous fractures, particularly in mice with homozygous TAZ deletion and caused neonatal lethality in dual homozygous knockouts. At the cellular level in vivo, YAP/TAZ ablation reduced osteoblast activity and increased osteoclast activity, in an allele dose-dependent manner, impairing bone accrual and remodeling. Transcriptionally, YAP/TAZ deletion and small-molecule inhibition of YAP/TAZ interaction with the transcriptional coeffector TEAD reduced osteogenic and collagen-related gene expression, both in vivo and in vitro. These data demonstrate that YAP and TAZ combinatorially promote bone development through regulation of osteoblast activity, matrix quality, and osteoclastic remodeling.—Kegelman, C. D., Mason, D. E., Dawahare, J. H., Horan, D. J., Vigil, G. D., Howard, S. S., Robling, A. G., Bellido, T. M., Boerckel, J. D. Skeletal cell YAP and TAZ combinatorially promote bone development. FASEB J. 32, 000–000 (2018). www.fasebj.org KEY WORDS: osteogenesis • transcriptional regulation • osteoprogenitor cells • osteoblasts Bone is a living hierarchical composite, with form and function dependent not only on tissue structure but also on matrix composition and organization. Each of these components is controlled during development by skeletal cell lineage progression and by dynamic regulation of bone deposition and remodeling. Various genetic, hor-monal, or environmental abnormalities can impair these processes, leading to debilitating diseases including oste-oporosis and osteogenesis imperfecta (OI). However, the molecular mechanisms that govern cell fate and matrix production in bone remain poorly understood, limiting therapeutic intervention. Several transcri…","author":[{"dropping-particle":"","family":"Kegelman","given":"Christopher D","non-dropping-particle":"","parse-names":false,"suffix":""},{"dropping-particle":"","family":"Mason","given":"Devon E","non-dropping-particle":"","parse-names":false,"suffix":""},{"dropping-particle":"","family":"Dawahare","given":"James H","non-dropping-particle":"","parse-names":false,"suffix":""},{"dropping-particle":"","family":"Horan","given":"Daniel J","non-dropping-particle":"","parse-names":false,"suffix":""},{"dropping-particle":"","family":"Vigil","given":"Genevieve D","non-dropping-particle":"","parse-names":false,"suffix":""},{"dropping-particle":"","family":"Howard","given":"Scott S","non-dropping-particle":"","parse-names":false,"suffix":""},{"dropping-particle":"","family":"Robling","given":"Alexander G","non-dropping-particle":"","parse-names":false,"suffix":""},{"dropping-particle":"","family":"Bellido","given":"Teresita M","non-dropping-particle":"","parse-names":false,"suffix":""},{"dropping-particle":"","family":"Boerckel","given":"Joel D","non-dropping-particle":"","parse-names":false,"suffix":""}],"container-title":"FASEB","id":"ITEM-1","issued":{"date-parts":[["2018"]]},"title":"Skeletal cell YAP and TAZ combinatorially promote bone development","type":"article-journal"},"uris":["http://www.mendeley.com/documents/?uuid=69a98044-adff-4d13-a0d2-92eee342a6e9"]}],"mendeley":{"formattedCitation":"[55]","plainTextFormattedCitation":"[55]","previouslyFormattedCitation":"[55]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but we did not find an effect of YAP/TAZ on collagen or matrix protein expression. These discrepancies could be due to the shortcomings of our </w:t>
      </w:r>
      <w:r>
        <w:rPr>
          <w:rFonts w:cs="Times New Roman" w:ascii="Times New Roman" w:hAnsi="Times New Roman"/>
          <w:i/>
          <w:iCs/>
          <w:sz w:val="24"/>
          <w:szCs w:val="24"/>
          <w:lang w:val="en-US"/>
        </w:rPr>
        <w:t>in vitro</w:t>
      </w:r>
      <w:r>
        <w:rPr>
          <w:rFonts w:cs="Times New Roman" w:ascii="Times New Roman" w:hAnsi="Times New Roman"/>
          <w:sz w:val="24"/>
          <w:szCs w:val="24"/>
          <w:lang w:val="en-US"/>
        </w:rPr>
        <w:t xml:space="preserve"> model that does not exactly mimic the </w:t>
      </w:r>
      <w:r>
        <w:rPr>
          <w:rFonts w:cs="Times New Roman" w:ascii="Times New Roman" w:hAnsi="Times New Roman"/>
          <w:i/>
          <w:iCs/>
          <w:sz w:val="24"/>
          <w:szCs w:val="24"/>
          <w:lang w:val="en-US"/>
        </w:rPr>
        <w:t>in vivo</w:t>
      </w:r>
      <w:r>
        <w:rPr>
          <w:rFonts w:cs="Times New Roman" w:ascii="Times New Roman" w:hAnsi="Times New Roman"/>
          <w:sz w:val="24"/>
          <w:szCs w:val="24"/>
          <w:lang w:val="en-US"/>
        </w:rPr>
        <w:t xml:space="preserve"> bone matrix environment.</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Emerging data show that osteocytes produce a large panel of chemokines in response to fluid shear stress or cyclic compressive forces, as demonstrated in the MLO-Y4 cell line by microarray or RNAseq </w:t>
      </w:r>
      <w:r>
        <w:fldChar w:fldCharType="begin"/>
      </w:r>
      <w:r>
        <w:rPr>
          <w:sz w:val="24"/>
          <w:szCs w:val="24"/>
          <w:rFonts w:cs="Times New Roman" w:ascii="Times New Roman" w:hAnsi="Times New Roman"/>
          <w:lang w:val="en-US"/>
        </w:rPr>
        <w:instrText>ADDIN CSL_CITATION {"citationItems":[{"id":"ITEM-1","itemData":{"DOI":"10.1016/j.jbiomech.2014.03.022.Integrative","author":[{"dropping-particle":"","family":"Govey","given":"Peter M","non-dropping-particle":"","parse-names":false,"suffix":""},{"dropping-particle":"","family":"Jacobs","given":"Jon M","non-dropping-particle":"","parse-names":false,"suffix":""},{"dropping-particle":"","family":"Tilton","given":"Susan C","non-dropping-particle":"","parse-names":false,"suffix":""},{"dropping-particle":"","family":"Loiselle","given":"Alayna E","non-dropping-particle":"","parse-names":false,"suffix":""},{"dropping-particle":"","family":"Zhang","given":"Yue","non-dropping-particle":"","parse-names":false,"suffix":""},{"dropping-particle":"","family":"Freeman","given":"Willard M","non-dropping-particle":"","parse-names":false,"suffix":""},{"dropping-particle":"","family":"Waters","given":"Katrina M","non-dropping-particle":"","parse-names":false,"suffix":""},{"dropping-particle":"","family":"Karin","given":"Norman J","non-dropping-particle":"","parse-names":false,"suffix":""},{"dropping-particle":"","family":"Donahue","given":"Henry J","non-dropping-particle":"","parse-names":false,"suffix":""}],"container-title":"J Biomech","id":"ITEM-1","issue":"8","issued":{"date-parts":[["2014"]]},"page":"1838-1845","title":"Integrative Transcriptomic and Proteomic Analysis of Osteocytic Cells Exposed to Fluid Flow Reveals Novel Mechano-Sensitive Signaling Pathways","type":"article-journal","volume":"47"},"uris":["http://www.mendeley.com/documents/?uuid=c82d7136-1a51-4532-82b7-890aa5084b9a"]},{"id":"ITEM-2","itemData":{"DOI":"10.1016/j.jbiomech.2015.10.045","ISSN":"0021-9290","author":[{"dropping-particle":"","family":"Govey","given":"Peter M","non-dropping-particle":"","parse-names":false,"suffix":""},{"dropping-particle":"","family":"Imamura","given":"Yuka","non-dropping-particle":"","parse-names":false,"suffix":""},{"dropping-particle":"","family":"Donahue","given":"Henry J","non-dropping-particle":"","parse-names":false,"suffix":""}],"container-title":"Journal of Biomechanics","id":"ITEM-2","issued":{"date-parts":[["2015"]]},"page":"4327-4332","publisher":"Elsevier","title":"Mapping the osteocytic cell response to fluid flow using RNA-Seq","type":"article-journal","volume":"48"},"uris":["http://www.mendeley.com/documents/?uuid=284e5615-c670-4946-b625-a7e688ab6ea2"]},{"id":"ITEM-3","itemData":{"DOI":"10.1042/CBI20090061","author":[{"dropping-particle":"","family":"Chen","given":"Wenchuan","non-dropping-particle":"","parse-names":false,"suffix":""},{"dropping-particle":"","family":"Qing","given":"Hai","non-dropping-particle":"","parse-names":false,"suffix":""},{"dropping-particle":"","family":"He","given":"Yun","non-dropping-particle":"","parse-names":false,"suffix":""},{"dropping-particle":"","family":"Wang","given":"Jian","non-dropping-particle":"","parse-names":false,"suffix":""},{"dropping-particle":"","family":"Zhu","given":"Zhimin","non-dropping-particle":"","parse-names":false,"suffix":""},{"dropping-particle":"","family":"Wang","given":"Hang","non-dropping-particle":"","parse-names":false,"suffix":""}],"container-title":"Cell Biol Int","id":"ITEM-3","issued":{"date-parts":[["2010"]]},"page":"425-432","title":"Gene expression patterns of osteocyte-like MLO-Y4 cells in response to cyclic compressive force stimulation","type":"article-journal","volume":"34"},"uris":["http://www.mendeley.com/documents/?uuid=cd60dfd9-20fe-405a-891d-7ed6ee23b990"]}],"mendeley":{"formattedCitation":"[56–58]","plainTextFormattedCitation":"[56–58]","previouslyFormattedCitation":"[56–58]"},"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[56–58]</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Here, mechanical loading upregulated the mRNA expression of </w:t>
      </w:r>
      <w:r>
        <w:rPr>
          <w:rFonts w:cs="Times New Roman" w:ascii="Times New Roman" w:hAnsi="Times New Roman"/>
          <w:i/>
          <w:iCs/>
          <w:sz w:val="24"/>
          <w:szCs w:val="24"/>
          <w:lang w:val="en-US"/>
        </w:rPr>
        <w:t xml:space="preserve">Cxcl1, Cxcl2, Cxcl3, Cxcl9 </w:t>
      </w:r>
      <w:r>
        <w:rPr>
          <w:rFonts w:cs="Times New Roman" w:ascii="Times New Roman" w:hAnsi="Times New Roman"/>
          <w:sz w:val="24"/>
          <w:szCs w:val="24"/>
          <w:lang w:val="en-US"/>
        </w:rPr>
        <w:t xml:space="preserve">and </w:t>
      </w:r>
      <w:r>
        <w:rPr>
          <w:rFonts w:cs="Times New Roman" w:ascii="Times New Roman" w:hAnsi="Times New Roman"/>
          <w:i/>
          <w:iCs/>
          <w:sz w:val="24"/>
          <w:szCs w:val="24"/>
          <w:lang w:val="en-US"/>
        </w:rPr>
        <w:t>Cxcl10</w:t>
      </w:r>
      <w:r>
        <w:rPr>
          <w:rFonts w:cs="Times New Roman" w:ascii="Times New Roman" w:hAnsi="Times New Roman"/>
          <w:sz w:val="24"/>
          <w:szCs w:val="24"/>
          <w:lang w:val="en-US"/>
        </w:rPr>
        <w:t xml:space="preserve">. Others showed that Cxcl1, Cxcl2 and Cxcl9 were able to induce migration, proliferation and adhesion of bone marrow-derived macrophages </w:t>
      </w:r>
      <w:r>
        <w:fldChar w:fldCharType="begin"/>
      </w:r>
      <w:r>
        <w:rPr>
          <w:sz w:val="24"/>
          <w:szCs w:val="24"/>
          <w:rFonts w:cs="Times New Roman" w:ascii="Times New Roman" w:hAnsi="Times New Roman"/>
          <w:lang w:val="en-US"/>
        </w:rPr>
        <w:instrText>ADDIN CSL_CITATION {"citationItems":[{"id":"ITEM-1","itemData":{"DOI":"10.4049/jimmunol.0902444","ISSN":"0022-1767","author":[{"dropping-particle":"","family":"Ha","given":"J.","non-dropping-particle":"","parse-names":false,"suffix":""},{"dropping-particle":"","family":"Choi","given":"H. S.","non-dropping-particle":"","parse-names":false,"suffix":""},{"dropping-particle":"","family":"Lee","given":"Y.","non-dropping-particle":"","parse-names":false,"suffix":""},{"dropping-particle":"","family":"Kwon","given":"H. J.","non-dropping-particle":"","parse-names":false,"suffix":""},{"dropping-particle":"","family":"Song","given":"Y. W.","non-dropping-particle":"","parse-names":false,"suffix":""},{"dropping-particle":"","family":"Kim","given":"H. H.","non-dropping-particle":"","parse-names":false,"suffix":""}],"container-title":"The Journal of Immunology","id":"ITEM-1","issued":{"date-parts":[["2010"]]},"page":"4717-4724","title":"CXC Chemokine Ligand 2 Induced by Receptor Activator of NF-kB Ligand Enhances Osteoclastogenesis","type":"article-journal","volume":"184"},"uris":["http://www.mendeley.com/documents/?uuid=a81f4157-d5c6-45c7-96c9-78b993b2bbec"]},{"id":"ITEM-2","itemData":{"DOI":"10.1016/j.cyto.2011.03.026","ISBN":"1043-4666","ISSN":"10434666","PMID":"21507677","abstract":"The strong inflammatory agent lipopolysaccharide (LPS) has been shown to cause bone lysis in vivo. However, the etiology of LPS-induced bone destruction is still elusive. Here, we show that LPS stimulates the induction of CXCL2 in bone marrow macrophages (BMMs), osteoclast precursors, at the transcription level even in the absence of the synthesis of new proteins including interferon β. Reactive oxygen species were involved in the secretion of CXCL2 but not in the mRNA expression. CXCL2 mRNA induction by LPS was mediated by p38, JNK, and NFκB signaling pathways. Moreover, c-Fos and p65 were directly recruited to CXCL2 promoter. The conditioned medium from LPS-treated BMMs could enhance migration of osteoclast precursors, which was blocked by treatment with CXCL2-neutralizing antibody or CXCR2 receptor antagonist. The blockade of CXCL2 also reduced LPS-induced osteoclastogenesis. More significantly, CXCL2-neutralization prevented bone destruction in mice treated with LPS. Therefore, CXCL2 might be a useful therapeutic target for inflammatory bone destructive diseases. © 2011 Elsevier Ltd.","author":[{"dropping-particle":"","family":"Ha","given":"Jeongim","non-dropping-particle":"","parse-names":false,"suffix":""},{"dropping-particle":"","family":"Lee","given":"Youngkyun","non-dropping-particle":"","parse-names":false,"suffix":""},{"dropping-particle":"","family":"Kim","given":"Hong Hee","non-dropping-particle":"","parse-names":false,"suffix":""}],"container-title":"Cytokine","id":"ITEM-2","issued":{"date-parts":[["2011"]]},"page":"48-55","publisher":"Elsevier Ltd","title":"CXCL2 mediates lipopolysaccharide-induced osteoclastogenesis in RANKL-primed precursors","type":"article-journal","volume":"55"},"uris":["http://www.mendeley.com/documents/?uuid=855016e4-e086-42d6-8488-34d2cb66adc0"]},{"id":"ITEM-3","itemData":{"DOI":"10.1007/s10585-015-9714-5","ISBN":"0000000000000","ISSN":"15737276","PMID":"25802102","abstract":"Increased bone marrow adiposity is a common feature of advanced age, obesity and associated metabolic pathologies. Augmented numbers of marrow adipocytes positively correlate with dysregulated bone remodeling, also a well-established complication of metastatic disease. We have shown previously that marrow adiposity accelerates prostate tumor progression in the skeleton and promotes extensive destruction of the bone; however, the factors behind adipocyte-driven osteolysis in the skeletal tumor microenvironment are not currently known. In this study, utilizing in vivo diet-induced models of bone marrow adiposity, we reveal evidence for positive correlation between increased marrow fat content, bone degradation by ARCaP(M) and PC3 prostate tumors, and augmented levels of host-derived CXCL1 and CXCL2, ligands of CXCR2 receptor. We show by in vitro osteoclastogenesis assays that media conditioned by bone marrow adipocytes is a significant source of CXCL1 and CXCL2 proteins. We also demonstrate that both the adipocyte-conditioned media and the recombinant CXCL1 and CXCL2 ligands efficiently accelerate osteoclast maturation, a process that can be blocked by neutralizing antibodies to each of the chemokines. We further confirm the contribution of CXCR2 signaling axis to adiposity-driven osteoclastogenesis by blocking fat cell-induced osteoclast differentiation with CXCR2 antagonist or neutralizing antibodies. Together, our results link CXCL1 and CXCL2 chemokines with bone marrow adiposity and implicate CXCR2 signaling in promoting effects of marrow fat on progression of skeletal tumors in bone.","author":[{"dropping-particle":"","family":"Hardaway","given":"Aimalie L.","non-dropping-particle":"","parse-names":false,"suffix":""},{"dropping-particle":"","family":"Herroon","given":"Mackenzie K.","non-dropping-particle":"","parse-names":false,"suffix":""},{"dropping-particle":"","family":"Rajagurubandara","given":"Erandi","non-dropping-particle":"","parse-names":false,"suffix":""},{"dropping-particle":"","family":"Podgorski","given":"Izabela","non-dropping-particle":"","parse-names":false,"suffix":""}],"container-title":"Clinical and Experimental Metastasis","id":"ITEM-3","issued":{"date-parts":[["2015"]]},"page":"353-368","title":"Marrow adipocyte-derived CXCL1 and CXCL2 contribute to osteolysis in metastatic prostate cancer","type":"article-journal","volume":"32"},"uris":["http://www.mendeley.com/documents/?uuid=794b3163-df53-4836-b585-0cb976d109aa"]},{"id":"ITEM-4","itemData":{"DOI":"10.1182/blood-2004-07-2534","ISBN":"0006-4971 (Print)\\r0006-4971 (Linking)","ISSN":"0006-4971","PMID":"15585657","abstract":"Bone remodeling is accompanied by the differentiation of osteoclasts from the monocyte/macrophage lineage of hematopoietic cells. The osteoclast differentiation process requires receptor activator of nuclear factor kappa B (NF-kappa B) ligand (RANKL), which causes complex changes in the expression of various genes. In a cDNA microarray study to identify genes targeted by RANKL, we found that monokine induced by the interferon-gamma (IFN-gamma) (MIG) gene was up-regulated in osteoclast precursor cells. The increase in MIG expression by RANKL was confirmed by reverse transcription-polymerase chain reaction and Western blot analysis. RANKL induction of MIG required the activity of NF-kappa B, whose binding site is present in the MIG promoter. MIG induction by RANKL was also dependent on p38 mitogen-activated protein kinase (MAPK) and signal transducer and activator of transcription 1 (STAT1). RANKL stimulated the phosphorylation of Ser727 of STAT1, which required p38 activity. MIG secreted on RANKL treatment could stimulate the migration and adhesion of osteoclast precursors and osteoclasts that were primed to express CXCR3, the MIG receptor, by macrophage-colony-stimulating factor (M-CSF). Therefore, we provide the first evidence demonstrating that RANKL stimulates the serine phosphorylation of STAT1 through the p38 MAPK pathway, causing MIG gene transcription and secretion, which may have a role in recruiting CXCR3-positive osteoclast precursors and osteoclasts to bone remodeling or inflammatory sites.","author":[{"dropping-particle":"","family":"Kwak","given":"Han Bok","non-dropping-particle":"","parse-names":false,"suffix":""},{"dropping-particle":"","family":"Lee","given":"Soo Woong","non-dropping-particle":"","parse-names":false,"suffix":""},{"dropping-particle":"","family":"Jin","given":"Hye Mi","non-dropping-particle":"","parse-names":false,"suffix":""},{"dropping-particle":"","family":"Ha","given":"Hyunil","non-dropping-particle":"","parse-names":false,"suffix":""},{"dropping-particle":"","family":"Lee","given":"Sang Ho","non-dropping-particle":"","parse-names":false,"suffix":""},{"dropping-particle":"","family":"Takeshita","given":"Sunao","non-dropping-particle":"","parse-names":false,"suffix":""},{"dropping-particle":"","family":"Tanaka","given":"Sakae","non-dropping-particle":"","parse-names":false,"suffix":""},{"dropping-particle":"","family":"Kim","given":"Hyun-Man","non-dropping-particle":"","parse-names":false,"suffix":""},{"dropping-particle":"","family":"Kim","given":"Hong-Hee","non-dropping-particle":"","parse-names":false,"suffix":""},{"dropping-particle":"","family":"Lee","given":"Zang Hee","non-dropping-particle":"","parse-names":false,"suffix":""}],"container-title":"Blood","id":"ITEM-4","issue":"7","issued":{"date-parts":[["2005"]]},"page":"2963-2969","title":"Monokine induced by interferon-gamma is induced by receptor activator of nuclear factor kappa B ligand and is involved in osteoclast adhesion and migration.","type":"article-journal","volume":"105"},"uris":["http://www.mendeley.com/documents/?uuid=55d27e16-7dae-46c4-a461-1135fe050d9a"]}],"mendeley":{"formattedCitation":"[59–62]","plainTextFormattedCitation":"[59–62]","previouslyFormattedCitation":"[59–62]"},"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[59–62]</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A recent study demonstrated that Cxcl10 secreted by osteocytes induced osteoclastogenesis, and a disruption of this regulation may be involved in osteoporosis </w:t>
      </w:r>
      <w:r>
        <w:fldChar w:fldCharType="begin"/>
      </w:r>
      <w:r>
        <w:rPr>
          <w:sz w:val="24"/>
          <w:szCs w:val="24"/>
          <w:rFonts w:cs="Times New Roman" w:ascii="Times New Roman" w:hAnsi="Times New Roman"/>
          <w:lang w:val="en-US"/>
        </w:rPr>
        <w:instrText>ADDIN CSL_CITATION {"citationItems":[{"id":"ITEM-1","itemData":{"DOI":"10.1038/cdd.2016.165","ISSN":"14765403","abstract":"During osteoporosis bone formation by osteoblasts is reduced and/or bone resorption by osteoclasts is enhanced. Currently, only a few factors have been identified in the regulation of bone integrity by osteoblast-derived osteocytes. In this study, we show that specific disruption of menin, encoded by multiple endocrine neoplasia type 1 (Men1), in osteoblasts and osteocytes caused osteoporosis despite the preservation of osteoblast differentiation and the bone formation rate. Instead, an increase in osteoclast numbers and bone resorption was detected that persisted even when the deletion of Men1 was restricted to osteocytes. We demonstrate that isolated Men1-deficient osteocytes expressed numerous soluble mediators, such as C-X-C motif chemokine 10 (CXCL10), and that CXCL10-mediated osteoclastogenesis was reduced by CXCL10-neutralizing antibodies. Collectively, our data reveal a novel role for Men1 in osteocyte–osteoclast crosstalk by controlling osteoclastogenesis through the action of soluble factors. A role for Men1 in maintaining bone integrity and thereby preventing osteoporosis is proposed.","author":[{"dropping-particle":"","family":"Liu","given":"Peng","non-dropping-particle":"","parse-names":false,"suffix":""},{"dropping-particle":"","family":"Lee","given":"Sooyeon","non-dropping-particle":"","parse-names":false,"suffix":""},{"dropping-particle":"","family":"Knoll","given":"Jeanette","non-dropping-particle":"","parse-names":false,"suffix":""},{"dropping-particle":"","family":"Rauch","given":"Alexander","non-dropping-particle":"","parse-names":false,"suffix":""},{"dropping-particle":"","family":"Ostermay","given":"Susanne","non-dropping-particle":"","parse-names":false,"suffix":""},{"dropping-particle":"","family":"Luther","given":"Julia","non-dropping-particle":"","parse-names":false,"suffix":""},{"dropping-particle":"","family":"Malkusch","given":"Nicole","non-dropping-particle":"","parse-names":false,"suffix":""},{"dropping-particle":"","family":"Lerner","given":"Ulf H.","non-dropping-particle":"","parse-names":false,"suffix":""},{"dropping-particle":"","family":"Zaiss","given":"Mario M.","non-dropping-particle":"","parse-names":false,"suffix":""},{"dropping-particle":"","family":"Neven","given":"Mona","non-dropping-particle":"","parse-names":false,"suffix":""},{"dropping-particle":"","family":"Wittig","given":"Rainer","non-dropping-particle":"","parse-names":false,"suffix":""},{"dropping-particle":"","family":"Rauner","given":"Martina","non-dropping-particle":"","parse-names":false,"suffix":""},{"dropping-particle":"","family":"David","given":"Jean Pierre","non-dropping-particle":"","parse-names":false,"suffix":""},{"dropping-particle":"","family":"Bertolino","given":"Philippe","non-dropping-particle":"","parse-names":false,"suffix":""},{"dropping-particle":"","family":"Zhang","given":"Chang X.","non-dropping-particle":"","parse-names":false,"suffix":""},{"dropping-particle":"","family":"Tuckermann","given":"Jan P.","non-dropping-particle":"","parse-names":false,"suffix":""}],"container-title":"Cell Death and Differentiation","id":"ITEM-1","issued":{"date-parts":[["2017"]]},"page":"672-682","publisher":"Nature Publishing Group","title":"Loss of menin in osteoblast lineage affects osteocyte-osteoclast crosstalk causing osteoporosis","type":"article-journal","volume":"24"},"uris":["http://www.mendeley.com/documents/?uuid=26ce7506-f5dc-4fee-81ba-003946db4fe9"]}],"mendeley":{"formattedCitation":"[63]","plainTextFormattedCitation":"[63]","previouslyFormattedCitation":"[63]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[63]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In addition, M-CSF, a well-known cytokine known to induce osteoclast precursor proliferation, was upregulated in our experiments involving mechanical loading </w:t>
      </w:r>
      <w:r>
        <w:fldChar w:fldCharType="begin"/>
      </w:r>
      <w:r>
        <w:rPr>
          <w:sz w:val="24"/>
          <w:szCs w:val="24"/>
          <w:rFonts w:cs="Times New Roman" w:ascii="Times New Roman" w:hAnsi="Times New Roman"/>
          <w:lang w:val="en-US"/>
        </w:rPr>
        <w:instrText>ADDIN CSL_CITATION {"citationItems":[{"id":"ITEM-1","itemData":{"DOI":"10.4110/in.2018.18.e8","ISSN":"1598-2629","PMID":"29503739","abstract":"Cytokines play a pivotal role in maintaining bone homeostasis. Osteoclasts (OCs), the sole bone resorbing cells, are regulated by numerous cytokines. Macrophage colony-stimulating factor and receptor activator of NF-kappaB ligand play a central role in OC differentiation, which is also termed osteoclastogenesis. Osteoclastogenic cytokines, including tumor necrosis factor-alpha, IL-1, IL-6, IL-7, IL-8, IL-11, IL-15, IL-17, IL-23, and IL-34, promote OC differentiation, whereas anti-osteoclastogenic cytokines, including interferon (IFN)-alpha, IFN-beta, IFN-gamma, IL-3, IL-4, IL-10, IL-12, IL-27, and IL-33, downregulate OC differentiation. Therefore, dynamic regulation of osteoclastogenic and anti-osteoclastogenic cytokines is important in maintaining the balance between bone-resorbing OCs and bone-forming osteoblasts (OBs), which eventually affects bone integrity. This review outlines the osteoclastogenic and anti-osteoclastogenic properties of cytokines with regard to osteoimmunology, and summarizes our current understanding of the roles these cytokines play in osteoclastogenesis.","author":[{"dropping-particle":"","family":"Amarasekara","given":"Dulshara Sachini","non-dropping-particle":"","parse-names":false,"suffix":""},{"dropping-particle":"","family":"Yun","given":"Hyeongseok","non-dropping-particle":"","parse-names":false,"suffix":""},{"dropping-particle":"","family":"Kim","given":"Sumi","non-dropping-particle":"","parse-names":false,"suffix":""},{"dropping-particle":"","family":"Lee","given":"Nari","non-dropping-particle":"","parse-names":false,"suffix":""},{"dropping-particle":"","family":"Kim","given":"Hyunjong","non-dropping-particle":"","parse-names":false,"suffix":""},{"dropping-particle":"","family":"Rho","given":"Jaerang","non-dropping-particle":"","parse-names":false,"suffix":""}],"container-title":"Immune Network","id":"ITEM-1","issue":"1","issued":{"date-parts":[["2018"]]},"page":"1-18","title":"Regulation of Osteoclast Differentiation by Cytokine Networks","type":"article-journal","volume":"18"},"uris":["http://www.mendeley.com/documents/?uuid=26a9b4b1-fa50-40a8-8642-de0889f24f32"]}],"mendeley":{"formattedCitation":"[64]","plainTextFormattedCitation":"[64]","previouslyFormattedCitation":"[64]"},"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[64]</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Our results suggest that osteocytes could represent a source of chemokines released in response to mechanical loading to trigger the homeostatic activity of bone effector cells, because osteocytes were demonstrated to produce chemokines such as Cxcl10, which, in turn, induce osteoclastogenesis </w:t>
      </w:r>
      <w:r>
        <w:fldChar w:fldCharType="begin"/>
      </w:r>
      <w:r>
        <w:rPr>
          <w:sz w:val="24"/>
          <w:szCs w:val="24"/>
          <w:rFonts w:cs="Times New Roman" w:ascii="Times New Roman" w:hAnsi="Times New Roman"/>
          <w:lang w:val="en-US"/>
        </w:rPr>
        <w:instrText>ADDIN CSL_CITATION {"citationItems":[{"id":"ITEM-1","itemData":{"DOI":"10.1038/cdd.2016.165","ISSN":"14765403","abstract":"During osteoporosis bone formation by osteoblasts is reduced and/or bone resorption by osteoclasts is enhanced. Currently, only a few factors have been identified in the regulation of bone integrity by osteoblast-derived osteocytes. In this study, we show that specific disruption of menin, encoded by multiple endocrine neoplasia type 1 (Men1), in osteoblasts and osteocytes caused osteoporosis despite the preservation of osteoblast differentiation and the bone formation rate. Instead, an increase in osteoclast numbers and bone resorption was detected that persisted even when the deletion of Men1 was restricted to osteocytes. We demonstrate that isolated Men1-deficient osteocytes expressed numerous soluble mediators, such as C-X-C motif chemokine 10 (CXCL10), and that CXCL10-mediated osteoclastogenesis was reduced by CXCL10-neutralizing antibodies. Collectively, our data reveal a novel role for Men1 in osteocyte–osteoclast crosstalk by controlling osteoclastogenesis through the action of soluble factors. A role for Men1 in maintaining bone integrity and thereby preventing osteoporosis is proposed.","author":[{"dropping-particle":"","family":"Liu","given":"Peng","non-dropping-particle":"","parse-names":false,"suffix":""},{"dropping-particle":"","family":"Lee","given":"Sooyeon","non-dropping-particle":"","parse-names":false,"suffix":""},{"dropping-particle":"","family":"Knoll","given":"Jeanette","non-dropping-particle":"","parse-names":false,"suffix":""},{"dropping-particle":"","family":"Rauch","given":"Alexander","non-dropping-particle":"","parse-names":false,"suffix":""},{"dropping-particle":"","family":"Ostermay","given":"Susanne","non-dropping-particle":"","parse-names":false,"suffix":""},{"dropping-particle":"","family":"Luther","given":"Julia","non-dropping-particle":"","parse-names":false,"suffix":""},{"dropping-particle":"","family":"Malkusch","given":"Nicole","non-dropping-particle":"","parse-names":false,"suffix":""},{"dropping-particle":"","family":"Lerner","given":"Ulf H.","non-dropping-particle":"","parse-names":false,"suffix":""},{"dropping-particle":"","family":"Zaiss","given":"Mario M.","non-dropping-particle":"","parse-names":false,"suffix":""},{"dropping-particle":"","family":"Neven","given":"Mona","non-dropping-particle":"","parse-names":false,"suffix":""},{"dropping-particle":"","family":"Wittig","given":"Rainer","non-dropping-particle":"","parse-names":false,"suffix":""},{"dropping-particle":"","family":"Rauner","given":"Martina","non-dropping-particle":"","parse-names":false,"suffix":""},{"dropping-particle":"","family":"David","given":"Jean Pierre","non-dropping-particle":"","parse-names":false,"suffix":""},{"dropping-particle":"","family":"Bertolino","given":"Philippe","non-dropping-particle":"","parse-names":false,"suffix":""},{"dropping-particle":"","family":"Zhang","given":"Chang X.","non-dropping-particle":"","parse-names":false,"suffix":""},{"dropping-particle":"","family":"Tuckermann","given":"Jan P.","non-dropping-particle":"","parse-names":false,"suffix":""}],"container-title":"Cell Death and Differentiation","id":"ITEM-1","issued":{"date-parts":[["2017"]]},"page":"672-682","publisher":"Nature Publishing Group","title":"Loss of menin in osteoblast lineage affects osteocyte-osteoclast crosstalk causing osteoporosis","type":"article-journal","volume":"24"},"uris":["http://www.mendeley.com/documents/?uuid=26ce7506-f5dc-4fee-81ba-003946db4fe9"]}],"mendeley":{"formattedCitation":"[63]","plainTextFormattedCitation":"[63]","previouslyFormattedCitation":"[63]"},"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[63]</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The results also raise the question of the dialogue between osteocyte and muscle under loading because osteocytes were found to secrete chemokines that  modulate myogenesis </w:t>
      </w:r>
      <w:r>
        <w:fldChar w:fldCharType="begin"/>
      </w:r>
      <w:r>
        <w:rPr>
          <w:sz w:val="24"/>
          <w:szCs w:val="24"/>
          <w:rFonts w:cs="Times New Roman" w:ascii="Times New Roman" w:hAnsi="Times New Roman"/>
          <w:lang w:val="en-US"/>
        </w:rPr>
        <w:instrText>ADDIN CSL_CITATION {"citationItems":[{"id":"ITEM-1","itemData":{"DOI":"10.1016/j.bonr.2017.02.007","ISSN":"23521872","PMID":"28377986","abstract":"It is generally accepted that bone and muscle possess the capacity to act in an autocrine, paracrine, or endocrine manner, with a growing body of evidence that suggests muscle can secrete muscle specific cytokines or “myokines”, which influence bone metabolism. However, there has been little investigation into the identity of bone specific cytokines that modulate skeletal muscle differentiation and function. This study aimed to elucidate the influence of osteocytes on muscle progenitor cells in vitro and to identify potential bone specific cytokines or “osteokines”. We treated C2C12 myoblasts with media collected from differentiated osteocytes (Ocy454 cells) grown in 3D, either under static or fluid flow culture conditions (2 dynes/cm2). C2C12 differentiation was significantly inhibited with a 75% reduction in the number of myofibers formed. mRNA analysis revealed a significant reduction in the expression of myogenic regulatory genes. Cytokine array analysis on the conditioned media demonstrated that osteocytes produce a significant number of cytokines “osteokines” capable of inhibiting myogenesis. Furthermore, we demonstrated that when osteocytes are mechanically activated they induce a greater inhibitory effect on myogenesis compared to a static state. Lastly, we identified the downregulation of numerous cytokines, including Il-6, Il-13, Il-1β, MIP-1α, and Cxcl9, involved in myogenesis, which may lead to future investigation of the role “osteokines” play in musculoskeletal health and pathology.","author":[{"dropping-particle":"","family":"Wood","given":"Charles L.","non-dropping-particle":"","parse-names":false,"suffix":""},{"dropping-particle":"","family":"Pajevic","given":"Paola Divieti","non-dropping-particle":"","parse-names":false,"suffix":""},{"dropping-particle":"","family":"Gooi","given":"Jonathan H.","non-dropping-particle":"","parse-names":false,"suffix":""}],"container-title":"Bone Reports","id":"ITEM-1","issued":{"date-parts":[["2017"]]},"page":"74-80","publisher":"The Author(s)","title":"Osteocyte secreted factors inhibit skeletal muscle differentiation","type":"article-journal","volume":"6"},"uris":["http://www.mendeley.com/documents/?uuid=0faccce3-2015-45e9-92d2-032aff04deed"]}],"mendeley":{"formattedCitation":"[65]","plainTextFormattedCitation":"[65]","previouslyFormattedCitation":"[65]"},"properties":{"noteIndex":0},"schema":"https://github.com/citation-style-language/schema/raw/master/csl-citation.json"}</w:instrText>
      </w:r>
      <w:r>
        <w:rPr>
          <w:rFonts w:cs="Times New Roman" w:ascii="Times New Roman" w:hAnsi="Times New Roman"/>
          <w:sz w:val="24"/>
          <w:szCs w:val="24"/>
          <w:lang w:val="en-US"/>
        </w:rPr>
      </w:r>
      <w:r>
        <w:rPr>
          <w:sz w:val="24"/>
          <w:szCs w:val="24"/>
          <w:rFonts w:cs="Times New Roman" w:ascii="Times New Roman" w:hAnsi="Times New Roman"/>
          <w:lang w:val="en-US"/>
        </w:rPr>
        <w:fldChar w:fldCharType="separate"/>
      </w:r>
      <w:r>
        <w:rPr>
          <w:rFonts w:cs="Times New Roman" w:ascii="Times New Roman" w:hAnsi="Times New Roman"/>
          <w:sz w:val="24"/>
          <w:szCs w:val="24"/>
          <w:lang w:val="en-US"/>
        </w:rPr>
        <w:t>[65]</w:t>
      </w:r>
      <w:r>
        <w:rPr>
          <w:rFonts w:cs="Times New Roman" w:ascii="Times New Roman" w:hAnsi="Times New Roman"/>
          <w:sz w:val="24"/>
          <w:szCs w:val="24"/>
          <w:lang w:val="en-US"/>
        </w:rPr>
      </w:r>
      <w:r>
        <w:rPr>
          <w:sz w:val="24"/>
          <w:szCs w:val="24"/>
          <w:rFonts w:cs="Times New Roman" w:ascii="Times New Roman" w:hAnsi="Times New Roman"/>
          <w:lang w:val="en-US"/>
        </w:rPr>
        <w:fldChar w:fldCharType="end"/>
      </w:r>
      <w:r>
        <w:rPr>
          <w:rFonts w:cs="Times New Roman" w:ascii="Times New Roman" w:hAnsi="Times New Roman"/>
          <w:sz w:val="24"/>
          <w:szCs w:val="24"/>
          <w:lang w:val="en-US"/>
        </w:rPr>
        <w:t xml:space="preserve">. Further studies are needed to fully describe the role of the osteocyte secretome modulated by YAP/TAZ in response to loading and its ability to modulate the activity of bone, muscle or other tissues.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In conclusion, our results provide the first piece of evidence that YAP/TAZ is activated in osteocyte-like cells after 3D mechanical stimulation and regulates chemokine expression. Our results suggest that YAP/TAZ represents a modulator of mechanotransduction in osteocyte-like cells. We also demonstrate that osteocytic MLO-Y4 cells are a major source of different chemokines, notably Cxcl3, Cxcl9 and Cxcl10, released in response to mechanical loading.</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before="0" w:after="0"/>
        <w:jc w:val="both"/>
        <w:rPr>
          <w:rFonts w:ascii="Times New Roman" w:hAnsi="Times New Roman" w:eastAsia="Arial Unicode MS" w:cs="Times New Roman"/>
          <w:b/>
          <w:b/>
          <w:bCs/>
          <w:sz w:val="24"/>
          <w:lang w:val="en-US"/>
        </w:rPr>
      </w:pPr>
      <w:r>
        <w:rPr>
          <w:rFonts w:eastAsia="Arial Unicode MS" w:cs="Times New Roman" w:ascii="Times New Roman" w:hAnsi="Times New Roman"/>
          <w:b/>
          <w:bCs/>
          <w:sz w:val="24"/>
          <w:lang w:val="en-US"/>
        </w:rPr>
        <w:t xml:space="preserve">Acknowledgments: </w:t>
      </w:r>
    </w:p>
    <w:p>
      <w:pPr>
        <w:pStyle w:val="Normal"/>
        <w:spacing w:lineRule="auto" w:line="480" w:before="0" w:after="0"/>
        <w:jc w:val="both"/>
        <w:rPr>
          <w:rFonts w:ascii="Times New Roman" w:hAnsi="Times New Roman" w:eastAsia="Arial Unicode MS" w:cs="Times New Roman"/>
          <w:bCs/>
          <w:sz w:val="24"/>
          <w:szCs w:val="24"/>
          <w:lang w:val="en-US"/>
        </w:rPr>
      </w:pPr>
      <w:r>
        <w:rPr>
          <w:rFonts w:eastAsia="Arial Unicode MS" w:cs="Times New Roman" w:ascii="Times New Roman" w:hAnsi="Times New Roman"/>
          <w:bCs/>
          <w:sz w:val="24"/>
          <w:lang w:val="en-US"/>
        </w:rPr>
        <w:t>We thank Dr Lynda F Bonewald for providing the MLO-Y4 osteocyte cell line. We thank Dr Kristina Kampmann from GATC Biotech for RNAseq experiments and analysis. We also thank Laura Smales for excellent editing of the manuscript.</w:t>
      </w:r>
    </w:p>
    <w:p>
      <w:pPr>
        <w:pStyle w:val="Titre4"/>
        <w:spacing w:lineRule="auto" w:line="480" w:before="0" w:after="0"/>
        <w:rPr>
          <w:rFonts w:ascii="Times New Roman" w:hAnsi="Times New Roman" w:cs="Times New Roman"/>
          <w:i w:val="false"/>
          <w:i w:val="false"/>
          <w:color w:val="auto"/>
          <w:sz w:val="24"/>
          <w:szCs w:val="24"/>
          <w:lang w:val="en-US"/>
        </w:rPr>
      </w:pPr>
      <w:r>
        <w:rPr>
          <w:rFonts w:cs="Times New Roman" w:ascii="Times New Roman" w:hAnsi="Times New Roman"/>
          <w:i w:val="false"/>
          <w:color w:val="auto"/>
          <w:sz w:val="24"/>
          <w:szCs w:val="24"/>
          <w:lang w:val="en-US"/>
        </w:rPr>
      </w:r>
    </w:p>
    <w:p>
      <w:pPr>
        <w:pStyle w:val="Titre4"/>
        <w:spacing w:lineRule="auto" w:line="480" w:before="0" w:after="0"/>
        <w:rPr>
          <w:rFonts w:ascii="Times New Roman" w:hAnsi="Times New Roman" w:cs="Times New Roman"/>
          <w:i w:val="false"/>
          <w:i w:val="false"/>
          <w:color w:val="auto"/>
          <w:sz w:val="24"/>
          <w:szCs w:val="24"/>
          <w:lang w:val="en-US"/>
        </w:rPr>
      </w:pPr>
      <w:r>
        <w:rPr>
          <w:rFonts w:cs="Times New Roman" w:ascii="Times New Roman" w:hAnsi="Times New Roman"/>
          <w:i w:val="false"/>
          <w:color w:val="auto"/>
          <w:sz w:val="24"/>
          <w:szCs w:val="24"/>
          <w:lang w:val="en-US"/>
        </w:rPr>
        <w:t>Conflict of interest</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The authors declare that they have no conflict of interest in relation to the work.</w:t>
      </w:r>
    </w:p>
    <w:p>
      <w:pPr>
        <w:pStyle w:val="Titre4"/>
        <w:spacing w:lineRule="auto" w:line="480" w:before="0" w:after="0"/>
        <w:rPr>
          <w:rFonts w:ascii="Times New Roman" w:hAnsi="Times New Roman" w:cs="Times New Roman"/>
          <w:i w:val="false"/>
          <w:i w:val="false"/>
          <w:color w:val="auto"/>
          <w:sz w:val="24"/>
          <w:szCs w:val="24"/>
          <w:lang w:val="en-US"/>
        </w:rPr>
      </w:pPr>
      <w:r>
        <w:rPr>
          <w:rFonts w:cs="Times New Roman" w:ascii="Times New Roman" w:hAnsi="Times New Roman"/>
          <w:i w:val="false"/>
          <w:color w:val="auto"/>
          <w:sz w:val="24"/>
          <w:szCs w:val="24"/>
          <w:lang w:val="en-US"/>
        </w:rPr>
      </w:r>
    </w:p>
    <w:p>
      <w:pPr>
        <w:pStyle w:val="Titre4"/>
        <w:spacing w:lineRule="auto" w:line="480" w:before="0" w:after="0"/>
        <w:rPr>
          <w:rFonts w:ascii="Times New Roman" w:hAnsi="Times New Roman" w:cs="Times New Roman"/>
          <w:i w:val="false"/>
          <w:i w:val="false"/>
          <w:color w:val="auto"/>
          <w:sz w:val="24"/>
          <w:szCs w:val="24"/>
          <w:lang w:val="en-US"/>
        </w:rPr>
      </w:pPr>
      <w:r>
        <w:rPr>
          <w:rFonts w:cs="Times New Roman" w:ascii="Times New Roman" w:hAnsi="Times New Roman"/>
          <w:i w:val="false"/>
          <w:color w:val="auto"/>
          <w:sz w:val="24"/>
          <w:szCs w:val="24"/>
          <w:lang w:val="en-US"/>
        </w:rPr>
        <w:t xml:space="preserve">Ethics approval </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Not applicable</w:t>
      </w:r>
    </w:p>
    <w:p>
      <w:pPr>
        <w:pStyle w:val="Titre4"/>
        <w:spacing w:lineRule="auto" w:line="480" w:before="0" w:after="0"/>
        <w:rPr>
          <w:rFonts w:ascii="Times New Roman" w:hAnsi="Times New Roman" w:cs="Times New Roman"/>
          <w:i w:val="false"/>
          <w:i w:val="false"/>
          <w:color w:val="auto"/>
          <w:sz w:val="24"/>
          <w:szCs w:val="24"/>
          <w:lang w:val="en-US"/>
        </w:rPr>
      </w:pPr>
      <w:r>
        <w:rPr>
          <w:rFonts w:cs="Times New Roman" w:ascii="Times New Roman" w:hAnsi="Times New Roman"/>
          <w:i w:val="false"/>
          <w:color w:val="auto"/>
          <w:sz w:val="24"/>
          <w:szCs w:val="24"/>
          <w:lang w:val="en-US"/>
        </w:rPr>
        <w:t>Consent for publication</w:t>
      </w:r>
    </w:p>
    <w:p>
      <w:pPr>
        <w:pStyle w:val="Normal"/>
        <w:spacing w:lineRule="auto" w:line="48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Not applicable</w:t>
      </w:r>
    </w:p>
    <w:p>
      <w:pPr>
        <w:pStyle w:val="Normal"/>
        <w:spacing w:lineRule="auto" w:line="480" w:before="0" w:after="0"/>
        <w:jc w:val="both"/>
        <w:rPr>
          <w:rFonts w:ascii="Times New Roman" w:hAnsi="Times New Roman" w:eastAsia="Arial Unicode MS" w:cs="Times New Roman"/>
          <w:b/>
          <w:b/>
          <w:bCs/>
          <w:sz w:val="24"/>
          <w:szCs w:val="24"/>
          <w:lang w:val="en-US"/>
        </w:rPr>
      </w:pPr>
      <w:r>
        <w:rPr>
          <w:rFonts w:eastAsia="Arial Unicode MS" w:cs="Times New Roman" w:ascii="Times New Roman" w:hAnsi="Times New Roman"/>
          <w:b/>
          <w:bCs/>
          <w:sz w:val="24"/>
          <w:szCs w:val="24"/>
          <w:lang w:val="en-US"/>
        </w:rPr>
      </w:r>
    </w:p>
    <w:p>
      <w:pPr>
        <w:pStyle w:val="Normal"/>
        <w:spacing w:lineRule="auto" w:line="480" w:before="0" w:after="0"/>
        <w:jc w:val="both"/>
        <w:rPr>
          <w:rFonts w:ascii="Times New Roman" w:hAnsi="Times New Roman" w:eastAsia="Arial Unicode MS" w:cs="Times New Roman"/>
          <w:b/>
          <w:b/>
          <w:bCs/>
          <w:sz w:val="24"/>
          <w:szCs w:val="24"/>
          <w:lang w:val="en-US"/>
        </w:rPr>
      </w:pPr>
      <w:r>
        <w:rPr>
          <w:rFonts w:eastAsia="Arial Unicode MS" w:cs="Times New Roman" w:ascii="Times New Roman" w:hAnsi="Times New Roman"/>
          <w:b/>
          <w:bCs/>
          <w:sz w:val="24"/>
          <w:szCs w:val="24"/>
          <w:lang w:val="en-US"/>
        </w:rPr>
        <w:t xml:space="preserve">Author contributions </w:t>
      </w:r>
    </w:p>
    <w:p>
      <w:pPr>
        <w:pStyle w:val="Normal"/>
        <w:spacing w:lineRule="auto" w:line="480" w:before="0" w:after="0"/>
        <w:jc w:val="both"/>
        <w:rPr>
          <w:rFonts w:ascii="Times New Roman" w:hAnsi="Times New Roman" w:eastAsia="Arial Unicode MS" w:cs="Times New Roman"/>
          <w:bCs/>
          <w:sz w:val="24"/>
          <w:szCs w:val="24"/>
          <w:lang w:val="en-US"/>
        </w:rPr>
      </w:pPr>
      <w:r>
        <w:rPr>
          <w:rFonts w:eastAsia="Arial Unicode MS" w:cs="Times New Roman" w:ascii="Times New Roman" w:hAnsi="Times New Roman"/>
          <w:bCs/>
          <w:sz w:val="24"/>
          <w:lang w:val="en-US"/>
        </w:rPr>
        <w:t xml:space="preserve">Conception and design (ZM, EF, SJM, RF, HE, CSM); analysis and interpretation of the data (ZM, SD, HE, CSM); drafting of the article (ZM, SD, EF, SJM, HE, CSM); critical revision </w:t>
      </w:r>
      <w:r>
        <w:rPr>
          <w:rFonts w:eastAsia="Arial Unicode MS" w:cs="Times New Roman" w:ascii="Times New Roman" w:hAnsi="Times New Roman"/>
          <w:bCs/>
          <w:sz w:val="24"/>
          <w:szCs w:val="24"/>
          <w:lang w:val="en-US"/>
        </w:rPr>
        <w:t>of the article for important intellectual content (ZM, SD, SJM, HE, CSM); final approval of the article (all authors); provision of study materials or patients (EF, RF, HC, CSM); statistical expertise (ZM, DS); obtaining funding (CSM); administrative, technical, or logistical support (EF, HC, BM, RF); collection and assembly of data (ZM, CSM).</w:t>
      </w:r>
    </w:p>
    <w:p>
      <w:pPr>
        <w:pStyle w:val="Normal"/>
        <w:spacing w:lineRule="auto" w:line="480" w:before="0" w:after="0"/>
        <w:jc w:val="both"/>
        <w:rPr>
          <w:rFonts w:ascii="Times New Roman" w:hAnsi="Times New Roman" w:eastAsia="Arial Unicode MS" w:cs="Times New Roman"/>
          <w:b/>
          <w:b/>
          <w:bCs/>
          <w:sz w:val="24"/>
          <w:szCs w:val="24"/>
          <w:lang w:val="en-US"/>
        </w:rPr>
      </w:pPr>
      <w:r>
        <w:rPr>
          <w:rFonts w:eastAsia="Arial Unicode MS" w:cs="Times New Roman" w:ascii="Times New Roman" w:hAnsi="Times New Roman"/>
          <w:b/>
          <w:bCs/>
          <w:sz w:val="24"/>
          <w:szCs w:val="24"/>
          <w:lang w:val="en-US"/>
        </w:rPr>
      </w:r>
    </w:p>
    <w:p>
      <w:pPr>
        <w:pStyle w:val="Normal"/>
        <w:spacing w:lineRule="auto" w:line="480" w:before="0" w:after="0"/>
        <w:jc w:val="both"/>
        <w:rPr>
          <w:rStyle w:val="Strong"/>
          <w:rFonts w:ascii="Times New Roman" w:hAnsi="Times New Roman" w:cs="Times New Roman"/>
          <w:sz w:val="24"/>
          <w:szCs w:val="24"/>
          <w:lang w:val="en-US"/>
        </w:rPr>
      </w:pPr>
      <w:r>
        <w:rPr>
          <w:rStyle w:val="Strong"/>
          <w:rFonts w:cs="Times New Roman" w:ascii="Times New Roman" w:hAnsi="Times New Roman"/>
          <w:sz w:val="24"/>
          <w:szCs w:val="24"/>
          <w:lang w:val="en-US"/>
        </w:rPr>
        <w:t>Data Availability Statement</w:t>
      </w:r>
    </w:p>
    <w:p>
      <w:pPr>
        <w:pStyle w:val="Normal"/>
        <w:spacing w:lineRule="auto" w:line="480" w:before="0" w:after="0"/>
        <w:jc w:val="both"/>
        <w:rPr>
          <w:rFonts w:ascii="Times New Roman" w:hAnsi="Times New Roman" w:eastAsia="Arial Unicode MS" w:cs="Times New Roman"/>
          <w:bCs/>
          <w:sz w:val="24"/>
          <w:szCs w:val="24"/>
          <w:lang w:val="en-US"/>
        </w:rPr>
      </w:pPr>
      <w:r>
        <w:rPr>
          <w:rFonts w:cs="Times New Roman" w:ascii="Times New Roman" w:hAnsi="Times New Roman"/>
          <w:sz w:val="24"/>
          <w:szCs w:val="24"/>
          <w:lang w:val="en-US"/>
        </w:rPr>
        <w:t>Datasets will be available from the authors upon reasonable request</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eastAsia="Arial Unicode MS" w:cs="Times New Roman"/>
          <w:b/>
          <w:b/>
          <w:bCs/>
          <w:sz w:val="24"/>
          <w:szCs w:val="24"/>
          <w:lang w:val="en-US"/>
        </w:rPr>
      </w:pPr>
      <w:r>
        <w:rPr>
          <w:rFonts w:eastAsia="Arial Unicode MS" w:cs="Times New Roman" w:ascii="Times New Roman" w:hAnsi="Times New Roman"/>
          <w:b/>
          <w:bCs/>
          <w:sz w:val="24"/>
          <w:szCs w:val="24"/>
          <w:lang w:val="en-US"/>
        </w:rPr>
        <w:t>Funding</w:t>
      </w:r>
    </w:p>
    <w:p>
      <w:pPr>
        <w:pStyle w:val="Normal"/>
        <w:rPr>
          <w:rFonts w:ascii="Times New Roman" w:hAnsi="Times New Roman" w:cs="Times New Roman"/>
          <w:b/>
          <w:b/>
          <w:sz w:val="24"/>
          <w:szCs w:val="24"/>
          <w:lang w:val="en-US"/>
        </w:rPr>
      </w:pPr>
      <w:r>
        <w:rPr>
          <w:rFonts w:eastAsia="Arial Unicode MS" w:cs="Times New Roman" w:ascii="Times New Roman" w:hAnsi="Times New Roman"/>
          <w:bCs/>
          <w:sz w:val="24"/>
          <w:szCs w:val="24"/>
          <w:lang w:val="en-US"/>
        </w:rPr>
        <w:t>The study was supported by SYBIL European consortium.</w:t>
      </w:r>
    </w:p>
    <w:p>
      <w:pPr>
        <w:pStyle w:val="Normal"/>
        <w:spacing w:lineRule="auto" w:line="259" w:before="0" w:after="160"/>
        <w:rPr>
          <w:rFonts w:ascii="Times New Roman" w:hAnsi="Times New Roman" w:eastAsia="Arial Unicode MS" w:cs="Times New Roman"/>
          <w:b/>
          <w:b/>
          <w:bCs/>
          <w:sz w:val="24"/>
          <w:lang w:val="en-US"/>
        </w:rPr>
      </w:pPr>
      <w:r>
        <w:rPr>
          <w:rFonts w:eastAsia="Arial Unicode MS" w:cs="Times New Roman" w:ascii="Times New Roman" w:hAnsi="Times New Roman"/>
          <w:b/>
          <w:bCs/>
          <w:sz w:val="24"/>
          <w:lang w:val="en-US"/>
        </w:rPr>
      </w:r>
      <w:r>
        <w:br w:type="page"/>
      </w:r>
    </w:p>
    <w:p>
      <w:pPr>
        <w:pStyle w:val="Normal"/>
        <w:spacing w:before="0" w:after="0"/>
        <w:jc w:val="both"/>
        <w:rPr>
          <w:rFonts w:ascii="Times New Roman" w:hAnsi="Times New Roman" w:eastAsia="Arial Unicode MS" w:cs="Times New Roman"/>
          <w:b/>
          <w:b/>
          <w:sz w:val="24"/>
          <w:lang w:val="en-US"/>
        </w:rPr>
      </w:pPr>
      <w:r>
        <w:rPr>
          <w:rFonts w:eastAsia="Arial Unicode MS" w:cs="Times New Roman" w:ascii="Times New Roman" w:hAnsi="Times New Roman"/>
          <w:b/>
          <w:bCs/>
          <w:sz w:val="24"/>
          <w:lang w:val="en-US"/>
        </w:rPr>
        <w:t xml:space="preserve">References </w:t>
      </w:r>
    </w:p>
    <w:p>
      <w:pPr>
        <w:pStyle w:val="Normal"/>
        <w:rPr>
          <w:rFonts w:ascii="Times New Roman" w:hAnsi="Times New Roman" w:cs="Times New Roman"/>
          <w:bCs/>
          <w:lang w:val="en-US"/>
        </w:rPr>
      </w:pPr>
      <w:r>
        <w:rPr>
          <w:rFonts w:cs="Times New Roman" w:ascii="Times New Roman" w:hAnsi="Times New Roman"/>
          <w:bCs/>
          <w:lang w:val="en-US"/>
        </w:rPr>
      </w:r>
    </w:p>
    <w:p>
      <w:pPr>
        <w:pStyle w:val="Normal"/>
        <w:widowControl w:val="false"/>
        <w:spacing w:lineRule="auto" w:line="240"/>
        <w:ind w:left="640" w:hanging="640"/>
        <w:rPr>
          <w:rFonts w:ascii="Times New Roman" w:hAnsi="Times New Roman" w:cs="Times New Roman"/>
          <w:sz w:val="24"/>
          <w:szCs w:val="24"/>
          <w:lang w:val="en-US"/>
        </w:rPr>
      </w:pPr>
      <w:r>
        <w:fldChar w:fldCharType="begin"/>
      </w:r>
      <w:r>
        <w:rPr>
          <w:sz w:val="24"/>
          <w:szCs w:val="24"/>
          <w:rFonts w:ascii="Times New Roman" w:hAnsi="Times New Roman"/>
        </w:rPr>
        <w:instrText>ADDIN Mendeley Bibliography CSL_BIBLIOGRAPHY</w:instrText>
      </w:r>
      <w:r>
        <w:rPr>
          <w:rFonts w:ascii="Times New Roman" w:hAnsi="Times New Roman"/>
          <w:sz w:val="24"/>
          <w:szCs w:val="24"/>
        </w:rPr>
      </w:r>
      <w:r>
        <w:rPr>
          <w:sz w:val="24"/>
          <w:szCs w:val="24"/>
          <w:rFonts w:ascii="Times New Roman" w:hAnsi="Times New Roman"/>
        </w:rPr>
        <w:fldChar w:fldCharType="separate"/>
      </w:r>
      <w:r>
        <w:rPr>
          <w:rFonts w:ascii="Times New Roman" w:hAnsi="Times New Roman"/>
          <w:sz w:val="24"/>
          <w:szCs w:val="24"/>
        </w:rPr>
      </w:r>
      <w:r>
        <w:rPr>
          <w:rFonts w:cs="Times New Roman" w:ascii="Times New Roman" w:hAnsi="Times New Roman"/>
          <w:sz w:val="24"/>
          <w:szCs w:val="24"/>
          <w:lang w:val="en-US"/>
        </w:rPr>
        <w:t xml:space="preserve">[1] </w:t>
        <w:tab/>
        <w:t xml:space="preserve">A. G. Robling, A. B. Castillo, and C. H. Turner, “Biomechanical and Molecular Regulation of Bone Remodeling,” </w:t>
      </w:r>
      <w:r>
        <w:rPr>
          <w:rFonts w:cs="Times New Roman" w:ascii="Times New Roman" w:hAnsi="Times New Roman"/>
          <w:i/>
          <w:iCs/>
          <w:sz w:val="24"/>
          <w:szCs w:val="24"/>
          <w:lang w:val="en-US"/>
        </w:rPr>
        <w:t>Annu. Rev. Biomed. Eng.</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8</w:t>
      </w:r>
      <w:r>
        <w:rPr>
          <w:rFonts w:cs="Times New Roman" w:ascii="Times New Roman" w:hAnsi="Times New Roman"/>
          <w:sz w:val="24"/>
          <w:szCs w:val="24"/>
          <w:lang w:val="en-US"/>
        </w:rPr>
        <w:t>, 455–498 (2006).</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 </w:t>
        <w:tab/>
        <w:t xml:space="preserve">M. B. Schaffler, W.-Y. Cheung, R. Majeska, and O. Kennedy, “Osteocytes: Master Orchestrators of Bone,” </w:t>
      </w:r>
      <w:r>
        <w:rPr>
          <w:rFonts w:cs="Times New Roman" w:ascii="Times New Roman" w:hAnsi="Times New Roman"/>
          <w:i/>
          <w:iCs/>
          <w:sz w:val="24"/>
          <w:szCs w:val="24"/>
          <w:lang w:val="en-US"/>
        </w:rPr>
        <w:t>Calcif Tissue Int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94</w:t>
      </w:r>
      <w:r>
        <w:rPr>
          <w:rFonts w:cs="Times New Roman" w:ascii="Times New Roman" w:hAnsi="Times New Roman"/>
          <w:sz w:val="24"/>
          <w:szCs w:val="24"/>
          <w:lang w:val="en-US"/>
        </w:rPr>
        <w:t>, 5–24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 </w:t>
        <w:tab/>
        <w:t xml:space="preserve">Z. Xiao and L. D. Quarles, “Physiological mechanisms and therapeutic potential of bone mechanosensing,” </w:t>
      </w:r>
      <w:r>
        <w:rPr>
          <w:rFonts w:cs="Times New Roman" w:ascii="Times New Roman" w:hAnsi="Times New Roman"/>
          <w:i/>
          <w:iCs/>
          <w:sz w:val="24"/>
          <w:szCs w:val="24"/>
          <w:lang w:val="en-US"/>
        </w:rPr>
        <w:t>Rev. Endocr. Metab. Disord.</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16</w:t>
      </w:r>
      <w:r>
        <w:rPr>
          <w:rFonts w:cs="Times New Roman" w:ascii="Times New Roman" w:hAnsi="Times New Roman"/>
          <w:sz w:val="24"/>
          <w:szCs w:val="24"/>
          <w:lang w:val="en-US"/>
        </w:rPr>
        <w:t>, 115–129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 </w:t>
        <w:tab/>
        <w:t xml:space="preserve">M. P. Yavropoulou and J. G. Yovos, “The molecular basis of bone mechanotransduction,” </w:t>
      </w:r>
      <w:r>
        <w:rPr>
          <w:rFonts w:cs="Times New Roman" w:ascii="Times New Roman" w:hAnsi="Times New Roman"/>
          <w:i/>
          <w:iCs/>
          <w:sz w:val="24"/>
          <w:szCs w:val="24"/>
          <w:lang w:val="en-US"/>
        </w:rPr>
        <w:t>J Musculoskelet Neuronal Interact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16</w:t>
      </w:r>
      <w:r>
        <w:rPr>
          <w:rFonts w:cs="Times New Roman" w:ascii="Times New Roman" w:hAnsi="Times New Roman"/>
          <w:sz w:val="24"/>
          <w:szCs w:val="24"/>
          <w:lang w:val="en-US"/>
        </w:rPr>
        <w:t>, 221–236 (2016).</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 </w:t>
        <w:tab/>
        <w:t xml:space="preserve">A. F. Taylor, M. M. Saunders, D. L. Shingle, J. M. Cimbala, Z. Zhou, and H. J. Donahue, “Mechanically stimulated osteocytes regulate osteoblastic activity via gap junctions,” </w:t>
      </w:r>
      <w:r>
        <w:rPr>
          <w:rFonts w:cs="Times New Roman" w:ascii="Times New Roman" w:hAnsi="Times New Roman"/>
          <w:i/>
          <w:iCs/>
          <w:sz w:val="24"/>
          <w:szCs w:val="24"/>
          <w:lang w:val="en-US"/>
        </w:rPr>
        <w:t>Am J Physiol Cell Physiol.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292</w:t>
      </w:r>
      <w:r>
        <w:rPr>
          <w:rFonts w:cs="Times New Roman" w:ascii="Times New Roman" w:hAnsi="Times New Roman"/>
          <w:sz w:val="24"/>
          <w:szCs w:val="24"/>
          <w:lang w:val="en-US"/>
        </w:rPr>
        <w:t>, C545–C552 (2007).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[6] </w:t>
        <w:tab/>
        <w:t xml:space="preserve">P. P. Cherian, A. J. Siller-Jackson, S. Gu, X. Wang, L. F. Bonewald, E. Sprague, and al., “Mechanical Strain Opens Connexin 43 Hemichannels in Osteocytes : A Novel Mechanism for the Release of Prostaglandin,” </w:t>
      </w:r>
      <w:r>
        <w:rPr>
          <w:rFonts w:cs="Times New Roman" w:ascii="Times New Roman" w:hAnsi="Times New Roman"/>
          <w:i/>
          <w:iCs/>
          <w:sz w:val="24"/>
          <w:szCs w:val="24"/>
          <w:lang w:val="en-US"/>
        </w:rPr>
        <w:t>Mol. Biol. Cell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16</w:t>
      </w:r>
      <w:r>
        <w:rPr>
          <w:rFonts w:cs="Times New Roman" w:ascii="Times New Roman" w:hAnsi="Times New Roman"/>
          <w:sz w:val="24"/>
          <w:szCs w:val="24"/>
          <w:lang w:val="en-US"/>
        </w:rPr>
        <w:t>, 3100–3106 (2005).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[7] </w:t>
        <w:tab/>
        <w:t xml:space="preserve">D. c. Genetos, C. J. Kephart, Y. Zhang, C. E. Yellowley, and H. J. Donahue, “Oscillating fluid flow activation of GAP junction hemichannels induces ATP release from MLO-Y4 osteocytes,” </w:t>
      </w:r>
      <w:r>
        <w:rPr>
          <w:rFonts w:cs="Times New Roman" w:ascii="Times New Roman" w:hAnsi="Times New Roman"/>
          <w:i/>
          <w:iCs/>
          <w:sz w:val="24"/>
          <w:szCs w:val="24"/>
          <w:lang w:val="en-US"/>
        </w:rPr>
        <w:t>J Cell Physiol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212</w:t>
      </w:r>
      <w:r>
        <w:rPr>
          <w:rFonts w:cs="Times New Roman" w:ascii="Times New Roman" w:hAnsi="Times New Roman"/>
          <w:sz w:val="24"/>
          <w:szCs w:val="24"/>
          <w:lang w:val="en-US"/>
        </w:rPr>
        <w:t>, 207–214 (2007).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[8] </w:t>
        <w:tab/>
        <w:t xml:space="preserve">L. Bao, S. Locovei, and G. Dahl, “Pannexin membrane channels are mechanosensitive conduits for ATP,” </w:t>
      </w:r>
      <w:r>
        <w:rPr>
          <w:rFonts w:cs="Times New Roman" w:ascii="Times New Roman" w:hAnsi="Times New Roman"/>
          <w:i/>
          <w:iCs/>
          <w:sz w:val="24"/>
          <w:szCs w:val="24"/>
          <w:lang w:val="en-US"/>
        </w:rPr>
        <w:t>FEBS Lett.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572</w:t>
      </w:r>
      <w:r>
        <w:rPr>
          <w:rFonts w:cs="Times New Roman" w:ascii="Times New Roman" w:hAnsi="Times New Roman"/>
          <w:sz w:val="24"/>
          <w:szCs w:val="24"/>
          <w:lang w:val="en-US"/>
        </w:rPr>
        <w:t>, 65–68 (2004).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[9] </w:t>
        <w:tab/>
        <w:t xml:space="preserve">S. W. Fox, T. J. Chambers, and J. W. Chow, “Nitric oxide is an early mediator of the increase in bone formation by mechanical stimulation,” </w:t>
      </w:r>
      <w:r>
        <w:rPr>
          <w:rFonts w:cs="Times New Roman" w:ascii="Times New Roman" w:hAnsi="Times New Roman"/>
          <w:i/>
          <w:iCs/>
          <w:sz w:val="24"/>
          <w:szCs w:val="24"/>
          <w:lang w:val="en-US"/>
        </w:rPr>
        <w:t>Am J Physiol</w:t>
      </w:r>
      <w:r>
        <w:rPr>
          <w:rFonts w:cs="Times New Roman" w:ascii="Times New Roman" w:hAnsi="Times New Roman"/>
          <w:sz w:val="24"/>
          <w:szCs w:val="24"/>
          <w:lang w:val="en-US"/>
        </w:rPr>
        <w:t>, E955-60 (1996).</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[10] </w:t>
        <w:tab/>
        <w:t xml:space="preserve">G. Zaman,  a a Pitsillides, S. C. F. Rawlinson, R. F. L. Suswillo, J. R. Mosley, M. Z. Cheng, et al., “Mechanical Strain Stimulates Nitric Oxide Production by Rapid Activation of Endothelial Nitric Oxide Synthase in Osteocytes,” </w:t>
      </w:r>
      <w:r>
        <w:rPr>
          <w:rFonts w:cs="Times New Roman" w:ascii="Times New Roman" w:hAnsi="Times New Roman"/>
          <w:i/>
          <w:iCs/>
          <w:sz w:val="24"/>
          <w:szCs w:val="24"/>
          <w:lang w:val="en-US"/>
        </w:rPr>
        <w:t>J. Bone Miner. Res.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14</w:t>
      </w:r>
      <w:r>
        <w:rPr>
          <w:rFonts w:cs="Times New Roman" w:ascii="Times New Roman" w:hAnsi="Times New Roman"/>
          <w:sz w:val="24"/>
          <w:szCs w:val="24"/>
          <w:lang w:val="en-US"/>
        </w:rPr>
        <w:t>, 1123–1131 (1999).</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[11] </w:t>
        <w:tab/>
        <w:t xml:space="preserve">S. D. Tan, T. J. de Vries, A. M. Kuijpers-Jagtman, C. M. Semeins, V. Everts, and J. Klein-Nulend, “Osteocytes subjected to fluid flow inhibit osteoclast formation and bone resorption,” </w:t>
      </w:r>
      <w:r>
        <w:rPr>
          <w:rFonts w:cs="Times New Roman" w:ascii="Times New Roman" w:hAnsi="Times New Roman"/>
          <w:i/>
          <w:iCs/>
          <w:sz w:val="24"/>
          <w:szCs w:val="24"/>
          <w:lang w:val="en-US"/>
        </w:rPr>
        <w:t>Bone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41</w:t>
      </w:r>
      <w:r>
        <w:rPr>
          <w:rFonts w:cs="Times New Roman" w:ascii="Times New Roman" w:hAnsi="Times New Roman"/>
          <w:sz w:val="24"/>
          <w:szCs w:val="24"/>
          <w:lang w:val="en-US"/>
        </w:rPr>
        <w:t>, 745–751 (2007).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[12] </w:t>
        <w:tab/>
        <w:t xml:space="preserve">C. Liao, T. Cheng, S. Wang, C. Zhang, L. Jin, and Y. Yang, “Shear stress inhibits IL-17A-mediated induction of osteoclastogenesis via osteocyte pathways,” </w:t>
      </w:r>
      <w:r>
        <w:rPr>
          <w:rFonts w:cs="Times New Roman" w:ascii="Times New Roman" w:hAnsi="Times New Roman"/>
          <w:i/>
          <w:iCs/>
          <w:sz w:val="24"/>
          <w:szCs w:val="24"/>
          <w:lang w:val="en-US"/>
        </w:rPr>
        <w:t>Bone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101</w:t>
      </w:r>
      <w:r>
        <w:rPr>
          <w:rFonts w:cs="Times New Roman" w:ascii="Times New Roman" w:hAnsi="Times New Roman"/>
          <w:sz w:val="24"/>
          <w:szCs w:val="24"/>
          <w:lang w:val="en-US"/>
        </w:rPr>
        <w:t>, 10–20 (2017).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[13] </w:t>
        <w:tab/>
        <w:t xml:space="preserve">L. You, S. Temiyasathit, P. Lee, C. H. Kim, P. Tummala, W. Yao et al., “Osteocytes as Mechanosensors in the Inhibition of Bone Resorption Due to Mechanical Loading,” </w:t>
      </w:r>
      <w:r>
        <w:rPr>
          <w:rFonts w:cs="Times New Roman" w:ascii="Times New Roman" w:hAnsi="Times New Roman"/>
          <w:i/>
          <w:iCs/>
          <w:sz w:val="24"/>
          <w:szCs w:val="24"/>
          <w:lang w:val="en-US"/>
        </w:rPr>
        <w:t>Bone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42</w:t>
      </w:r>
      <w:r>
        <w:rPr>
          <w:rFonts w:cs="Times New Roman" w:ascii="Times New Roman" w:hAnsi="Times New Roman"/>
          <w:sz w:val="24"/>
          <w:szCs w:val="24"/>
          <w:lang w:val="en-US"/>
        </w:rPr>
        <w:t>, 172–179 (2008).</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[14] </w:t>
        <w:tab/>
        <w:t xml:space="preserve">R. N. Kulkarni, A. D. Bakker, V. Everts, and J. Klein-Nulend, “Inhibition of osteoclastogenesis by mechanically loaded osteocytes: Involvement of MEPE,” </w:t>
      </w:r>
      <w:r>
        <w:rPr>
          <w:rFonts w:cs="Times New Roman" w:ascii="Times New Roman" w:hAnsi="Times New Roman"/>
          <w:i/>
          <w:iCs/>
          <w:sz w:val="24"/>
          <w:szCs w:val="24"/>
          <w:lang w:val="en-US"/>
        </w:rPr>
        <w:t>Calcif. Tissue Int.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87</w:t>
      </w:r>
      <w:r>
        <w:rPr>
          <w:rFonts w:cs="Times New Roman" w:ascii="Times New Roman" w:hAnsi="Times New Roman"/>
          <w:sz w:val="24"/>
          <w:szCs w:val="24"/>
          <w:lang w:val="en-US"/>
        </w:rPr>
        <w:t>, 461–468 (2010).</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[15] </w:t>
        <w:tab/>
        <w:t xml:space="preserve">J. Xiong, M. Piemontese, M. Onal, and J. Campbell, “Osteocytes, not Osteoblasts or Lining Cells , are the Main Source of the RANKL Required for Osteoclast Formation in Remodeling Bone,” </w:t>
      </w:r>
      <w:r>
        <w:rPr>
          <w:rFonts w:cs="Times New Roman" w:ascii="Times New Roman" w:hAnsi="Times New Roman"/>
          <w:i/>
          <w:iCs/>
          <w:sz w:val="24"/>
          <w:szCs w:val="24"/>
          <w:lang w:val="en-US"/>
        </w:rPr>
        <w:t>PLoS One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10</w:t>
      </w:r>
      <w:r>
        <w:rPr>
          <w:rFonts w:cs="Times New Roman" w:ascii="Times New Roman" w:hAnsi="Times New Roman"/>
          <w:sz w:val="24"/>
          <w:szCs w:val="24"/>
          <w:lang w:val="en-US"/>
        </w:rPr>
        <w:t>, e0138189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[16] </w:t>
        <w:tab/>
        <w:t xml:space="preserve">A. G. Robling, P. J. Niziolek, L. A. Baldridge, K. W. Condon, M. R. Allen, I. Alam et al., “Mechanical stimulation of bone in vivo reduces osteocyte expression of Sost/sclerostin,” </w:t>
      </w:r>
      <w:r>
        <w:rPr>
          <w:rFonts w:cs="Times New Roman" w:ascii="Times New Roman" w:hAnsi="Times New Roman"/>
          <w:i/>
          <w:iCs/>
          <w:sz w:val="24"/>
          <w:szCs w:val="24"/>
          <w:lang w:val="en-US"/>
        </w:rPr>
        <w:t>J. Biol. Chem.</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283</w:t>
      </w:r>
      <w:r>
        <w:rPr>
          <w:rFonts w:cs="Times New Roman" w:ascii="Times New Roman" w:hAnsi="Times New Roman"/>
          <w:sz w:val="24"/>
          <w:szCs w:val="24"/>
          <w:lang w:val="en-US"/>
        </w:rPr>
        <w:t>, 5866–5875 (2008).</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[17] </w:t>
        <w:tab/>
        <w:t xml:space="preserve">X. Tu, Y. Rhee, K. Condon, N. Bivi, M. R. Allen, D. Dwyer et al., “Sost downregulation and local Wnt signaling are required for the osteogenic response to mechanical loading,” </w:t>
      </w:r>
      <w:r>
        <w:rPr>
          <w:rFonts w:cs="Times New Roman" w:ascii="Times New Roman" w:hAnsi="Times New Roman"/>
          <w:i/>
          <w:iCs/>
          <w:sz w:val="24"/>
          <w:szCs w:val="24"/>
          <w:lang w:val="en-US"/>
        </w:rPr>
        <w:t>Bone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50</w:t>
      </w:r>
      <w:r>
        <w:rPr>
          <w:rFonts w:cs="Times New Roman" w:ascii="Times New Roman" w:hAnsi="Times New Roman"/>
          <w:sz w:val="24"/>
          <w:szCs w:val="24"/>
          <w:lang w:val="en-US"/>
        </w:rPr>
        <w:t>, 209–217 (2012).</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[18] </w:t>
        <w:tab/>
        <w:t xml:space="preserve">J. M. Spatz, M. N. Wein, J. H. Gooi, Y. Qu, J. L. Garr, S. Liu et al., “The Wnt-inhibitor Sclerostin is Up-regulated by Mechanical Unloading in Osteocytes in-vitro,” </w:t>
      </w:r>
      <w:r>
        <w:rPr>
          <w:rFonts w:cs="Times New Roman" w:ascii="Times New Roman" w:hAnsi="Times New Roman"/>
          <w:i/>
          <w:iCs/>
          <w:sz w:val="24"/>
          <w:szCs w:val="24"/>
          <w:lang w:val="en-US"/>
        </w:rPr>
        <w:t>J Biol Chem</w:t>
      </w:r>
      <w:r>
        <w:rPr>
          <w:rFonts w:cs="Times New Roman" w:ascii="Times New Roman" w:hAnsi="Times New Roman"/>
          <w:sz w:val="24"/>
          <w:szCs w:val="24"/>
          <w:lang w:val="en-US"/>
        </w:rPr>
        <w:t xml:space="preserve">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[19] </w:t>
        <w:tab/>
        <w:t xml:space="preserve">N. Lara-castillo, N. A. Kim-weroha, M. A. Kamel, B. Javaheri, D. L. Ellies, R. E. Krumlauf et al., “In vivo mechanical loading rapidly activates β -catenin signaling in osteocytes through a prostaglandin mediated mechanism,” </w:t>
      </w:r>
      <w:r>
        <w:rPr>
          <w:rFonts w:cs="Times New Roman" w:ascii="Times New Roman" w:hAnsi="Times New Roman"/>
          <w:i/>
          <w:iCs/>
          <w:sz w:val="24"/>
          <w:szCs w:val="24"/>
          <w:lang w:val="en-US"/>
        </w:rPr>
        <w:t>Bone</w:t>
      </w:r>
      <w:r>
        <w:rPr>
          <w:rFonts w:cs="Times New Roman" w:ascii="Times New Roman" w:hAnsi="Times New Roman"/>
          <w:sz w:val="24"/>
          <w:szCs w:val="24"/>
          <w:lang w:val="en-US"/>
        </w:rPr>
        <w:t xml:space="preserve">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[20] </w:t>
        <w:tab/>
        <w:t xml:space="preserve">J. Dong, G. Feldmann, J. Huang, S. Wu, N. Zhang, S. A. Comerford et al., “Elucidation of a Universal Size-Control Mechanism in Drosophila and Mammals,” </w:t>
      </w:r>
      <w:r>
        <w:rPr>
          <w:rFonts w:cs="Times New Roman" w:ascii="Times New Roman" w:hAnsi="Times New Roman"/>
          <w:i/>
          <w:iCs/>
          <w:sz w:val="24"/>
          <w:szCs w:val="24"/>
          <w:lang w:val="en-US"/>
        </w:rPr>
        <w:t>Cell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130</w:t>
      </w:r>
      <w:r>
        <w:rPr>
          <w:rFonts w:cs="Times New Roman" w:ascii="Times New Roman" w:hAnsi="Times New Roman"/>
          <w:sz w:val="24"/>
          <w:szCs w:val="24"/>
          <w:lang w:val="en-US"/>
        </w:rPr>
        <w:t>, 1120–1133 (2007).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[21] </w:t>
        <w:tab/>
        <w:t xml:space="preserve">D. Pan, “Hippo signaling in organ size control,” </w:t>
      </w:r>
      <w:r>
        <w:rPr>
          <w:rFonts w:cs="Times New Roman" w:ascii="Times New Roman" w:hAnsi="Times New Roman"/>
          <w:i/>
          <w:iCs/>
          <w:sz w:val="24"/>
          <w:szCs w:val="24"/>
          <w:lang w:val="en-US"/>
        </w:rPr>
        <w:t>Genes Dev.</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21</w:t>
      </w:r>
      <w:r>
        <w:rPr>
          <w:rFonts w:cs="Times New Roman" w:ascii="Times New Roman" w:hAnsi="Times New Roman"/>
          <w:sz w:val="24"/>
          <w:szCs w:val="24"/>
          <w:lang w:val="en-US"/>
        </w:rPr>
        <w:t>, 886–897 (2007).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[22] </w:t>
        <w:tab/>
        <w:t xml:space="preserve">G. Halder, S. Dupont, and S. Piccolo, “Transduction of mechanical and cytoskeletal cues by YAP and TAZ,” </w:t>
      </w:r>
      <w:r>
        <w:rPr>
          <w:rFonts w:cs="Times New Roman" w:ascii="Times New Roman" w:hAnsi="Times New Roman"/>
          <w:i/>
          <w:iCs/>
          <w:sz w:val="24"/>
          <w:szCs w:val="24"/>
          <w:lang w:val="en-US"/>
        </w:rPr>
        <w:t>Nat. Rev. Mol. Cell Biol.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13</w:t>
      </w:r>
      <w:r>
        <w:rPr>
          <w:rFonts w:cs="Times New Roman" w:ascii="Times New Roman" w:hAnsi="Times New Roman"/>
          <w:sz w:val="24"/>
          <w:szCs w:val="24"/>
          <w:lang w:val="en-US"/>
        </w:rPr>
        <w:t>, 591–600 (2012).</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[23] </w:t>
        <w:tab/>
        <w:t xml:space="preserve">C. G. Hansen, T. Moroishi, and K.-L. Guan, “YAP and TAZ: a nexus for Hippo signaling and beyond,” </w:t>
      </w:r>
      <w:r>
        <w:rPr>
          <w:rFonts w:cs="Times New Roman" w:ascii="Times New Roman" w:hAnsi="Times New Roman"/>
          <w:i/>
          <w:iCs/>
          <w:sz w:val="24"/>
          <w:szCs w:val="24"/>
          <w:lang w:val="en-US"/>
        </w:rPr>
        <w:t>Trends Cell Biol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25</w:t>
      </w:r>
      <w:r>
        <w:rPr>
          <w:rFonts w:cs="Times New Roman" w:ascii="Times New Roman" w:hAnsi="Times New Roman"/>
          <w:sz w:val="24"/>
          <w:szCs w:val="24"/>
          <w:lang w:val="en-US"/>
        </w:rPr>
        <w:t>, 499–513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[24] </w:t>
        <w:tab/>
        <w:t xml:space="preserve">T. Panciera, L. Azzolin, M. Cordenonsi, and S. Piccolo, “Mechanobiology of YAP and TAZ in physiology and disease,” </w:t>
      </w:r>
      <w:r>
        <w:rPr>
          <w:rFonts w:cs="Times New Roman" w:ascii="Times New Roman" w:hAnsi="Times New Roman"/>
          <w:i/>
          <w:iCs/>
          <w:sz w:val="24"/>
          <w:szCs w:val="24"/>
          <w:lang w:val="en-US"/>
        </w:rPr>
        <w:t>Nat. Publ. Gr.</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18</w:t>
      </w:r>
      <w:r>
        <w:rPr>
          <w:rFonts w:cs="Times New Roman" w:ascii="Times New Roman" w:hAnsi="Times New Roman"/>
          <w:sz w:val="24"/>
          <w:szCs w:val="24"/>
          <w:lang w:val="en-US"/>
        </w:rPr>
        <w:t>, 758–770 (2017).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[25] </w:t>
        <w:tab/>
        <w:t xml:space="preserve">M. Kim, J.-W. Jang, and S.-C. Bae, “DNA binding partners of YAP/TAZ.,” </w:t>
      </w:r>
      <w:r>
        <w:rPr>
          <w:rFonts w:cs="Times New Roman" w:ascii="Times New Roman" w:hAnsi="Times New Roman"/>
          <w:i/>
          <w:iCs/>
          <w:sz w:val="24"/>
          <w:szCs w:val="24"/>
          <w:lang w:val="en-US"/>
        </w:rPr>
        <w:t>BMB Rep.</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51</w:t>
      </w:r>
      <w:r>
        <w:rPr>
          <w:rFonts w:cs="Times New Roman" w:ascii="Times New Roman" w:hAnsi="Times New Roman"/>
          <w:sz w:val="24"/>
          <w:szCs w:val="24"/>
          <w:lang w:val="en-US"/>
        </w:rPr>
        <w:t>, 126–133 (2018).</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[26] </w:t>
        <w:tab/>
        <w:t xml:space="preserve">S. Piccolo, S. Dupont, and M. Cordenonsi, “The biology of YAP/TAZ: hippo signaling and beyond.,” </w:t>
      </w:r>
      <w:r>
        <w:rPr>
          <w:rFonts w:cs="Times New Roman" w:ascii="Times New Roman" w:hAnsi="Times New Roman"/>
          <w:i/>
          <w:iCs/>
          <w:sz w:val="24"/>
          <w:szCs w:val="24"/>
          <w:lang w:val="en-US"/>
        </w:rPr>
        <w:t>Physiol. Rev.</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94</w:t>
      </w:r>
      <w:r>
        <w:rPr>
          <w:rFonts w:cs="Times New Roman" w:ascii="Times New Roman" w:hAnsi="Times New Roman"/>
          <w:sz w:val="24"/>
          <w:szCs w:val="24"/>
          <w:lang w:val="en-US"/>
        </w:rPr>
        <w:t>, 1287–1312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[27] </w:t>
        <w:tab/>
        <w:t xml:space="preserve">J. T. Morgan, C. J. Murphy, and P. Russell, “What do mechanotransduction, Hippo, Wnt, and TGF β have in common? YAP and TAZ as key orchestrating molecules in ocular health and disease,” </w:t>
      </w:r>
      <w:r>
        <w:rPr>
          <w:rFonts w:cs="Times New Roman" w:ascii="Times New Roman" w:hAnsi="Times New Roman"/>
          <w:i/>
          <w:iCs/>
          <w:sz w:val="24"/>
          <w:szCs w:val="24"/>
          <w:lang w:val="en-US"/>
        </w:rPr>
        <w:t>Exp Eye Res</w:t>
      </w:r>
      <w:r>
        <w:rPr>
          <w:rFonts w:cs="Times New Roman" w:ascii="Times New Roman" w:hAnsi="Times New Roman"/>
          <w:sz w:val="24"/>
          <w:szCs w:val="24"/>
          <w:lang w:val="en-US"/>
        </w:rPr>
        <w:t>, 1–12 (2013).</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[28] </w:t>
        <w:tab/>
        <w:t xml:space="preserve">L. Azzolin, T. Panciera, S. Soligo, E. Enzo, S. Bicciato, S. Dupont et al., “YAP/TAZ incorporation in the B-catenin destruction complex orchestrates the Wnt response,” </w:t>
      </w:r>
      <w:r>
        <w:rPr>
          <w:rFonts w:cs="Times New Roman" w:ascii="Times New Roman" w:hAnsi="Times New Roman"/>
          <w:i/>
          <w:iCs/>
          <w:sz w:val="24"/>
          <w:szCs w:val="24"/>
          <w:lang w:val="en-US"/>
        </w:rPr>
        <w:t>Cell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158</w:t>
      </w:r>
      <w:r>
        <w:rPr>
          <w:rFonts w:cs="Times New Roman" w:ascii="Times New Roman" w:hAnsi="Times New Roman"/>
          <w:sz w:val="24"/>
          <w:szCs w:val="24"/>
          <w:lang w:val="en-US"/>
        </w:rPr>
        <w:t>, 157–170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[29] </w:t>
        <w:tab/>
        <w:t xml:space="preserve">X. Varelas, B. W. Miller, R. Sopko, S. Song, A. Gregorieff, F. A. Fellouse et al., “The Hippo Pathway Regulates Wnt/B-Catenin Signaling,” </w:t>
      </w:r>
      <w:r>
        <w:rPr>
          <w:rFonts w:cs="Times New Roman" w:ascii="Times New Roman" w:hAnsi="Times New Roman"/>
          <w:i/>
          <w:iCs/>
          <w:sz w:val="24"/>
          <w:szCs w:val="24"/>
          <w:lang w:val="en-US"/>
        </w:rPr>
        <w:t>Dev. Cell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18</w:t>
      </w:r>
      <w:r>
        <w:rPr>
          <w:rFonts w:cs="Times New Roman" w:ascii="Times New Roman" w:hAnsi="Times New Roman"/>
          <w:sz w:val="24"/>
          <w:szCs w:val="24"/>
          <w:lang w:val="en-US"/>
        </w:rPr>
        <w:t>, 579–591 (2010).</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[30] </w:t>
        <w:tab/>
        <w:t xml:space="preserve">J. Hong , E. S. Hwang, M. T. McManus, A. Amsterdam, Y. Tian, R. Kalmukova et al., “TAZ, a transcriptional modulator of mesenchymal stem cell differentiation.,” </w:t>
      </w:r>
      <w:r>
        <w:rPr>
          <w:rFonts w:cs="Times New Roman" w:ascii="Times New Roman" w:hAnsi="Times New Roman"/>
          <w:i/>
          <w:iCs/>
          <w:sz w:val="24"/>
          <w:szCs w:val="24"/>
          <w:lang w:val="en-US"/>
        </w:rPr>
        <w:t>Sci. Reports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309</w:t>
      </w:r>
      <w:r>
        <w:rPr>
          <w:rFonts w:cs="Times New Roman" w:ascii="Times New Roman" w:hAnsi="Times New Roman"/>
          <w:sz w:val="24"/>
          <w:szCs w:val="24"/>
          <w:lang w:val="en-US"/>
        </w:rPr>
        <w:t>, 1074–1078 (2005).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[31] </w:t>
        <w:tab/>
        <w:t xml:space="preserve">Y. Tang and S. J. Weiss, “Snail/Slug-YAP/TAZ complexes cooperatively regulate mesenchymal stem cell function and bone formation,” </w:t>
      </w:r>
      <w:r>
        <w:rPr>
          <w:rFonts w:cs="Times New Roman" w:ascii="Times New Roman" w:hAnsi="Times New Roman"/>
          <w:i/>
          <w:iCs/>
          <w:sz w:val="24"/>
          <w:szCs w:val="24"/>
          <w:lang w:val="en-US"/>
        </w:rPr>
        <w:t>Cell Cycle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16</w:t>
      </w:r>
      <w:r>
        <w:rPr>
          <w:rFonts w:cs="Times New Roman" w:ascii="Times New Roman" w:hAnsi="Times New Roman"/>
          <w:sz w:val="24"/>
          <w:szCs w:val="24"/>
          <w:lang w:val="en-US"/>
        </w:rPr>
        <w:t>, 399–405 (2017).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[32] </w:t>
        <w:tab/>
        <w:t xml:space="preserve">K. M. Kim, Y. J. Choi, J. H. Hwang, A. R. Kim, H. J. Cho, E. S. Hwang et al., “Shear stress induced by an interstitial level of slow flow increases the osteogenic differentiation of mesenchymal stem cells through TAZ activation,” </w:t>
      </w:r>
      <w:r>
        <w:rPr>
          <w:rFonts w:cs="Times New Roman" w:ascii="Times New Roman" w:hAnsi="Times New Roman"/>
          <w:i/>
          <w:iCs/>
          <w:sz w:val="24"/>
          <w:szCs w:val="24"/>
          <w:lang w:val="en-US"/>
        </w:rPr>
        <w:t>PLoS One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9</w:t>
      </w:r>
      <w:r>
        <w:rPr>
          <w:rFonts w:cs="Times New Roman" w:ascii="Times New Roman" w:hAnsi="Times New Roman"/>
          <w:sz w:val="24"/>
          <w:szCs w:val="24"/>
          <w:lang w:val="en-US"/>
        </w:rPr>
        <w:t>, e9427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[33] </w:t>
        <w:tab/>
        <w:t xml:space="preserve">R. McBeath, D. M. Pirone, C. M. Nelson, K. Bhadriraju, and C. S. Chen, “Cell shape, cytoskeletal tension, and RhoA regulate stemm cell lineage commitment,” </w:t>
      </w:r>
      <w:r>
        <w:rPr>
          <w:rFonts w:cs="Times New Roman" w:ascii="Times New Roman" w:hAnsi="Times New Roman"/>
          <w:i/>
          <w:iCs/>
          <w:sz w:val="24"/>
          <w:szCs w:val="24"/>
          <w:lang w:val="en-US"/>
        </w:rPr>
        <w:t>Dev. Cell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6</w:t>
      </w:r>
      <w:r>
        <w:rPr>
          <w:rFonts w:cs="Times New Roman" w:ascii="Times New Roman" w:hAnsi="Times New Roman"/>
          <w:sz w:val="24"/>
          <w:szCs w:val="24"/>
          <w:lang w:val="en-US"/>
        </w:rPr>
        <w:t>, 483–495 (2004).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[34] </w:t>
        <w:tab/>
        <w:t xml:space="preserve">Z. Chen, Q. Luo, C. Lin, and G. Song, “Simulated microgravity inhibits osteogenic differentiation of mesenchymal stem cells through down regulating the transcriptional co-activator TAZ,” </w:t>
      </w:r>
      <w:r>
        <w:rPr>
          <w:rFonts w:cs="Times New Roman" w:ascii="Times New Roman" w:hAnsi="Times New Roman"/>
          <w:i/>
          <w:iCs/>
          <w:sz w:val="24"/>
          <w:szCs w:val="24"/>
          <w:lang w:val="en-US"/>
        </w:rPr>
        <w:t>Biochem. Biophys. Res. Commun.</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468</w:t>
      </w:r>
      <w:r>
        <w:rPr>
          <w:rFonts w:cs="Times New Roman" w:ascii="Times New Roman" w:hAnsi="Times New Roman"/>
          <w:sz w:val="24"/>
          <w:szCs w:val="24"/>
          <w:lang w:val="en-US"/>
        </w:rPr>
        <w:t>, 21–26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[35] </w:t>
        <w:tab/>
        <w:t xml:space="preserve">X. Li, L. Han, I. Nookaew, E. Mannen, M. J. Silva, M. Almeida et al., “Stimulation of Piezo1 by mechanical signals promotes bone anabolism,” </w:t>
      </w:r>
      <w:r>
        <w:rPr>
          <w:rFonts w:cs="Times New Roman" w:ascii="Times New Roman" w:hAnsi="Times New Roman"/>
          <w:i/>
          <w:iCs/>
          <w:sz w:val="24"/>
          <w:szCs w:val="24"/>
          <w:lang w:val="en-US"/>
        </w:rPr>
        <w:t>Elife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8</w:t>
      </w:r>
      <w:r>
        <w:rPr>
          <w:rFonts w:cs="Times New Roman" w:ascii="Times New Roman" w:hAnsi="Times New Roman"/>
          <w:sz w:val="24"/>
          <w:szCs w:val="24"/>
          <w:lang w:val="en-US"/>
        </w:rPr>
        <w:t xml:space="preserve"> (2019).</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[36] </w:t>
        <w:tab/>
        <w:t xml:space="preserve">J. Xiong, M. Almeida, and C. A. O’Brien, “The YAP/TAZ transcriptional co-activators have opposing effects at different stages of osteoblast differentiation,” </w:t>
      </w:r>
      <w:r>
        <w:rPr>
          <w:rFonts w:cs="Times New Roman" w:ascii="Times New Roman" w:hAnsi="Times New Roman"/>
          <w:i/>
          <w:iCs/>
          <w:sz w:val="24"/>
          <w:szCs w:val="24"/>
          <w:lang w:val="en-US"/>
        </w:rPr>
        <w:t>Bone</w:t>
      </w:r>
      <w:r>
        <w:rPr>
          <w:rFonts w:cs="Times New Roman" w:ascii="Times New Roman" w:hAnsi="Times New Roman"/>
          <w:sz w:val="24"/>
          <w:szCs w:val="24"/>
          <w:lang w:val="en-US"/>
        </w:rPr>
        <w:t xml:space="preserve"> (2018).</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[37] </w:t>
        <w:tab/>
        <w:t xml:space="preserve">Y. Kato, J. Windle, B. Koop, G. Mundy, and L. Bonewald, “Establishment of an Osteocyte-like Cell Line , MLO-Y4,” </w:t>
      </w:r>
      <w:r>
        <w:rPr>
          <w:rFonts w:cs="Times New Roman" w:ascii="Times New Roman" w:hAnsi="Times New Roman"/>
          <w:i/>
          <w:iCs/>
          <w:sz w:val="24"/>
          <w:szCs w:val="24"/>
          <w:lang w:val="en-US"/>
        </w:rPr>
        <w:t>Am. Soc. Bone Miner. Res.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12</w:t>
      </w:r>
      <w:r>
        <w:rPr>
          <w:rFonts w:cs="Times New Roman" w:ascii="Times New Roman" w:hAnsi="Times New Roman"/>
          <w:sz w:val="24"/>
          <w:szCs w:val="24"/>
          <w:lang w:val="en-US"/>
        </w:rPr>
        <w:t>, 2014–2023 (1997).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[38] </w:t>
        <w:tab/>
        <w:t xml:space="preserve">A. J. Banes, J. Gilbert, D. Taylor, and O. Monbureau, “A new vacuum-operated stress-providing instrument that applies static or variable duration cyclic tension or compression to cells in vitro,” </w:t>
      </w:r>
      <w:r>
        <w:rPr>
          <w:rFonts w:cs="Times New Roman" w:ascii="Times New Roman" w:hAnsi="Times New Roman"/>
          <w:i/>
          <w:iCs/>
          <w:sz w:val="24"/>
          <w:szCs w:val="24"/>
          <w:lang w:val="en-US"/>
        </w:rPr>
        <w:t>J. Cell Sci.</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75</w:t>
      </w:r>
      <w:r>
        <w:rPr>
          <w:rFonts w:cs="Times New Roman" w:ascii="Times New Roman" w:hAnsi="Times New Roman"/>
          <w:sz w:val="24"/>
          <w:szCs w:val="24"/>
          <w:lang w:val="en-US"/>
        </w:rPr>
        <w:t>, 35–42 (1985).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[39] </w:t>
        <w:tab/>
        <w:t xml:space="preserve">J. A. Gilbert, P. S. Weinhold, A. J. Banes, G. W. Link, and G. L. Jones, “Strain profiles for circular cell culture plates containing flexible surfaces employed to mechanically deform cells in vitro,” </w:t>
      </w:r>
      <w:r>
        <w:rPr>
          <w:rFonts w:cs="Times New Roman" w:ascii="Times New Roman" w:hAnsi="Times New Roman"/>
          <w:i/>
          <w:iCs/>
          <w:sz w:val="24"/>
          <w:szCs w:val="24"/>
          <w:lang w:val="en-US"/>
        </w:rPr>
        <w:t>J. Biomech.</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27</w:t>
      </w:r>
      <w:r>
        <w:rPr>
          <w:rFonts w:cs="Times New Roman" w:ascii="Times New Roman" w:hAnsi="Times New Roman"/>
          <w:sz w:val="24"/>
          <w:szCs w:val="24"/>
          <w:lang w:val="en-US"/>
        </w:rPr>
        <w:t>, 1169–1177 (1994).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[40] </w:t>
        <w:tab/>
        <w:t xml:space="preserve">J. R. Hens, K. M. Wilson, P. Dann, X. Chen, M. C. Horowitz, and J. J. Wysolmerski, “TOPGAL Mice Show That the Canonical Wnt Signaling Pathway Is Active During Bone Development and Growth and Is Activated by Mechanical Loading In Vitro,” </w:t>
      </w:r>
      <w:r>
        <w:rPr>
          <w:rFonts w:cs="Times New Roman" w:ascii="Times New Roman" w:hAnsi="Times New Roman"/>
          <w:i/>
          <w:iCs/>
          <w:sz w:val="24"/>
          <w:szCs w:val="24"/>
          <w:lang w:val="en-US"/>
        </w:rPr>
        <w:t>J Bone Min. Res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20</w:t>
      </w:r>
      <w:r>
        <w:rPr>
          <w:rFonts w:cs="Times New Roman" w:ascii="Times New Roman" w:hAnsi="Times New Roman"/>
          <w:sz w:val="24"/>
          <w:szCs w:val="24"/>
          <w:lang w:val="en-US"/>
        </w:rPr>
        <w:t>, 1103–1113 (2005).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[41] </w:t>
        <w:tab/>
        <w:t xml:space="preserve">B. Fermor, J. B. Weinberg, D. S. Pisetsky, M. A. Misukonis, A. J. Banes, and F. Guilak, “The effects of static and intermittent compression on nitric oxide production in articular cartilage explants,” </w:t>
      </w:r>
      <w:r>
        <w:rPr>
          <w:rFonts w:cs="Times New Roman" w:ascii="Times New Roman" w:hAnsi="Times New Roman"/>
          <w:i/>
          <w:iCs/>
          <w:sz w:val="24"/>
          <w:szCs w:val="24"/>
          <w:lang w:val="en-US"/>
        </w:rPr>
        <w:t>J. Orthop. Res.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19</w:t>
      </w:r>
      <w:r>
        <w:rPr>
          <w:rFonts w:cs="Times New Roman" w:ascii="Times New Roman" w:hAnsi="Times New Roman"/>
          <w:sz w:val="24"/>
          <w:szCs w:val="24"/>
          <w:lang w:val="en-US"/>
        </w:rPr>
        <w:t>, 729–737 (2001).</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[42] </w:t>
        <w:tab/>
        <w:t xml:space="preserve">M. Hara, M. Nakashima, T. Fujii, K. Uehara, C. Yokono, R. Hashizume et al., “Construction of collagen gel scaffolds for mechanical stress analysis,” </w:t>
      </w:r>
      <w:r>
        <w:rPr>
          <w:rFonts w:cs="Times New Roman" w:ascii="Times New Roman" w:hAnsi="Times New Roman"/>
          <w:i/>
          <w:iCs/>
          <w:sz w:val="24"/>
          <w:szCs w:val="24"/>
          <w:lang w:val="en-US"/>
        </w:rPr>
        <w:t>Biosci. Biotechnol. Biochem.</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78</w:t>
      </w:r>
      <w:r>
        <w:rPr>
          <w:rFonts w:cs="Times New Roman" w:ascii="Times New Roman" w:hAnsi="Times New Roman"/>
          <w:sz w:val="24"/>
          <w:szCs w:val="24"/>
          <w:lang w:val="en-US"/>
        </w:rPr>
        <w:t>, 458–461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[43] </w:t>
        <w:tab/>
        <w:t xml:space="preserve">M. Sardroodian, P. Madeleine, M. Voigt, and E. A. Hansen, “Freely chosen stride frequencies during walking and running are not correlated with freely chosen pedalling frequency and are insensitive to strength training,” </w:t>
      </w:r>
      <w:r>
        <w:rPr>
          <w:rFonts w:cs="Times New Roman" w:ascii="Times New Roman" w:hAnsi="Times New Roman"/>
          <w:i/>
          <w:iCs/>
          <w:sz w:val="24"/>
          <w:szCs w:val="24"/>
          <w:lang w:val="en-US"/>
        </w:rPr>
        <w:t>Gait Posture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42</w:t>
      </w:r>
      <w:r>
        <w:rPr>
          <w:rFonts w:cs="Times New Roman" w:ascii="Times New Roman" w:hAnsi="Times New Roman"/>
          <w:sz w:val="24"/>
          <w:szCs w:val="24"/>
          <w:lang w:val="en-US"/>
        </w:rPr>
        <w:t>, 60–64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[44] </w:t>
        <w:tab/>
        <w:t xml:space="preserve">P. Ewels, M. Magnusson, S. Lundin, and K. Max, “Data and text mining MultiQC : summarize analysis results for multiple tools and samples in a single report,” </w:t>
      </w:r>
      <w:r>
        <w:rPr>
          <w:rFonts w:cs="Times New Roman" w:ascii="Times New Roman" w:hAnsi="Times New Roman"/>
          <w:i/>
          <w:iCs/>
          <w:sz w:val="24"/>
          <w:szCs w:val="24"/>
          <w:lang w:val="en-US"/>
        </w:rPr>
        <w:t>Bioinformatics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32</w:t>
      </w:r>
      <w:r>
        <w:rPr>
          <w:rFonts w:cs="Times New Roman" w:ascii="Times New Roman" w:hAnsi="Times New Roman"/>
          <w:sz w:val="24"/>
          <w:szCs w:val="24"/>
          <w:lang w:val="en-US"/>
        </w:rPr>
        <w:t>, 3047–3048 (2016).</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[45] </w:t>
        <w:tab/>
        <w:t xml:space="preserve">N. L. Bray, H. Pimentel, P. Melsted, and L. Pachter, “Near-optimal probabilistic rna-seq quantification,” </w:t>
      </w:r>
      <w:r>
        <w:rPr>
          <w:rFonts w:cs="Times New Roman" w:ascii="Times New Roman" w:hAnsi="Times New Roman"/>
          <w:i/>
          <w:iCs/>
          <w:sz w:val="24"/>
          <w:szCs w:val="24"/>
          <w:lang w:val="en-US"/>
        </w:rPr>
        <w:t>Nat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34</w:t>
      </w:r>
      <w:r>
        <w:rPr>
          <w:rFonts w:cs="Times New Roman" w:ascii="Times New Roman" w:hAnsi="Times New Roman"/>
          <w:sz w:val="24"/>
          <w:szCs w:val="24"/>
          <w:lang w:val="en-US"/>
        </w:rPr>
        <w:t xml:space="preserve"> (2016).</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[46] </w:t>
        <w:tab/>
        <w:t xml:space="preserve">P. E. C. Compeau, P. A. Pevzner, and G. Tesler, “Why are de Bruijn graphs useful for genome assembly?,” </w:t>
      </w:r>
      <w:r>
        <w:rPr>
          <w:rFonts w:cs="Times New Roman" w:ascii="Times New Roman" w:hAnsi="Times New Roman"/>
          <w:i/>
          <w:iCs/>
          <w:sz w:val="24"/>
          <w:szCs w:val="24"/>
          <w:lang w:val="en-US"/>
        </w:rPr>
        <w:t>Nat Biotechnol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29</w:t>
      </w:r>
      <w:r>
        <w:rPr>
          <w:rFonts w:cs="Times New Roman" w:ascii="Times New Roman" w:hAnsi="Times New Roman"/>
          <w:sz w:val="24"/>
          <w:szCs w:val="24"/>
          <w:lang w:val="en-US"/>
        </w:rPr>
        <w:t>, 987–991 (2017).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[47] </w:t>
        <w:tab/>
        <w:t xml:space="preserve">C. Soneson, M. I. Love, and M. D. Robinson, “Differential analyses for RNA-seq : transcript-level estimates improve gene-level inferences,” </w:t>
      </w:r>
      <w:r>
        <w:rPr>
          <w:rFonts w:cs="Times New Roman" w:ascii="Times New Roman" w:hAnsi="Times New Roman"/>
          <w:i/>
          <w:iCs/>
          <w:sz w:val="24"/>
          <w:szCs w:val="24"/>
          <w:lang w:val="en-US"/>
        </w:rPr>
        <w:t>F1000Research</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w:t>
      </w:r>
      <w:r>
        <w:rPr>
          <w:rFonts w:cs="Times New Roman" w:ascii="Times New Roman" w:hAnsi="Times New Roman"/>
          <w:sz w:val="24"/>
          <w:szCs w:val="24"/>
          <w:lang w:val="en-US"/>
        </w:rPr>
        <w:t xml:space="preserve"> (2016).</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[48] </w:t>
        <w:tab/>
        <w:t xml:space="preserve">M. I. Love, W. Huber, and S. Anders, “Moderated estimation of fold change and dispersion for RNA-seq data with DESeq2,” </w:t>
      </w:r>
      <w:r>
        <w:rPr>
          <w:rFonts w:cs="Times New Roman" w:ascii="Times New Roman" w:hAnsi="Times New Roman"/>
          <w:i/>
          <w:iCs/>
          <w:sz w:val="24"/>
          <w:szCs w:val="24"/>
          <w:lang w:val="en-US"/>
        </w:rPr>
        <w:t>Genome Biol.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15</w:t>
      </w:r>
      <w:r>
        <w:rPr>
          <w:rFonts w:cs="Times New Roman" w:ascii="Times New Roman" w:hAnsi="Times New Roman"/>
          <w:sz w:val="24"/>
          <w:szCs w:val="24"/>
          <w:lang w:val="en-US"/>
        </w:rPr>
        <w:t xml:space="preserve">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[49] </w:t>
        <w:tab/>
        <w:t xml:space="preserve">J. Lever, M. Krzywinski, and N. Altman, “Principal component analysis,” </w:t>
      </w:r>
      <w:r>
        <w:rPr>
          <w:rFonts w:cs="Times New Roman" w:ascii="Times New Roman" w:hAnsi="Times New Roman"/>
          <w:i/>
          <w:iCs/>
          <w:sz w:val="24"/>
          <w:szCs w:val="24"/>
          <w:lang w:val="en-US"/>
        </w:rPr>
        <w:t>Nat. Methods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14</w:t>
      </w:r>
      <w:r>
        <w:rPr>
          <w:rFonts w:cs="Times New Roman" w:ascii="Times New Roman" w:hAnsi="Times New Roman"/>
          <w:sz w:val="24"/>
          <w:szCs w:val="24"/>
          <w:lang w:val="en-US"/>
        </w:rPr>
        <w:t>, 641–642 (2017).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[50] </w:t>
        <w:tab/>
        <w:t xml:space="preserve">M. D. Young, M. J. Wakefield, G. K. Smyth, and A. Oshlack, “Gene ontology analysis for RNA-seq : accounting for selection bias,” </w:t>
      </w:r>
      <w:r>
        <w:rPr>
          <w:rFonts w:cs="Times New Roman" w:ascii="Times New Roman" w:hAnsi="Times New Roman"/>
          <w:i/>
          <w:iCs/>
          <w:sz w:val="24"/>
          <w:szCs w:val="24"/>
          <w:lang w:val="en-US"/>
        </w:rPr>
        <w:t>Genome Biol.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11</w:t>
      </w:r>
      <w:r>
        <w:rPr>
          <w:rFonts w:cs="Times New Roman" w:ascii="Times New Roman" w:hAnsi="Times New Roman"/>
          <w:sz w:val="24"/>
          <w:szCs w:val="24"/>
          <w:lang w:val="en-US"/>
        </w:rPr>
        <w:t xml:space="preserve"> (2010).</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[51] </w:t>
        <w:tab/>
        <w:t xml:space="preserve">A. Oshlack and M. J. Wakefield, “Transcript length bias in RNA-seq data confounds systems biology,” </w:t>
      </w:r>
      <w:r>
        <w:rPr>
          <w:rFonts w:cs="Times New Roman" w:ascii="Times New Roman" w:hAnsi="Times New Roman"/>
          <w:i/>
          <w:iCs/>
          <w:sz w:val="24"/>
          <w:szCs w:val="24"/>
          <w:lang w:val="en-US"/>
        </w:rPr>
        <w:t>Biol. Direct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w:t>
      </w:r>
      <w:r>
        <w:rPr>
          <w:rFonts w:cs="Times New Roman" w:ascii="Times New Roman" w:hAnsi="Times New Roman"/>
          <w:sz w:val="24"/>
          <w:szCs w:val="24"/>
          <w:lang w:val="en-US"/>
        </w:rPr>
        <w:t xml:space="preserve"> (2009).</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[52] </w:t>
        <w:tab/>
        <w:t xml:space="preserve">J. Stoltz, J. Magdalou, D. George, Y. Chen, Y. Li, N. De Isla et al., “Influence of mechanical forces on bone : Introduction to mechanobiology and mechanical adaptation concept,” </w:t>
      </w:r>
      <w:r>
        <w:rPr>
          <w:rFonts w:cs="Times New Roman" w:ascii="Times New Roman" w:hAnsi="Times New Roman"/>
          <w:i/>
          <w:iCs/>
          <w:sz w:val="24"/>
          <w:szCs w:val="24"/>
          <w:lang w:val="en-US"/>
        </w:rPr>
        <w:t>J. Cell. Immunother.</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w:t>
      </w:r>
      <w:r>
        <w:rPr>
          <w:rFonts w:cs="Times New Roman" w:ascii="Times New Roman" w:hAnsi="Times New Roman"/>
          <w:sz w:val="24"/>
          <w:szCs w:val="24"/>
          <w:lang w:val="en-US"/>
        </w:rPr>
        <w:t>, 10–12 (2018).</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[53] </w:t>
        <w:tab/>
        <w:t xml:space="preserve">K. Kaneko, M. Ito, Y. Naoe, A. Lacy-Hulbert, and K. Ikeda, “Integrin αv in the mechanical response of osteoblast lineage cells,” </w:t>
      </w:r>
      <w:r>
        <w:rPr>
          <w:rFonts w:cs="Times New Roman" w:ascii="Times New Roman" w:hAnsi="Times New Roman"/>
          <w:i/>
          <w:iCs/>
          <w:sz w:val="24"/>
          <w:szCs w:val="24"/>
          <w:lang w:val="en-US"/>
        </w:rPr>
        <w:t>Biochem. Biophys. Res. Commun.</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447</w:t>
      </w:r>
      <w:r>
        <w:rPr>
          <w:rFonts w:cs="Times New Roman" w:ascii="Times New Roman" w:hAnsi="Times New Roman"/>
          <w:sz w:val="24"/>
          <w:szCs w:val="24"/>
          <w:lang w:val="en-US"/>
        </w:rPr>
        <w:t>, 352–357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[54] </w:t>
        <w:tab/>
        <w:t xml:space="preserve">C. D. Kegelman, J. C. Coulombe, K. M. Jordan, D. J. Horan, L. Qin, A. G. Robling et al., “YAP and TAZ mediate osteocyte perilacunar/canalicular remodeling,” </w:t>
      </w:r>
      <w:r>
        <w:rPr>
          <w:rFonts w:cs="Times New Roman" w:ascii="Times New Roman" w:hAnsi="Times New Roman"/>
          <w:i/>
          <w:iCs/>
          <w:sz w:val="24"/>
          <w:szCs w:val="24"/>
          <w:lang w:val="en-US"/>
        </w:rPr>
        <w:t>J Bone Min. Res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35</w:t>
      </w:r>
      <w:r>
        <w:rPr>
          <w:rFonts w:cs="Times New Roman" w:ascii="Times New Roman" w:hAnsi="Times New Roman"/>
          <w:sz w:val="24"/>
          <w:szCs w:val="24"/>
          <w:lang w:val="en-US"/>
        </w:rPr>
        <w:t>, 196–210 (2020).</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[55] </w:t>
        <w:tab/>
        <w:t xml:space="preserve">C. D. Kegelman, D. E. Mason, J. H. Dawahare, D. J. Horan, G. D. Vigil, S. S. Howard et al., “Skeletal cell YAP and TAZ combinatorially promote bone development,” </w:t>
      </w:r>
      <w:r>
        <w:rPr>
          <w:rFonts w:cs="Times New Roman" w:ascii="Times New Roman" w:hAnsi="Times New Roman"/>
          <w:i/>
          <w:iCs/>
          <w:sz w:val="24"/>
          <w:szCs w:val="24"/>
          <w:lang w:val="en-US"/>
        </w:rPr>
        <w:t>FASEB</w:t>
      </w:r>
      <w:r>
        <w:rPr>
          <w:rFonts w:cs="Times New Roman" w:ascii="Times New Roman" w:hAnsi="Times New Roman"/>
          <w:sz w:val="24"/>
          <w:szCs w:val="24"/>
          <w:lang w:val="en-US"/>
        </w:rPr>
        <w:t xml:space="preserve"> (2018).</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[56] </w:t>
        <w:tab/>
        <w:t xml:space="preserve">P. M. Govey, J. M. Jacobs, S. C. Tilton, A. E. Loiselle, Y. Zhang, W. M. Freeman et al., “Integrative Transcriptomic and Proteomic Analysis of Osteocytic Cells Exposed to Fluid Flow Reveals Novel Mechano-Sensitive Signaling Pathways,” </w:t>
      </w:r>
      <w:r>
        <w:rPr>
          <w:rFonts w:cs="Times New Roman" w:ascii="Times New Roman" w:hAnsi="Times New Roman"/>
          <w:i/>
          <w:iCs/>
          <w:sz w:val="24"/>
          <w:szCs w:val="24"/>
          <w:lang w:val="en-US"/>
        </w:rPr>
        <w:t>J Biomech</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47</w:t>
      </w:r>
      <w:r>
        <w:rPr>
          <w:rFonts w:cs="Times New Roman" w:ascii="Times New Roman" w:hAnsi="Times New Roman"/>
          <w:sz w:val="24"/>
          <w:szCs w:val="24"/>
          <w:lang w:val="en-US"/>
        </w:rPr>
        <w:t>, 1838–1845 (2014).</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[57] </w:t>
        <w:tab/>
        <w:t xml:space="preserve">P. M. Govey, Y. Imamura, and H. J. Donahue, “Mapping the osteocytic cell response to fluid flow using RNA-Seq,” </w:t>
      </w:r>
      <w:r>
        <w:rPr>
          <w:rFonts w:cs="Times New Roman" w:ascii="Times New Roman" w:hAnsi="Times New Roman"/>
          <w:i/>
          <w:iCs/>
          <w:sz w:val="24"/>
          <w:szCs w:val="24"/>
          <w:lang w:val="en-US"/>
        </w:rPr>
        <w:t>J. Biomech.</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48</w:t>
      </w:r>
      <w:r>
        <w:rPr>
          <w:rFonts w:cs="Times New Roman" w:ascii="Times New Roman" w:hAnsi="Times New Roman"/>
          <w:sz w:val="24"/>
          <w:szCs w:val="24"/>
          <w:lang w:val="en-US"/>
        </w:rPr>
        <w:t>, 4327–4332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[58] </w:t>
        <w:tab/>
        <w:t xml:space="preserve">W. Chen, H. Qing, Y. He, J. Wang, Z. Zhu, and H. Wang, “Gene expression patterns of osteocyte-like MLO-Y4 cells in response to cyclic compressive force stimulation,” </w:t>
      </w:r>
      <w:r>
        <w:rPr>
          <w:rFonts w:cs="Times New Roman" w:ascii="Times New Roman" w:hAnsi="Times New Roman"/>
          <w:i/>
          <w:iCs/>
          <w:sz w:val="24"/>
          <w:szCs w:val="24"/>
          <w:lang w:val="en-US"/>
        </w:rPr>
        <w:t>Cell Biol Int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34</w:t>
      </w:r>
      <w:r>
        <w:rPr>
          <w:rFonts w:cs="Times New Roman" w:ascii="Times New Roman" w:hAnsi="Times New Roman"/>
          <w:sz w:val="24"/>
          <w:szCs w:val="24"/>
          <w:lang w:val="en-US"/>
        </w:rPr>
        <w:t>, 425–432 (2010).</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[59] </w:t>
        <w:tab/>
        <w:t xml:space="preserve">J. Ha, H. S. Choi, Y. Lee, H. J. Kwon, Y. W. Song, and H. H. Kim, “CXC Chemokine Ligand 2 Induced by Receptor Activator of NF-kB Ligand Enhances Osteoclastogenesis,” </w:t>
      </w:r>
      <w:r>
        <w:rPr>
          <w:rFonts w:cs="Times New Roman" w:ascii="Times New Roman" w:hAnsi="Times New Roman"/>
          <w:i/>
          <w:iCs/>
          <w:sz w:val="24"/>
          <w:szCs w:val="24"/>
          <w:lang w:val="en-US"/>
        </w:rPr>
        <w:t>J. Immunol.</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184</w:t>
      </w:r>
      <w:r>
        <w:rPr>
          <w:rFonts w:cs="Times New Roman" w:ascii="Times New Roman" w:hAnsi="Times New Roman"/>
          <w:sz w:val="24"/>
          <w:szCs w:val="24"/>
          <w:lang w:val="en-US"/>
        </w:rPr>
        <w:t>, 4717–4724 (2010).</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[60] </w:t>
        <w:tab/>
        <w:t xml:space="preserve">J. Ha, Y. Lee, and H. H. Kim, “CXCL2 mediates lipopolysaccharide-induced osteoclastogenesis in RANKL-primed precursors,” </w:t>
      </w:r>
      <w:r>
        <w:rPr>
          <w:rFonts w:cs="Times New Roman" w:ascii="Times New Roman" w:hAnsi="Times New Roman"/>
          <w:i/>
          <w:iCs/>
          <w:sz w:val="24"/>
          <w:szCs w:val="24"/>
          <w:lang w:val="en-US"/>
        </w:rPr>
        <w:t>Cytokine</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55</w:t>
      </w:r>
      <w:r>
        <w:rPr>
          <w:rFonts w:cs="Times New Roman" w:ascii="Times New Roman" w:hAnsi="Times New Roman"/>
          <w:sz w:val="24"/>
          <w:szCs w:val="24"/>
          <w:lang w:val="en-US"/>
        </w:rPr>
        <w:t>, 48–55 (2011).</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[61] </w:t>
        <w:tab/>
        <w:t xml:space="preserve">A. L. Hardaway, M. K. Herroon, E. Rajagurubandara, and I. Podgorski, “Marrow adipocyte-derived CXCL1 and CXCL2 contribute to osteolysis in metastatic prostate cancer,” </w:t>
      </w:r>
      <w:r>
        <w:rPr>
          <w:rFonts w:cs="Times New Roman" w:ascii="Times New Roman" w:hAnsi="Times New Roman"/>
          <w:i/>
          <w:iCs/>
          <w:sz w:val="24"/>
          <w:szCs w:val="24"/>
          <w:lang w:val="en-US"/>
        </w:rPr>
        <w:t>Clin. Exp. Metastasis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32</w:t>
      </w:r>
      <w:r>
        <w:rPr>
          <w:rFonts w:cs="Times New Roman" w:ascii="Times New Roman" w:hAnsi="Times New Roman"/>
          <w:sz w:val="24"/>
          <w:szCs w:val="24"/>
          <w:lang w:val="en-US"/>
        </w:rPr>
        <w:t>, 353–368 (2015).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[62] </w:t>
        <w:tab/>
        <w:t xml:space="preserve">H. B. Kwak, S. W. Lee, H. M. Jin, H. Ha, S. H. Lee, S. Takeshita et al., “Monokine induced by interferon-gamma is induced by receptor activator of nuclear factor kappa B ligand and is involved in osteoclast adhesion and migration.,” </w:t>
      </w:r>
      <w:r>
        <w:rPr>
          <w:rFonts w:cs="Times New Roman" w:ascii="Times New Roman" w:hAnsi="Times New Roman"/>
          <w:i/>
          <w:iCs/>
          <w:sz w:val="24"/>
          <w:szCs w:val="24"/>
          <w:lang w:val="en-US"/>
        </w:rPr>
        <w:t>Blood</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105</w:t>
      </w:r>
      <w:r>
        <w:rPr>
          <w:rFonts w:cs="Times New Roman" w:ascii="Times New Roman" w:hAnsi="Times New Roman"/>
          <w:sz w:val="24"/>
          <w:szCs w:val="24"/>
          <w:lang w:val="en-US"/>
        </w:rPr>
        <w:t>, 2963–2969 (2005).</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[63] </w:t>
        <w:tab/>
        <w:t xml:space="preserve">P. Liu, S. Lee, J. Knoll, A. Rauch, S. Ostermay, J. Luther et al., “Loss of menin in osteoblast lineage affects osteocyte-osteoclast crosstalk causing osteoporosis,” </w:t>
      </w:r>
      <w:r>
        <w:rPr>
          <w:rFonts w:cs="Times New Roman" w:ascii="Times New Roman" w:hAnsi="Times New Roman"/>
          <w:i/>
          <w:iCs/>
          <w:sz w:val="24"/>
          <w:szCs w:val="24"/>
          <w:lang w:val="en-US"/>
        </w:rPr>
        <w:t>Cell Death Differ.</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24</w:t>
      </w:r>
      <w:r>
        <w:rPr>
          <w:rFonts w:cs="Times New Roman" w:ascii="Times New Roman" w:hAnsi="Times New Roman"/>
          <w:sz w:val="24"/>
          <w:szCs w:val="24"/>
          <w:lang w:val="en-US"/>
        </w:rPr>
        <w:t>, 672–682 (2017).</w:t>
      </w:r>
    </w:p>
    <w:p>
      <w:pPr>
        <w:pStyle w:val="Normal"/>
        <w:widowControl w:val="false"/>
        <w:spacing w:lineRule="auto" w:line="240"/>
        <w:ind w:left="640" w:hanging="640"/>
        <w:rPr>
          <w:rFonts w:ascii="Times New Roman" w:hAnsi="Times New Roman" w:cs="Times New Roman"/>
          <w:sz w:val="24"/>
          <w:szCs w:val="24"/>
          <w:lang w:val="en-US"/>
        </w:rPr>
      </w:pPr>
      <w:r>
        <w:rPr>
          <w:rFonts w:cs="Times New Roman" w:ascii="Times New Roman" w:hAnsi="Times New Roman"/>
          <w:sz w:val="24"/>
          <w:szCs w:val="24"/>
          <w:lang w:val="en-US"/>
        </w:rPr>
        <w:t xml:space="preserve">[64] </w:t>
        <w:tab/>
        <w:t xml:space="preserve">D. S. Amarasekara, H. Yun, S. Kim, N. Lee, H. Kim, and J. Rho, “Regulation of Osteoclast Differentiation by Cytokine Networks,” </w:t>
      </w:r>
      <w:r>
        <w:rPr>
          <w:rFonts w:cs="Times New Roman" w:ascii="Times New Roman" w:hAnsi="Times New Roman"/>
          <w:i/>
          <w:iCs/>
          <w:sz w:val="24"/>
          <w:szCs w:val="24"/>
          <w:lang w:val="en-US"/>
        </w:rPr>
        <w:t>Immune Netw.</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18</w:t>
      </w:r>
      <w:r>
        <w:rPr>
          <w:rFonts w:cs="Times New Roman" w:ascii="Times New Roman" w:hAnsi="Times New Roman"/>
          <w:sz w:val="24"/>
          <w:szCs w:val="24"/>
          <w:lang w:val="en-US"/>
        </w:rPr>
        <w:t>, 1–18 (2018).</w:t>
      </w:r>
    </w:p>
    <w:p>
      <w:pPr>
        <w:pStyle w:val="Normal"/>
        <w:widowControl w:val="false"/>
        <w:spacing w:lineRule="auto" w:line="240"/>
        <w:ind w:left="640" w:hanging="640"/>
        <w:rPr>
          <w:rFonts w:ascii="Times New Roman" w:hAnsi="Times New Roman" w:cs="Times New Roman"/>
          <w:sz w:val="24"/>
          <w:lang w:val="en-US"/>
        </w:rPr>
      </w:pPr>
      <w:r>
        <w:rPr>
          <w:rFonts w:cs="Times New Roman" w:ascii="Times New Roman" w:hAnsi="Times New Roman"/>
          <w:sz w:val="24"/>
          <w:szCs w:val="24"/>
          <w:lang w:val="en-US"/>
        </w:rPr>
        <w:t xml:space="preserve">[65] </w:t>
        <w:tab/>
        <w:t xml:space="preserve">C. L. Wood, P. D. Pajevic, and J. H. Gooi, “Osteocyte secreted factors inhibit skeletal muscle differentiation,” </w:t>
      </w:r>
      <w:r>
        <w:rPr>
          <w:rFonts w:cs="Times New Roman" w:ascii="Times New Roman" w:hAnsi="Times New Roman"/>
          <w:i/>
          <w:iCs/>
          <w:sz w:val="24"/>
          <w:szCs w:val="24"/>
          <w:lang w:val="en-US"/>
        </w:rPr>
        <w:t>Bone Reports</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6</w:t>
      </w:r>
      <w:r>
        <w:rPr>
          <w:rFonts w:cs="Times New Roman" w:ascii="Times New Roman" w:hAnsi="Times New Roman"/>
          <w:sz w:val="24"/>
          <w:szCs w:val="24"/>
          <w:lang w:val="en-US"/>
        </w:rPr>
        <w:t>, 74–80 (2017).</w:t>
      </w:r>
    </w:p>
    <w:p>
      <w:pPr>
        <w:pStyle w:val="Normal"/>
        <w:spacing w:lineRule="auto" w:line="259" w:before="0" w:after="160"/>
        <w:rPr>
          <w:rFonts w:ascii="Times New Roman" w:hAnsi="Times New Roman" w:eastAsia="Arial Unicode MS" w:cs="Times New Roman"/>
          <w:bCs/>
          <w:sz w:val="24"/>
          <w:lang w:val="en-US"/>
        </w:rPr>
      </w:pPr>
      <w:r>
        <w:rPr>
          <w:rFonts w:ascii="Times New Roman" w:hAnsi="Times New Roman"/>
          <w:sz w:val="24"/>
          <w:szCs w:val="24"/>
        </w:rPr>
      </w:r>
      <w:r>
        <w:rPr>
          <w:sz w:val="24"/>
          <w:szCs w:val="24"/>
          <w:rFonts w:ascii="Times New Roman" w:hAnsi="Times New Roman"/>
        </w:rPr>
        <w:fldChar w:fldCharType="end"/>
      </w:r>
    </w:p>
    <w:p>
      <w:pPr>
        <w:pStyle w:val="Normal"/>
        <w:spacing w:lineRule="auto" w:line="259" w:before="0" w:after="160"/>
        <w:rPr>
          <w:rFonts w:ascii="Times New Roman" w:hAnsi="Times New Roman" w:cs="Times New Roman"/>
          <w:bCs/>
          <w:sz w:val="24"/>
          <w:lang w:val="en-US"/>
        </w:rPr>
      </w:pPr>
      <w:r>
        <w:rPr>
          <w:rFonts w:cs="Times New Roman" w:ascii="Times New Roman" w:hAnsi="Times New Roman"/>
          <w:bCs/>
          <w:sz w:val="24"/>
          <w:lang w:val="en-US"/>
        </w:rPr>
      </w:r>
      <w:r>
        <w:br w:type="page"/>
      </w:r>
    </w:p>
    <w:p>
      <w:pPr>
        <w:pStyle w:val="Normal"/>
        <w:spacing w:lineRule="auto" w:line="480"/>
        <w:jc w:val="both"/>
        <w:rPr>
          <w:rFonts w:ascii="Times New Roman" w:hAnsi="Times New Roman" w:cs="Times New Roman"/>
          <w:b/>
          <w:b/>
          <w:sz w:val="24"/>
          <w:lang w:val="en-US"/>
        </w:rPr>
      </w:pPr>
      <w:r>
        <w:rPr>
          <w:rFonts w:cs="Times New Roman" w:ascii="Times New Roman" w:hAnsi="Times New Roman"/>
          <w:b/>
          <w:sz w:val="24"/>
          <w:lang w:val="en-US"/>
        </w:rPr>
        <w:t>Figure legends</w:t>
      </w:r>
    </w:p>
    <w:p>
      <w:pPr>
        <w:pStyle w:val="Normal"/>
        <w:spacing w:lineRule="auto" w:line="480"/>
        <w:jc w:val="both"/>
        <w:rPr>
          <w:rFonts w:ascii="Times New Roman" w:hAnsi="Times New Roman" w:cs="Times New Roman"/>
          <w:b/>
          <w:b/>
          <w:sz w:val="24"/>
          <w:lang w:val="en-US"/>
        </w:rPr>
      </w:pPr>
      <w:r>
        <w:rPr>
          <w:rFonts w:cs="Times New Roman" w:ascii="Times New Roman" w:hAnsi="Times New Roman"/>
          <w:b/>
          <w:sz w:val="24"/>
          <w:lang w:val="en-US"/>
        </w:rPr>
        <w:t xml:space="preserve">Figure 1: </w:t>
      </w:r>
      <w:r>
        <w:rPr>
          <w:rFonts w:cs="Times New Roman" w:ascii="Times New Roman" w:hAnsi="Times New Roman"/>
          <w:b/>
          <w:lang w:val="en-US"/>
        </w:rPr>
        <w:t>Analysis of YAP/TAZ activation and nuclear translocation</w:t>
      </w:r>
    </w:p>
    <w:p>
      <w:pPr>
        <w:pStyle w:val="Normal"/>
        <w:spacing w:lineRule="auto" w:line="480" w:before="0" w:after="0"/>
        <w:jc w:val="both"/>
        <w:rPr>
          <w:rFonts w:ascii="Times New Roman" w:hAnsi="Times New Roman" w:eastAsia="Arial Unicode MS" w:cs="Times New Roman"/>
          <w:sz w:val="24"/>
          <w:szCs w:val="24"/>
          <w:lang w:val="en-US"/>
        </w:rPr>
      </w:pPr>
      <w:r>
        <w:rPr>
          <w:rFonts w:cs="Times New Roman" w:ascii="Times New Roman" w:hAnsi="Times New Roman"/>
          <w:sz w:val="24"/>
          <w:lang w:val="en-US"/>
        </w:rPr>
        <w:t xml:space="preserve">(A) E11/gp38 and </w:t>
      </w:r>
      <w:r>
        <w:rPr>
          <w:rFonts w:cs="Times New Roman" w:ascii="Times New Roman" w:hAnsi="Times New Roman"/>
          <w:i/>
          <w:iCs/>
          <w:sz w:val="24"/>
          <w:lang w:val="en-US"/>
        </w:rPr>
        <w:t>Ptsg</w:t>
      </w:r>
      <w:r>
        <w:rPr>
          <w:rFonts w:cs="Times New Roman" w:ascii="Times New Roman" w:hAnsi="Times New Roman"/>
          <w:sz w:val="24"/>
          <w:lang w:val="en-US"/>
        </w:rPr>
        <w:t>2 (encoding COX-2) gene expression assessed by real-time qPCR in response to mechanical loading in 2D (stretching) or 3D culture (compression)</w:t>
      </w:r>
      <w:r>
        <w:rPr>
          <w:rFonts w:eastAsia="Arial Unicode MS" w:cs="Times New Roman" w:ascii="Times New Roman" w:hAnsi="Times New Roman"/>
          <w:bCs/>
          <w:sz w:val="24"/>
          <w:szCs w:val="24"/>
          <w:lang w:val="en-US"/>
        </w:rPr>
        <w:t xml:space="preserve"> </w:t>
      </w:r>
      <w:r>
        <w:rPr>
          <w:rFonts w:cs="Times New Roman" w:ascii="Times New Roman" w:hAnsi="Times New Roman"/>
          <w:sz w:val="24"/>
          <w:lang w:val="en-US"/>
        </w:rPr>
        <w:t>(B) YAP/TAZ target genes expression assessed by real-time qPCR after mechanical loading</w:t>
      </w:r>
      <w:r>
        <w:rPr>
          <w:rFonts w:eastAsia="Arial Unicode MS" w:cs="Times New Roman" w:ascii="Times New Roman" w:hAnsi="Times New Roman"/>
          <w:sz w:val="24"/>
          <w:szCs w:val="24"/>
          <w:lang w:val="en-US"/>
        </w:rPr>
        <w:t xml:space="preserve"> (C) YAP/TAZ nuclear translocation measured from Apotome immunofluorescence images of YAP/TAZ (in green) and nuclei (DAPI, in blue). Scale bars: 20 µm. Graphic represent the percentage of nuclear YAP/TAZ positive cells. Each dot plot represents individual collagen hydrogel obtained from three different experiments. (</w:t>
      </w:r>
      <w:r>
        <w:rPr>
          <w:rFonts w:cs="Times New Roman" w:ascii="Times New Roman" w:hAnsi="Times New Roman"/>
          <w:sz w:val="24"/>
          <w:lang w:val="en-US"/>
        </w:rPr>
        <w:t xml:space="preserve">D) YAP1 and WWTR1 (TAZ) gene expression assessed by real-time qPCR in response to mechanical loading </w:t>
      </w:r>
      <w:r>
        <w:rPr>
          <w:rFonts w:eastAsia="Arial Unicode MS" w:cs="Times New Roman" w:ascii="Times New Roman" w:hAnsi="Times New Roman"/>
          <w:sz w:val="24"/>
          <w:szCs w:val="24"/>
          <w:lang w:val="en-US"/>
        </w:rPr>
        <w:t xml:space="preserve">(E) Immunoblotting of YAP and TAZ from MLO-Y4 submitted to mechanical loading in 3D culture. TAZ immunoblotting was performed once. YAP quantification involved three different experiments.  </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t>Data are mean ± SEM; * p&lt;0.05, ** p&lt;0.01,</w:t>
      </w:r>
      <w:r>
        <w:rPr>
          <w:rFonts w:eastAsia="Arial Unicode MS" w:cs="Times New Roman" w:ascii="Times New Roman" w:hAnsi="Times New Roman"/>
          <w:bCs/>
          <w:sz w:val="24"/>
          <w:szCs w:val="24"/>
          <w:lang w:val="en-US"/>
        </w:rPr>
        <w:t xml:space="preserve"> </w:t>
      </w:r>
      <w:r>
        <w:rPr>
          <w:rFonts w:eastAsia="Arial Unicode MS" w:cs="Times New Roman" w:ascii="Times New Roman" w:hAnsi="Times New Roman"/>
          <w:sz w:val="24"/>
          <w:szCs w:val="24"/>
          <w:lang w:val="en-US"/>
        </w:rPr>
        <w:t>*** p&lt;0.001</w:t>
      </w:r>
      <w:r>
        <w:rPr>
          <w:rFonts w:eastAsia="Arial Unicode MS" w:cs="Times New Roman" w:ascii="Times New Roman" w:hAnsi="Times New Roman"/>
          <w:bCs/>
          <w:sz w:val="24"/>
          <w:szCs w:val="24"/>
          <w:lang w:val="en-US"/>
        </w:rPr>
        <w:t xml:space="preserve"> </w:t>
      </w:r>
      <w:r>
        <w:rPr>
          <w:rFonts w:eastAsia="Arial Unicode MS" w:cs="Times New Roman" w:ascii="Times New Roman" w:hAnsi="Times New Roman"/>
          <w:sz w:val="24"/>
          <w:szCs w:val="24"/>
          <w:lang w:val="en-US"/>
        </w:rPr>
        <w:t>by Mann-Whitney test or two-way ANOVA.</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r>
    </w:p>
    <w:p>
      <w:pPr>
        <w:pStyle w:val="Normal"/>
        <w:spacing w:lineRule="auto" w:line="480"/>
        <w:jc w:val="both"/>
        <w:rPr>
          <w:rFonts w:ascii="Times New Roman" w:hAnsi="Times New Roman" w:cs="Times New Roman"/>
          <w:b/>
          <w:b/>
          <w:sz w:val="24"/>
          <w:lang w:val="en-US"/>
        </w:rPr>
      </w:pPr>
      <w:r>
        <w:rPr>
          <w:rFonts w:cs="Times New Roman" w:ascii="Times New Roman" w:hAnsi="Times New Roman"/>
          <w:b/>
          <w:sz w:val="24"/>
          <w:lang w:val="en-US"/>
        </w:rPr>
        <w:t xml:space="preserve">Figure 2: </w:t>
      </w:r>
      <w:r>
        <w:rPr>
          <w:rFonts w:cs="Times New Roman" w:ascii="Times New Roman" w:hAnsi="Times New Roman"/>
          <w:b/>
          <w:lang w:val="en-US"/>
        </w:rPr>
        <w:t xml:space="preserve">YAP/TAZ immunostaining in trabecular and cortical bone. </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t xml:space="preserve">The images YAP/TAZ immunostaining in trabecular and cortical bone were obtained from 6-month-old wild-type mice. YAP/TAZ (in green) and nuclei (in blue) staining was detected with the Apotome </w:t>
      </w:r>
      <w:r>
        <w:rPr>
          <w:rFonts w:cs="Times New Roman" w:ascii="Times New Roman" w:hAnsi="Times New Roman"/>
          <w:sz w:val="24"/>
          <w:szCs w:val="24"/>
          <w:lang w:val="en-US"/>
        </w:rPr>
        <w:t xml:space="preserve">optical sectioning system (Zeiss, France). </w:t>
      </w:r>
      <w:r>
        <w:rPr>
          <w:rFonts w:eastAsia="Arial Unicode MS" w:cs="Times New Roman" w:ascii="Times New Roman" w:hAnsi="Times New Roman"/>
          <w:sz w:val="24"/>
          <w:szCs w:val="24"/>
          <w:lang w:val="en-US"/>
        </w:rPr>
        <w:t xml:space="preserve">White arrow represents YAP/TAZ-positive osteocytes. Scale bars: 100 µm. </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r>
    </w:p>
    <w:p>
      <w:pPr>
        <w:pStyle w:val="Normal"/>
        <w:spacing w:lineRule="auto" w:line="480" w:before="0" w:after="0"/>
        <w:jc w:val="both"/>
        <w:rPr>
          <w:rFonts w:ascii="Times New Roman" w:hAnsi="Times New Roman" w:cs="Times New Roman"/>
          <w:b/>
          <w:b/>
          <w:lang w:val="en-US"/>
        </w:rPr>
      </w:pPr>
      <w:r>
        <w:rPr>
          <w:rFonts w:cs="Times New Roman" w:ascii="Times New Roman" w:hAnsi="Times New Roman"/>
          <w:b/>
          <w:lang w:val="en-US"/>
        </w:rPr>
        <w:t xml:space="preserve">Figure 3: Principal component analysis and MA (ratio intensity) plots </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t>(A) Principal component analysis (PCA) for mechanical loading (principal component 1 [PC1]) and YAP/TAZ silencing (principal component 2 [PC2]). Each dot represents a sample and each color the conditions. (B-D) Scatter plots describe the distribution of changes between two conditions (on the y-axis: [B] shControl unloaded vs shControl loaded; [C] shControl loaded vs shYAP loaded; [D] shControl loaded vs shTAZ loaded) compared to the average normalized read counts (on the x-axis). Coloured dots represent genes that are significantly expressed (p</w:t>
      </w:r>
      <w:r>
        <w:rPr>
          <w:rFonts w:eastAsia="Arial Unicode MS" w:cs="Times New Roman" w:ascii="Times New Roman" w:hAnsi="Times New Roman"/>
          <w:sz w:val="24"/>
          <w:szCs w:val="24"/>
          <w:vertAlign w:val="subscript"/>
          <w:lang w:val="en-US"/>
        </w:rPr>
        <w:t>adj</w:t>
      </w:r>
      <w:r>
        <w:rPr>
          <w:rFonts w:eastAsia="Arial Unicode MS" w:cs="Times New Roman" w:ascii="Times New Roman" w:hAnsi="Times New Roman"/>
          <w:sz w:val="24"/>
          <w:szCs w:val="24"/>
          <w:lang w:val="en-US"/>
        </w:rPr>
        <w:t xml:space="preserve"> ≤ 0.05). Down- and upregulated genes are indicated in red and green, respectively. </w:t>
      </w:r>
    </w:p>
    <w:p>
      <w:pPr>
        <w:pStyle w:val="Normal"/>
        <w:spacing w:lineRule="auto" w:line="480" w:before="0" w:after="0"/>
        <w:jc w:val="both"/>
        <w:rPr>
          <w:rFonts w:ascii="Times New Roman" w:hAnsi="Times New Roman" w:cs="Times New Roman"/>
          <w:b/>
          <w:b/>
          <w:lang w:val="en-US"/>
        </w:rPr>
      </w:pPr>
      <w:r>
        <w:rPr>
          <w:rFonts w:cs="Times New Roman" w:ascii="Times New Roman" w:hAnsi="Times New Roman"/>
          <w:b/>
          <w:lang w:val="en-US"/>
        </w:rPr>
      </w:r>
    </w:p>
    <w:p>
      <w:pPr>
        <w:pStyle w:val="Normal"/>
        <w:spacing w:lineRule="auto" w:line="480" w:before="0" w:after="0"/>
        <w:jc w:val="both"/>
        <w:rPr>
          <w:rFonts w:ascii="Times New Roman" w:hAnsi="Times New Roman" w:cs="Times New Roman"/>
          <w:b/>
          <w:b/>
          <w:lang w:val="en-US"/>
        </w:rPr>
      </w:pPr>
      <w:r>
        <w:rPr>
          <w:rFonts w:cs="Times New Roman" w:ascii="Times New Roman" w:hAnsi="Times New Roman"/>
          <w:b/>
          <w:lang w:val="en-US"/>
        </w:rPr>
        <w:t>Figure 4:  Effect of YAP/TAZ knockdown on chemokine expression after mechanical loading evaluated by RT-qPCR</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t>CSF-1 (M-CSF), CXCL3, CXCL9 and CXCL10</w:t>
      </w:r>
      <w:r>
        <w:rPr>
          <w:rFonts w:cs="Times New Roman" w:ascii="Times New Roman" w:hAnsi="Times New Roman"/>
          <w:sz w:val="24"/>
          <w:lang w:val="en-US"/>
        </w:rPr>
        <w:t xml:space="preserve"> mRNA expression assessed by real-time qPCR from MLO-Y4 cells invalidated for YAP/TAZ and submitted to mechanical loading. </w:t>
      </w:r>
      <w:r>
        <w:rPr>
          <w:rFonts w:eastAsia="Arial Unicode MS" w:cs="Times New Roman" w:ascii="Times New Roman" w:hAnsi="Times New Roman"/>
          <w:sz w:val="24"/>
          <w:szCs w:val="24"/>
          <w:lang w:val="en-US"/>
        </w:rPr>
        <w:t>Data are mean ± SEM; * p&lt;0.05 vs shControl unloaded, # p&lt;0.05 vs shControl loaded, by two-way ANOVA test.</w:t>
      </w:r>
    </w:p>
    <w:p>
      <w:pPr>
        <w:pStyle w:val="Normal"/>
        <w:spacing w:lineRule="auto" w:line="48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480" w:before="0" w:after="0"/>
        <w:rPr>
          <w:b/>
          <w:b/>
          <w:bCs/>
          <w:sz w:val="24"/>
          <w:szCs w:val="24"/>
          <w:lang w:val="en-US"/>
        </w:rPr>
      </w:pPr>
      <w:r>
        <w:rPr>
          <w:rFonts w:cs="Times New Roman" w:ascii="Times New Roman" w:hAnsi="Times New Roman"/>
          <w:b/>
          <w:sz w:val="24"/>
          <w:szCs w:val="24"/>
          <w:lang w:val="en-US"/>
        </w:rPr>
        <w:t>Table I: Effect of YAP/TAZ knockdown on chemokine expression after mechanical loading evaluated by RNAseq</w:t>
      </w:r>
    </w:p>
    <w:p>
      <w:pPr>
        <w:pStyle w:val="Normal"/>
        <w:spacing w:lineRule="auto" w:line="480" w:before="0" w:after="0"/>
        <w:jc w:val="both"/>
        <w:rPr>
          <w:rFonts w:ascii="Times New Roman" w:hAnsi="Times New Roman" w:eastAsia="Arial Unicode MS" w:cs="Times New Roman"/>
          <w:sz w:val="24"/>
          <w:szCs w:val="24"/>
          <w:lang w:val="en-US"/>
        </w:rPr>
      </w:pPr>
      <w:r>
        <w:rPr>
          <w:rFonts w:eastAsia="Arial Unicode MS" w:cs="Times New Roman" w:ascii="Times New Roman" w:hAnsi="Times New Roman"/>
          <w:sz w:val="24"/>
          <w:szCs w:val="24"/>
          <w:lang w:val="en-US"/>
        </w:rPr>
        <w:t xml:space="preserve">Chemokine gene levels were analyzed by RNAseq </w:t>
      </w:r>
      <w:r>
        <w:rPr>
          <w:rFonts w:cs="Times New Roman" w:ascii="Times New Roman" w:hAnsi="Times New Roman"/>
          <w:sz w:val="24"/>
          <w:lang w:val="en-US"/>
        </w:rPr>
        <w:t>from MLO-Y4 cells invalidated for YAP/TAZ and submitted to mechanical loading.</w:t>
      </w:r>
      <w:r>
        <w:rPr>
          <w:rFonts w:eastAsia="Arial Unicode MS" w:cs="Times New Roman" w:ascii="Times New Roman" w:hAnsi="Times New Roman"/>
          <w:sz w:val="24"/>
          <w:szCs w:val="24"/>
          <w:lang w:val="en-US"/>
        </w:rPr>
        <w:t xml:space="preserve"> Data are presented as log2 fold change to analyze the effect of (A) loading (shControl loaded/shControl unloaded), (B) YAP silencing under mechanical loading (shYAP loaded/shControl loaded) and (C) TAZ silencing under mechanical loading (shTAZ loaded/shControl loaded). Data are the mean </w:t>
      </w:r>
      <w:r>
        <w:rPr>
          <w:rFonts w:eastAsia="Symbol" w:cs="Symbol" w:ascii="Symbol" w:hAnsi="Symbol"/>
          <w:sz w:val="24"/>
          <w:szCs w:val="24"/>
        </w:rPr>
        <w:t></w:t>
      </w:r>
      <w:r>
        <w:rPr>
          <w:rFonts w:cs="Times New Roman" w:ascii="Times New Roman" w:hAnsi="Times New Roman"/>
          <w:sz w:val="24"/>
          <w:szCs w:val="24"/>
          <w:lang w:val="en-US"/>
        </w:rPr>
        <w:t xml:space="preserve"> SEM</w:t>
      </w:r>
      <w:r>
        <w:rPr>
          <w:rFonts w:eastAsia="Arial Unicode MS" w:cs="Times New Roman" w:ascii="Times New Roman" w:hAnsi="Times New Roman"/>
          <w:sz w:val="24"/>
          <w:szCs w:val="24"/>
          <w:lang w:val="en-US"/>
        </w:rPr>
        <w:t xml:space="preserve"> of two </w:t>
      </w:r>
      <w:r>
        <w:rPr>
          <w:rFonts w:eastAsia="Arial Unicode MS" w:cs="Times New Roman" w:ascii="Times New Roman" w:hAnsi="Times New Roman"/>
          <w:sz w:val="24"/>
          <w:szCs w:val="24"/>
          <w:lang w:val="en-US"/>
        </w:rPr>
        <w:t xml:space="preserve">independent experiments and its associated p value. </w:t>
      </w:r>
    </w:p>
    <w:p>
      <w:pPr>
        <w:pStyle w:val="Normal"/>
        <w:spacing w:lineRule="auto" w:line="480"/>
        <w:jc w:val="both"/>
        <w:rPr>
          <w:rFonts w:ascii="Times New Roman" w:hAnsi="Times New Roman"/>
          <w:sz w:val="24"/>
          <w:szCs w:val="24"/>
        </w:rPr>
      </w:pPr>
      <w:r>
        <w:rPr>
          <w:rFonts w:ascii="Times New Roman" w:hAnsi="Times New Roman"/>
          <w:sz w:val="24"/>
          <w:szCs w:val="24"/>
        </w:rPr>
      </w:r>
      <w:r>
        <w:br w:type="page"/>
      </w:r>
    </w:p>
    <w:p>
      <w:pPr>
        <w:pStyle w:val="Normal"/>
        <w:spacing w:lineRule="auto" w:line="480"/>
        <w:jc w:val="both"/>
        <w:rPr>
          <w:rFonts w:ascii="Times New Roman" w:hAnsi="Times New Roman"/>
          <w:b/>
          <w:b/>
          <w:bCs/>
          <w:sz w:val="24"/>
          <w:szCs w:val="24"/>
        </w:rPr>
      </w:pPr>
      <w:r>
        <w:rPr>
          <w:rFonts w:ascii="Times New Roman" w:hAnsi="Times New Roman"/>
          <w:b/>
          <w:bCs/>
          <w:sz w:val="24"/>
          <w:szCs w:val="24"/>
        </w:rPr>
        <w:t>Figure 1</w:t>
      </w:r>
    </w:p>
    <w:p>
      <w:pPr>
        <w:pStyle w:val="Normal"/>
        <w:spacing w:lineRule="auto" w:line="480"/>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60720" cy="7680960"/>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3"/>
                    <a:stretch>
                      <a:fillRect/>
                    </a:stretch>
                  </pic:blipFill>
                  <pic:spPr bwMode="auto">
                    <a:xfrm>
                      <a:off x="0" y="0"/>
                      <a:ext cx="5760720" cy="7680960"/>
                    </a:xfrm>
                    <a:prstGeom prst="rect">
                      <a:avLst/>
                    </a:prstGeom>
                  </pic:spPr>
                </pic:pic>
              </a:graphicData>
            </a:graphic>
          </wp:anchor>
        </w:drawing>
      </w:r>
    </w:p>
    <w:p>
      <w:pPr>
        <w:pStyle w:val="Normal"/>
        <w:spacing w:lineRule="auto" w:line="480"/>
        <w:jc w:val="both"/>
        <w:rPr>
          <w:rFonts w:ascii="Times New Roman" w:hAnsi="Times New Roman"/>
          <w:b/>
          <w:b/>
          <w:bCs/>
          <w:sz w:val="24"/>
          <w:szCs w:val="24"/>
        </w:rPr>
      </w:pPr>
      <w:r>
        <w:rPr>
          <w:rFonts w:ascii="Times New Roman" w:hAnsi="Times New Roman"/>
          <w:b/>
          <w:bCs/>
          <w:sz w:val="24"/>
          <w:szCs w:val="24"/>
        </w:rPr>
        <w:t>Figure 2</w:t>
      </w:r>
    </w:p>
    <w:p>
      <w:pPr>
        <w:pStyle w:val="Normal"/>
        <w:spacing w:lineRule="auto" w:line="480"/>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760720" cy="768096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5760720" cy="7680960"/>
                    </a:xfrm>
                    <a:prstGeom prst="rect">
                      <a:avLst/>
                    </a:prstGeom>
                  </pic:spPr>
                </pic:pic>
              </a:graphicData>
            </a:graphic>
          </wp:anchor>
        </w:drawing>
      </w:r>
    </w:p>
    <w:p>
      <w:pPr>
        <w:pStyle w:val="Normal"/>
        <w:spacing w:lineRule="auto" w:line="480"/>
        <w:jc w:val="both"/>
        <w:rPr>
          <w:rFonts w:ascii="Times New Roman" w:hAnsi="Times New Roman"/>
          <w:b/>
          <w:b/>
          <w:bCs/>
          <w:sz w:val="24"/>
          <w:szCs w:val="24"/>
        </w:rPr>
      </w:pPr>
      <w:r>
        <w:rPr>
          <w:rFonts w:ascii="Times New Roman" w:hAnsi="Times New Roman"/>
          <w:b/>
          <w:bCs/>
          <w:sz w:val="24"/>
          <w:szCs w:val="24"/>
        </w:rPr>
        <w:t>Figure 3</w:t>
      </w:r>
    </w:p>
    <w:p>
      <w:pPr>
        <w:pStyle w:val="Normal"/>
        <w:spacing w:lineRule="auto" w:line="480"/>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760720" cy="7680960"/>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5760720" cy="7680960"/>
                    </a:xfrm>
                    <a:prstGeom prst="rect">
                      <a:avLst/>
                    </a:prstGeom>
                  </pic:spPr>
                </pic:pic>
              </a:graphicData>
            </a:graphic>
          </wp:anchor>
        </w:drawing>
      </w:r>
    </w:p>
    <w:p>
      <w:pPr>
        <w:pStyle w:val="Normal"/>
        <w:spacing w:lineRule="auto" w:line="480"/>
        <w:jc w:val="both"/>
        <w:rPr>
          <w:rFonts w:ascii="Times New Roman" w:hAnsi="Times New Roman"/>
          <w:b/>
          <w:b/>
          <w:bCs/>
          <w:sz w:val="24"/>
          <w:szCs w:val="24"/>
        </w:rPr>
      </w:pPr>
      <w:r>
        <w:rPr>
          <w:rFonts w:ascii="Times New Roman" w:hAnsi="Times New Roman"/>
          <w:b/>
          <w:bCs/>
          <w:sz w:val="24"/>
          <w:szCs w:val="24"/>
        </w:rPr>
        <w:t>Figure 4</w:t>
      </w:r>
    </w:p>
    <w:p>
      <w:pPr>
        <w:pStyle w:val="Normal"/>
        <w:spacing w:lineRule="auto" w:line="480" w:before="0" w:after="200"/>
        <w:jc w:val="both"/>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5760720" cy="7680960"/>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5760720" cy="7680960"/>
                    </a:xfrm>
                    <a:prstGeom prst="rect">
                      <a:avLst/>
                    </a:prstGeom>
                  </pic:spPr>
                </pic:pic>
              </a:graphicData>
            </a:graphic>
          </wp:anchor>
        </w:drawing>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1232237"/>
    </w:sdtPr>
    <w:sdtContent>
      <w:p>
        <w:pPr>
          <w:pStyle w:val="Pieddepage"/>
          <w:jc w:val="right"/>
          <w:rPr/>
        </w:pPr>
        <w:r>
          <w:rPr/>
          <w:fldChar w:fldCharType="begin"/>
        </w:r>
        <w:r>
          <w:rPr/>
          <w:instrText> PAGE </w:instrText>
        </w:r>
        <w:r>
          <w:rPr/>
          <w:fldChar w:fldCharType="separate"/>
        </w:r>
        <w:r>
          <w:rPr/>
          <w:t>30</w:t>
        </w:r>
        <w:r>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0da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link w:val="Titre2Car"/>
    <w:uiPriority w:val="9"/>
    <w:qFormat/>
    <w:rsid w:val="00f157c6"/>
    <w:pPr>
      <w:spacing w:lineRule="auto" w:line="240" w:beforeAutospacing="1" w:afterAutospacing="1"/>
      <w:outlineLvl w:val="1"/>
    </w:pPr>
    <w:rPr>
      <w:rFonts w:ascii="Times New Roman" w:hAnsi="Times New Roman" w:eastAsia="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5864a7"/>
    <w:pPr>
      <w:keepNext w:val="true"/>
      <w:keepLines/>
      <w:spacing w:before="200" w:after="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c4477"/>
    <w:rPr>
      <w:b/>
      <w:bCs/>
    </w:rPr>
  </w:style>
  <w:style w:type="character" w:styleId="Annotationreference">
    <w:name w:val="annotation reference"/>
    <w:basedOn w:val="DefaultParagraphFont"/>
    <w:uiPriority w:val="99"/>
    <w:semiHidden/>
    <w:unhideWhenUsed/>
    <w:qFormat/>
    <w:rsid w:val="002c07cf"/>
    <w:rPr>
      <w:sz w:val="16"/>
      <w:szCs w:val="16"/>
    </w:rPr>
  </w:style>
  <w:style w:type="character" w:styleId="CommentaireCar" w:customStyle="1">
    <w:name w:val="Commentaire Car"/>
    <w:basedOn w:val="DefaultParagraphFont"/>
    <w:link w:val="Commentaire"/>
    <w:uiPriority w:val="99"/>
    <w:semiHidden/>
    <w:qFormat/>
    <w:rsid w:val="002c07cf"/>
    <w:rPr>
      <w:sz w:val="20"/>
      <w:szCs w:val="20"/>
    </w:rPr>
  </w:style>
  <w:style w:type="character" w:styleId="ObjetducommentaireCar" w:customStyle="1">
    <w:name w:val="Objet du commentaire Car"/>
    <w:basedOn w:val="CommentaireCar"/>
    <w:link w:val="Objetducommentaire"/>
    <w:uiPriority w:val="99"/>
    <w:semiHidden/>
    <w:qFormat/>
    <w:rsid w:val="002c07cf"/>
    <w:rPr>
      <w:b/>
      <w:bCs/>
      <w:sz w:val="20"/>
      <w:szCs w:val="20"/>
    </w:rPr>
  </w:style>
  <w:style w:type="character" w:styleId="TextedebullesCar" w:customStyle="1">
    <w:name w:val="Texte de bulles Car"/>
    <w:basedOn w:val="DefaultParagraphFont"/>
    <w:link w:val="Textedebulles"/>
    <w:uiPriority w:val="99"/>
    <w:semiHidden/>
    <w:qFormat/>
    <w:rsid w:val="002c07cf"/>
    <w:rPr>
      <w:rFonts w:ascii="Segoe UI" w:hAnsi="Segoe UI" w:cs="Segoe UI"/>
      <w:sz w:val="18"/>
      <w:szCs w:val="18"/>
    </w:rPr>
  </w:style>
  <w:style w:type="character" w:styleId="EntteCar" w:customStyle="1">
    <w:name w:val="En-tête Car"/>
    <w:basedOn w:val="DefaultParagraphFont"/>
    <w:link w:val="En-tte"/>
    <w:uiPriority w:val="99"/>
    <w:qFormat/>
    <w:rsid w:val="003b1ab7"/>
    <w:rPr/>
  </w:style>
  <w:style w:type="character" w:styleId="PieddepageCar" w:customStyle="1">
    <w:name w:val="Pied de page Car"/>
    <w:basedOn w:val="DefaultParagraphFont"/>
    <w:link w:val="Pieddepage"/>
    <w:uiPriority w:val="99"/>
    <w:qFormat/>
    <w:rsid w:val="003b1ab7"/>
    <w:rPr/>
  </w:style>
  <w:style w:type="character" w:styleId="Titre2Car" w:customStyle="1">
    <w:name w:val="Titre 2 Car"/>
    <w:basedOn w:val="DefaultParagraphFont"/>
    <w:link w:val="Titre2"/>
    <w:uiPriority w:val="9"/>
    <w:qFormat/>
    <w:rsid w:val="00f157c6"/>
    <w:rPr>
      <w:rFonts w:ascii="Times New Roman" w:hAnsi="Times New Roman" w:eastAsia="Times New Roman" w:cs="Times New Roman"/>
      <w:b/>
      <w:bCs/>
      <w:sz w:val="36"/>
      <w:szCs w:val="36"/>
      <w:lang w:eastAsia="fr-FR"/>
    </w:rPr>
  </w:style>
  <w:style w:type="character" w:styleId="Titre4Car" w:customStyle="1">
    <w:name w:val="Titre 4 Car"/>
    <w:basedOn w:val="DefaultParagraphFont"/>
    <w:link w:val="Titre4"/>
    <w:uiPriority w:val="9"/>
    <w:semiHidden/>
    <w:qFormat/>
    <w:rsid w:val="005864a7"/>
    <w:rPr>
      <w:rFonts w:ascii="Calibri Light" w:hAnsi="Calibri Light" w:eastAsia="" w:cs="" w:asciiTheme="majorHAnsi" w:cstheme="majorBidi" w:eastAsiaTheme="majorEastAsia" w:hAnsiTheme="majorHAnsi"/>
      <w:b/>
      <w:bCs/>
      <w:i/>
      <w:iCs/>
      <w:color w:val="4472C4" w:themeColor="accent1"/>
    </w:rPr>
  </w:style>
  <w:style w:type="character" w:styleId="LienInternet">
    <w:name w:val="Lien Internet"/>
    <w:basedOn w:val="DefaultParagraphFont"/>
    <w:uiPriority w:val="99"/>
    <w:unhideWhenUsed/>
    <w:rsid w:val="00e37365"/>
    <w:rPr>
      <w:color w:val="0563C1" w:themeColor="hyperlink"/>
      <w:u w:val="single"/>
    </w:rPr>
  </w:style>
  <w:style w:type="character" w:styleId="Mentionnonrsolue1" w:customStyle="1">
    <w:name w:val="Mention non résolue1"/>
    <w:basedOn w:val="DefaultParagraphFont"/>
    <w:uiPriority w:val="99"/>
    <w:semiHidden/>
    <w:unhideWhenUsed/>
    <w:qFormat/>
    <w:rsid w:val="00e37365"/>
    <w:rPr>
      <w:color w:val="605E5C"/>
      <w:shd w:fill="E1DFDD" w:val="clear"/>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90141e"/>
    <w:pPr>
      <w:widowControl/>
      <w:bidi w:val="0"/>
      <w:spacing w:lineRule="auto" w:line="240" w:before="0" w:after="0"/>
      <w:jc w:val="left"/>
    </w:pPr>
    <w:rPr>
      <w:rFonts w:ascii="Arial" w:hAnsi="Arial" w:cs="Arial" w:eastAsia="Calibri"/>
      <w:color w:val="000000"/>
      <w:kern w:val="0"/>
      <w:sz w:val="24"/>
      <w:szCs w:val="24"/>
      <w:lang w:val="fr-FR" w:eastAsia="en-US" w:bidi="ar-SA"/>
    </w:rPr>
  </w:style>
  <w:style w:type="paragraph" w:styleId="ListParagraph">
    <w:name w:val="List Paragraph"/>
    <w:basedOn w:val="Normal"/>
    <w:uiPriority w:val="34"/>
    <w:qFormat/>
    <w:rsid w:val="000119d2"/>
    <w:pPr>
      <w:spacing w:before="0" w:after="200"/>
      <w:ind w:left="720" w:hanging="0"/>
      <w:contextualSpacing/>
    </w:pPr>
    <w:rPr/>
  </w:style>
  <w:style w:type="paragraph" w:styleId="Annotationtext">
    <w:name w:val="annotation text"/>
    <w:basedOn w:val="Normal"/>
    <w:link w:val="CommentaireCar"/>
    <w:uiPriority w:val="99"/>
    <w:semiHidden/>
    <w:unhideWhenUsed/>
    <w:qFormat/>
    <w:rsid w:val="002c07cf"/>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2c07cf"/>
    <w:pPr/>
    <w:rPr>
      <w:b/>
      <w:bCs/>
    </w:rPr>
  </w:style>
  <w:style w:type="paragraph" w:styleId="BalloonText">
    <w:name w:val="Balloon Text"/>
    <w:basedOn w:val="Normal"/>
    <w:link w:val="TextedebullesCar"/>
    <w:uiPriority w:val="99"/>
    <w:semiHidden/>
    <w:unhideWhenUsed/>
    <w:qFormat/>
    <w:rsid w:val="002c07cf"/>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020b1c"/>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b1ab7"/>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b1ab7"/>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tine.cohen-solal@inserm.fr"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EABF-BE1F-42F1-8F51-D82AA569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LibreOffice/7.1.5.2$MacOSX_X86_64 LibreOffice_project/85f04e9f809797b8199d13c421bd8a2b025d52b5</Application>
  <AppVersion>15.0000</AppVersion>
  <Pages>30</Pages>
  <Words>7605</Words>
  <Characters>42187</Characters>
  <CharactersWithSpaces>49502</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2021-11-12T09:05:00Z</dcterms:created>
  <dc:creator>Raphaël</dc:creator>
  <dc:description/>
  <dc:language>fr-FR</dc:language>
  <cp:lastModifiedBy/>
  <cp:lastPrinted>2020-08-07T06:32:00Z</cp:lastPrinted>
  <dcterms:modified xsi:type="dcterms:W3CDTF">2021-11-12T13:35:47Z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http://www.zotero.org/styles/frontiers-in-optics</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http://www.zotero.org/styles/british-journal-of-cancer</vt:lpwstr>
  </property>
  <property fmtid="{D5CDD505-2E9C-101B-9397-08002B2CF9AE}" pid="9" name="Mendeley Recent Style Id 5_1">
    <vt:lpwstr>http://www.zotero.org/styles/chicago-author-date</vt:lpwstr>
  </property>
  <property fmtid="{D5CDD505-2E9C-101B-9397-08002B2CF9AE}" pid="10" name="Mendeley Recent Style Id 6_1">
    <vt:lpwstr>http://www.zotero.org/styles/harvard-cite-them-right</vt:lpwstr>
  </property>
  <property fmtid="{D5CDD505-2E9C-101B-9397-08002B2CF9AE}" pid="11" name="Mendeley Recent Style Id 7_1">
    <vt:lpwstr>http://www.zotero.org/styles/frontiers-in-optics</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British Journal of Cancer</vt:lpwstr>
  </property>
  <property fmtid="{D5CDD505-2E9C-101B-9397-08002B2CF9AE}" pid="19" name="Mendeley Recent Style Name 5_1">
    <vt:lpwstr>Chicago Manual of Style 17th edition (author-date)</vt:lpwstr>
  </property>
  <property fmtid="{D5CDD505-2E9C-101B-9397-08002B2CF9AE}" pid="20" name="Mendeley Recent Style Name 6_1">
    <vt:lpwstr>Cite Them Right 10th edition - Harvard</vt:lpwstr>
  </property>
  <property fmtid="{D5CDD505-2E9C-101B-9397-08002B2CF9AE}" pid="21" name="Mendeley Recent Style Name 7_1">
    <vt:lpwstr>Frontiers in Optics</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Nature</vt:lpwstr>
  </property>
  <property fmtid="{D5CDD505-2E9C-101B-9397-08002B2CF9AE}" pid="24" name="Mendeley Unique User Id_1">
    <vt:lpwstr>54e91f7e-5590-3590-8a27-5a7952f4daa1</vt:lpwstr>
  </property>
</Properties>
</file>